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b/>
          <w:bCs/>
          <w:color w:val="5B6770"/>
          <w:sz w:val="20"/>
          <w:szCs w:val="20"/>
        </w:rPr>
        <w:t xml:space="preserve">MKTG3112 GROUP REPORT · INTEGRATED MARKETING COMMUNICATIONS BRIEF</w:t>
      </w:r>
    </w:p>
    <w:p>
      <w:pPr>
        <w:spacing w:after="120"/>
      </w:pPr>
      <w:r>
        <w:rPr>
          <w:b/>
          <w:bCs/>
          <w:color w:val="1E2A32"/>
          <w:sz w:val="64"/>
          <w:szCs w:val="64"/>
        </w:rPr>
        <w:t xml:space="preserve">Alo in Australia</w:t>
      </w:r>
    </w:p>
    <w:p>
      <w:pPr>
        <w:spacing w:after="480"/>
      </w:pPr>
      <w:r>
        <w:rPr>
          <w:color w:val="8C6D3F"/>
          <w:sz w:val="36"/>
          <w:szCs w:val="36"/>
        </w:rPr>
        <w:t xml:space="preserve">Mat to Moment: One Set, Made for the Whole Day</w:t>
      </w:r>
    </w:p>
    <w:p>
      <w:pPr>
        <w:spacing w:after="80"/>
      </w:pPr>
      <w:r>
        <w:rPr>
          <w:sz w:val="24"/>
          <w:szCs w:val="24"/>
        </w:rPr>
        <w:t xml:space="preserve">A 12-week Sydney campaign · 4 January – 28 March 2027 · Budget A$250,000</w:t>
      </w:r>
    </w:p>
    <w:p>
      <w:pPr>
        <w:spacing w:after="80"/>
      </w:pPr>
      <w:r>
        <w:rPr>
          <w:sz w:val="24"/>
          <w:szCs w:val="24"/>
        </w:rPr>
        <w:t xml:space="preserve">Prepared for: Alo Australia</w:t>
      </w:r>
    </w:p>
    <w:p>
      <w:pPr>
        <w:spacing w:after="80"/>
      </w:pPr>
      <w:r>
        <w:rPr>
          <w:sz w:val="24"/>
          <w:szCs w:val="24"/>
          <w:highlight w:val="yellow"/>
          <w:highlightCs w:val="yellow"/>
        </w:rPr>
        <w:t xml:space="preserve">Prepared by: [Group name and student numbers]</w:t>
      </w:r>
    </w:p>
    <w:p>
      <w:r>
        <w:br w:type="page"/>
      </w:r>
    </w:p>
    <w:p>
      <w:pPr>
        <w:spacing w:after="200"/>
      </w:pPr>
      <w:r>
        <w:rPr>
          <w:b/>
          <w:bCs/>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Executive Summary</w:t>
      </w:r>
    </w:p>
    <w:p>
      <w:pPr>
        <w:spacing w:after="160" w:line="288"/>
      </w:pPr>
      <w:r>
        <w:t xml:space="preserve">Alo opened its first Australian store at Chatswood Chase in May 2026 and its second at The Galeries in Sydney's CBD in September 2026, with Westfield Bondi Junction to follow (Concrete Playground, 2026; Inside Retail, 2026). Search data show that the launch generated interest comparable to Lorna Jane's, but that this interest has since fallen back to roughly its pre-opening level, and that the second store opening produced no visible lift (Appendix A). Alo's problem in Sydney is therefore not awareness of a global name. It is that local women do not yet see Alo as worth its price, as a brand "for people like me", or as somewhere they can easily go.</w:t>
      </w:r>
    </w:p>
    <w:p>
      <w:pPr>
        <w:spacing w:after="160" w:line="288"/>
      </w:pPr>
      <w:r>
        <w:t xml:space="preserve">This brief recommends </w:t>
      </w:r>
      <w:r>
        <w:rPr>
          <w:b/>
          <w:bCs/>
        </w:rPr>
        <w:t xml:space="preserve">"Mat to Moment"</w:t>
      </w:r>
      <w:r>
        <w:t xml:space="preserve">, a 12-week, A$250,000 integrated campaign (4 January – 28 March 2027) aimed at style-conscious women aged 22–34 in Greater Sydney. It positions Alo as the premium set designed to move from the reformer to the rest of the day, a space that Lululemon (performance-led, increasingly seen as predictable) and Lorna Jane (mid-priced, trust-damaged) leave open. Three message pillars (</w:t>
      </w:r>
      <w:r>
        <w:rPr>
          <w:i/>
          <w:iCs/>
        </w:rPr>
        <w:t xml:space="preserve">Worth it</w:t>
      </w:r>
      <w:r>
        <w:t xml:space="preserve">, </w:t>
      </w:r>
      <w:r>
        <w:rPr>
          <w:i/>
          <w:iCs/>
        </w:rPr>
        <w:t xml:space="preserve">Made for Sydney's day</w:t>
      </w:r>
      <w:r>
        <w:t xml:space="preserve"> and </w:t>
      </w:r>
      <w:r>
        <w:rPr>
          <w:i/>
          <w:iCs/>
        </w:rPr>
        <w:t xml:space="preserve">Find us</w:t>
      </w:r>
      <w:r>
        <w:t xml:space="preserve">) are each matched to a persuasion route, a credible source and a stage of the customer journey. They are delivered through a pulsed mix of local creators, instructor-led Sanctuary Sessions, outdoor, Spotify audio, paid social, PR and owned channels. Success is judged against four DAGMAR objectives using pre- and post-campaign surveys, triangulated with behavioural data.</w:t>
      </w:r>
    </w:p>
    <w:p>
      <w:pPr>
        <w:pStyle w:val="Heading1"/>
      </w:pPr>
      <w:r>
        <w:t xml:space="preserve">1. Situation Analysis</w:t>
      </w:r>
    </w:p>
    <w:p>
      <w:pPr>
        <w:pStyle w:val="Heading2"/>
      </w:pPr>
      <w:r>
        <w:t xml:space="preserve">1.1 Company Overview</w:t>
      </w:r>
    </w:p>
    <w:p>
      <w:pPr>
        <w:spacing w:after="160" w:line="288"/>
      </w:pPr>
      <w:r>
        <w:t xml:space="preserve">Alo Yoga is a Los Angeles-based premium activewear and lifestyle brand founded in 2007. What began as yoga apparel now spans leggings, tops, outerwear, footwear and accessories, a luxury handbag line (Alo Atelier) and a digital fitness platform, Alo Moves. The brand operates around 170 stores worldwide, roughly 100 of them in the United States (SGB Media, 2026), and Forbes estimated its parent company's 2025 sales at close to US$2 billion (Modaes, 2026). Its owners have also been reported to be weighing an IPO or sale (Rydzek, 2026). This raises the stakes in new markets: international growth such as the Australian launch forms part of the story that potential investors will evaluate.</w:t>
      </w:r>
    </w:p>
    <w:p>
      <w:pPr>
        <w:spacing w:after="160" w:line="288"/>
      </w:pPr>
      <w:r>
        <w:t xml:space="preserve">Alo entered Australia on 22 May 2026 with a store at Chatswood Chase, directly opposite Lululemon (Inside Retail, 2026). A second store opened at The Galeries on George Street in Sydney's CBD on 11 September 2026, and Westfield Bondi Junction is planned next as part of four Australian openings flagged for 2026 (Concrete Playground, 2026). Alo's competitive strength is a premium, fashion-led image built through social media and celebrity visibility (Inside Retail, 2026), reflected in an average US transaction of approximately US$185 (Spatial.ai, 2024) and Australian prices of roughly A$100–200 for leggings and bras (Concrete Playground, 2026).</w:t>
      </w:r>
    </w:p>
    <w:p>
      <w:pPr>
        <w:spacing w:after="160" w:line="288"/>
      </w:pPr>
      <w:r>
        <w:t xml:space="preserve">Keller's (1993, 2001) customer-based brand equity (CBBE) model explains why this global equity does not transfer to Sydney automatically. Equity is built in sequence: salience first, then performance and imagery, then judgements and feelings, and finally resonance. Figure 1 assesses Alo against each level. Salience is moderate: the opening generated search interest close to Lorna Jane's (Appendix A). The higher levels, however, are thin. Few Australians have worn the fabric (performance), local associations are borrowed from Los Angeles celebrity culture (imagery), consumers have no basis for judging whether the price is justified (judgements), and there is no local community to belong to (resonance). The model therefore reframes the brief: Alo has less of an awareness problem than a </w:t>
      </w:r>
      <w:r>
        <w:rPr>
          <w:i/>
          <w:iCs/>
        </w:rPr>
        <w:t xml:space="preserve">meaning</w:t>
      </w:r>
      <w:r>
        <w:t xml:space="preserve"> problem, so the campaign must build the middle of the pyramid locally rather than simply buy more reach. The model has a limitation. It implies a linear climb, whereas social-media-led brands such as Alo often generate imagery and feelings </w:t>
      </w:r>
      <w:r>
        <w:rPr>
          <w:i/>
          <w:iCs/>
        </w:rPr>
        <w:t xml:space="preserve">before</w:t>
      </w:r>
      <w:r>
        <w:t xml:space="preserve"> any performance experience (Vakratsas &amp; Ambler, 1999). This is why the campaign pairs emotional creator content with hands-on trial rather than sequencing them.</w:t>
      </w:r>
    </w:p>
    <w:p>
      <w:pPr>
        <w:keepNext/>
        <w:spacing w:after="40" w:before="200"/>
      </w:pPr>
      <w:r>
        <w:rPr>
          <w:b/>
          <w:bCs/>
        </w:rPr>
        <w:t xml:space="preserve">Figure 1</w:t>
      </w:r>
    </w:p>
    <w:p>
      <w:pPr>
        <w:keepNext/>
        <w:spacing w:after="100"/>
      </w:pPr>
      <w:r>
        <w:rPr>
          <w:i/>
          <w:iCs/>
        </w:rPr>
        <w:t xml:space="preserve">Keller's CBBE Pyramid Applied to Alo in Sydney After Launch</w:t>
      </w:r>
    </w:p>
    <w:p>
      <w:pPr>
        <w:keepNext/>
        <w:spacing w:after="80"/>
        <w:jc w:val="center"/>
      </w:pPr>
      <w:r>
        <w:drawing>
          <wp:inline distT="0" distB="0" distL="0" distR="0">
            <wp:extent cx="603504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5040" cy="25431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Keller (2001). Status ratings are the agency's assessment based on Appendix A and the sources in Section 1.2.</w:t>
      </w:r>
    </w:p>
    <w:p>
      <w:pPr>
        <w:pStyle w:val="Heading2"/>
      </w:pPr>
      <w:r>
        <w:t xml:space="preserve">1.2 Competitor Analysis</w:t>
      </w:r>
    </w:p>
    <w:p>
      <w:pPr>
        <w:spacing w:after="160" w:line="288"/>
      </w:pPr>
      <w:r>
        <w:t xml:space="preserve">Competitors are assessed at two levels (Belch &amp; Belch, 2021). </w:t>
      </w:r>
      <w:r>
        <w:rPr>
          <w:b/>
          <w:bCs/>
        </w:rPr>
        <w:t xml:space="preserve">Primary competitors</w:t>
      </w:r>
      <w:r>
        <w:t xml:space="preserve"> fight for the same premium, style-led purchase. </w:t>
      </w:r>
      <w:r>
        <w:rPr>
          <w:b/>
          <w:bCs/>
        </w:rPr>
        <w:t xml:space="preserve">Secondary competitors</w:t>
      </w:r>
      <w:r>
        <w:t xml:space="preserve"> fight for the same activewear spend with a different price or benefit. Table 1 evaluates each against the attributes that matter to the target audience and rates the threat each poses to Alo.</w:t>
      </w:r>
    </w:p>
    <w:p>
      <w:pPr>
        <w:keepNext/>
        <w:spacing w:after="40" w:before="200"/>
      </w:pPr>
      <w:r>
        <w:rPr>
          <w:b/>
          <w:bCs/>
        </w:rPr>
        <w:t xml:space="preserve">Table 1</w:t>
      </w:r>
    </w:p>
    <w:p>
      <w:pPr>
        <w:keepNext/>
        <w:spacing w:after="100"/>
      </w:pPr>
      <w:r>
        <w:rPr>
          <w:i/>
          <w:iCs/>
        </w:rPr>
        <w:t xml:space="preserve">Evaluation of Primary and Secondary Competitors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928"/>
        <w:gridCol w:w="2313"/>
        <w:gridCol w:w="2313"/>
        <w:gridCol w:w="1735"/>
      </w:tblGrid>
      <w:tr>
        <w:trPr>
          <w:tblHeader/>
        </w:trPr>
        <w:tc>
          <w:tcPr>
            <w:tcW w:type="dxa" w:w="1349"/>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Competitor</w:t>
            </w:r>
          </w:p>
        </w:tc>
        <w:tc>
          <w:tcPr>
            <w:tcW w:type="dxa" w:w="1928"/>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Positioning and price</w:t>
            </w:r>
          </w:p>
        </w:tc>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Key strengths</w:t>
            </w:r>
          </w:p>
        </w:tc>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Key weaknesses</w:t>
            </w:r>
          </w:p>
        </w:tc>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Threat and implication for Alo</w:t>
            </w:r>
          </w:p>
        </w:tc>
      </w:tr>
      <w:tr>
        <w:tc>
          <w:tcPr>
            <w:tcW w:type="dxa" w:w="9638"/>
            <w:gridSpan w:val="5"/>
            <w:tcBorders>
              <w:top w:val="single" w:color="C9CED2" w:sz="4"/>
              <w:left w:val="single" w:color="C9CED2" w:sz="4"/>
              <w:bottom w:val="single" w:color="C9CED2" w:sz="4"/>
              <w:right w:val="single" w:color="C9CED2" w:sz="4"/>
            </w:tcBorders>
            <w:shd w:fill="EFE7DA" w:color="auto" w:val="clear"/>
            <w:tcMar>
              <w:top w:type="dxa" w:w="50"/>
              <w:left w:type="dxa" w:w="90"/>
              <w:bottom w:type="dxa" w:w="50"/>
              <w:right w:type="dxa" w:w="90"/>
            </w:tcMar>
          </w:tcPr>
          <w:p>
            <w:pPr>
              <w:spacing w:after="0"/>
            </w:pPr>
            <w:r>
              <w:rPr>
                <w:b/>
                <w:bCs/>
                <w:sz w:val="17"/>
                <w:szCs w:val="17"/>
              </w:rPr>
              <w:t xml:space="preserve">Primary competitors</w:t>
            </w:r>
          </w:p>
        </w:tc>
      </w:tr>
      <w:tr>
        <w:trPr>
          <w:cantSplit/>
        </w:trPr>
        <w:tc>
          <w:tcPr>
            <w:tcW w:type="dxa" w:w="134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Lululemon</w:t>
            </w:r>
          </w:p>
        </w:tc>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Premium, performance-led athleisure; marginally cheaper than Alo; long established in Australia</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Strong community and ambassador model; leading fabric technology (Salpini, 2025b); almost 3× Alo's search interest in NSW (Appendix A)</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Product seen as "too predictable" and dated (Salpini, 2025b); lost market share to Alo and Vuori in 2025 (Salpini, 2025a)</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w:t>
            </w:r>
            <w:r>
              <w:rPr>
                <w:b w:val="false"/>
                <w:bCs w:val="false"/>
                <w:color w:val="1E2A32"/>
                <w:sz w:val="17"/>
                <w:szCs w:val="17"/>
              </w:rPr>
              <w:t xml:space="preserve"> Do not compete on community or price; compete on design-led, all-day versatility</w:t>
            </w:r>
          </w:p>
        </w:tc>
      </w:tr>
      <w:tr>
        <w:trPr>
          <w:cantSplit/>
        </w:trPr>
        <w:tc>
          <w:tcPr>
            <w:tcW w:type="dxa" w:w="134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Lorna Jane</w:t>
            </w:r>
          </w:p>
        </w:tc>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Australia's best-known local activewear brand; mid-priced; large store network (Russh, 2026)</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Loyal customers; sustainability leadership (target of recycled fibres in 85% of active essentials); Gen Z appeal; annual profit doubled to A$21.3m (Chadwick, 2025a)</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Trust and quality concerns: A$5m penalty for false "anti-virus activewear" claims (ACCC, 2021); less luxury-positioned</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r>
              <w:rPr>
                <w:b w:val="false"/>
                <w:bCs w:val="false"/>
                <w:color w:val="1E2A32"/>
                <w:sz w:val="17"/>
                <w:szCs w:val="17"/>
              </w:rPr>
              <w:t xml:space="preserve"> Make only claims Alo can substantiate; trust is a gap Alo can fill</w:t>
            </w:r>
          </w:p>
        </w:tc>
      </w:tr>
      <w:tr>
        <w:trPr>
          <w:cantSplit/>
        </w:trPr>
        <w:tc>
          <w:tcPr>
            <w:tcW w:type="dxa" w:w="134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P.E Nation / Aje Athletica</w:t>
            </w:r>
          </w:p>
        </w:tc>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Fashion-led Australian brands chasing the same style-conscious buyer</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Local design credentials; Aje sells in 221 countries with 70+ retail partners including Saks Fifth Avenue and Galeries Lafayette (Chadwick, 2025b)</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Athletica is one of three Aje brands, so activewear is not its sole focus (Chadwick, 2025b)</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r>
              <w:rPr>
                <w:b w:val="false"/>
                <w:bCs w:val="false"/>
                <w:color w:val="1E2A32"/>
                <w:sz w:val="17"/>
                <w:szCs w:val="17"/>
              </w:rPr>
              <w:t xml:space="preserve"> Closest on the positioning map; Alo's difference must be fashion </w:t>
            </w:r>
            <w:r>
              <w:rPr>
                <w:b w:val="false"/>
                <w:bCs w:val="false"/>
                <w:i/>
                <w:iCs/>
                <w:color w:val="1E2A32"/>
                <w:sz w:val="17"/>
                <w:szCs w:val="17"/>
              </w:rPr>
              <w:t xml:space="preserve">plus</w:t>
            </w:r>
            <w:r>
              <w:rPr>
                <w:b w:val="false"/>
                <w:bCs w:val="false"/>
                <w:color w:val="1E2A32"/>
                <w:sz w:val="17"/>
                <w:szCs w:val="17"/>
              </w:rPr>
              <w:t xml:space="preserve"> proven studio performance</w:t>
            </w:r>
          </w:p>
        </w:tc>
      </w:tr>
      <w:tr>
        <w:tc>
          <w:tcPr>
            <w:tcW w:type="dxa" w:w="9638"/>
            <w:gridSpan w:val="5"/>
            <w:tcBorders>
              <w:top w:val="single" w:color="C9CED2" w:sz="4"/>
              <w:left w:val="single" w:color="C9CED2" w:sz="4"/>
              <w:bottom w:val="single" w:color="C9CED2" w:sz="4"/>
              <w:right w:val="single" w:color="C9CED2" w:sz="4"/>
            </w:tcBorders>
            <w:shd w:fill="EFE7DA" w:color="auto" w:val="clear"/>
            <w:tcMar>
              <w:top w:type="dxa" w:w="50"/>
              <w:left w:type="dxa" w:w="90"/>
              <w:bottom w:type="dxa" w:w="50"/>
              <w:right w:type="dxa" w:w="90"/>
            </w:tcMar>
          </w:tcPr>
          <w:p>
            <w:pPr>
              <w:spacing w:after="0"/>
            </w:pPr>
            <w:r>
              <w:rPr>
                <w:b/>
                <w:bCs/>
                <w:sz w:val="17"/>
                <w:szCs w:val="17"/>
              </w:rPr>
              <w:t xml:space="preserve">Secondary competitors</w:t>
            </w:r>
          </w:p>
        </w:tc>
      </w:tr>
      <w:tr>
        <w:trPr>
          <w:cantSplit/>
        </w:trPr>
        <w:tc>
          <w:tcPr>
            <w:tcW w:type="dxa" w:w="134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Nike, Adidas</w:t>
            </w:r>
          </w:p>
        </w:tc>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Largest sportswear brands, ~17% and ~10% share (OpenPR, 2026); performance-led, not premium lifestyle</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Huge scale; Adidas rose to #2 in global reputation through a community-led strategy and organic Gen Z adoption (Danziger, 2026)</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Nike fell from #21 to #50 after cutting wholesale and staff; its "me, not we" messaging connects less with communities (Danziger, 2026)</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Low–medium.</w:t>
            </w:r>
            <w:r>
              <w:rPr>
                <w:b w:val="false"/>
                <w:bCs w:val="false"/>
                <w:color w:val="1E2A32"/>
                <w:sz w:val="17"/>
                <w:szCs w:val="17"/>
              </w:rPr>
              <w:t xml:space="preserve"> Compete for share of wallet and mental availability, not the premium studio occasion</w:t>
            </w:r>
          </w:p>
        </w:tc>
      </w:tr>
      <w:tr>
        <w:trPr>
          <w:cantSplit/>
        </w:trPr>
        <w:tc>
          <w:tcPr>
            <w:tcW w:type="dxa" w:w="134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Gymshark, LSKD</w:t>
            </w:r>
          </w:p>
        </w:tc>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Cheaper or community-driven alternatives (Pedestrian, 2026)</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Gymshark: technical, squat-proof gym fabrics. LSKD: Australian, cheapest at A$20–60, versatile streetwear styles (Lanoue, 2025)</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Gymshark is gym-focused with a minimalist look; LSKD uses everyday comfort fabrics; neither is premium (Lanoue, 2025)</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w:t>
            </w:r>
            <w:r>
              <w:rPr>
                <w:b w:val="false"/>
                <w:bCs w:val="false"/>
                <w:color w:val="1E2A32"/>
                <w:sz w:val="17"/>
                <w:szCs w:val="17"/>
              </w:rPr>
              <w:t xml:space="preserve"> A down-trading risk only if Alo fails to justify its price</w:t>
            </w:r>
          </w:p>
        </w:tc>
      </w:tr>
    </w:tbl>
    <w:p>
      <w:pPr>
        <w:spacing w:after="160"/>
      </w:pPr>
    </w:p>
    <w:p>
      <w:pPr>
        <w:spacing w:after="160" w:line="288"/>
      </w:pPr>
      <w:r>
        <w:t xml:space="preserve">Two theories sharpen this evaluation. First, the </w:t>
      </w:r>
      <w:r>
        <w:rPr>
          <w:i/>
          <w:iCs/>
        </w:rPr>
        <w:t xml:space="preserve">double jeopardy</w:t>
      </w:r>
      <w:r>
        <w:t xml:space="preserve"> pattern (Sharp, 2010) predicts that a large brand such as Lululemon will have both more buyers and slightly more loyal ones than a small brand. Lululemon's average search interest in New South Wales is almost three times Alo's (55 vs 20; Appendix A), so Alo will not grow by converting Lululemon loyalists through argument. It will grow by being thought of in more buying situations and being easier to buy (Sharp, 2010). Second, </w:t>
      </w:r>
      <w:r>
        <w:rPr>
          <w:i/>
          <w:iCs/>
        </w:rPr>
        <w:t xml:space="preserve">category entry points</w:t>
      </w:r>
      <w:r>
        <w:t xml:space="preserve">, the cues and occasions that bring a category to mind (Romaniuk &amp; Sharp, 2016), reveal where Alo can be thought of first. Lululemon and Nike own training occasions ("for my run", "for the gym"), while Lorna Jane owns everyday familiarity. No competitor clearly owns the moments </w:t>
      </w:r>
      <w:r>
        <w:rPr>
          <w:i/>
          <w:iCs/>
        </w:rPr>
        <w:t xml:space="preserve">after</w:t>
      </w:r>
      <w:r>
        <w:t xml:space="preserve"> class, such as coffee, errands and the walk home. Figure 2 maps this gap.</w:t>
      </w:r>
    </w:p>
    <w:p>
      <w:pPr>
        <w:keepNext/>
        <w:spacing w:after="40" w:before="200"/>
      </w:pPr>
      <w:r>
        <w:rPr>
          <w:b/>
          <w:bCs/>
        </w:rPr>
        <w:t xml:space="preserve">Figure 2</w:t>
      </w:r>
    </w:p>
    <w:p>
      <w:pPr>
        <w:keepNext/>
        <w:spacing w:after="100"/>
      </w:pPr>
      <w:r>
        <w:rPr>
          <w:i/>
          <w:iCs/>
        </w:rPr>
        <w:t xml:space="preserve">Perceptual Positioning Map of the Australian Premium Activewear Market</w:t>
      </w:r>
    </w:p>
    <w:p>
      <w:pPr>
        <w:keepNext/>
        <w:spacing w:after="80"/>
        <w:jc w:val="center"/>
      </w:pPr>
      <w:r>
        <w:drawing>
          <wp:inline distT="0" distB="0" distL="0" distR="0">
            <wp:extent cx="603504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5040" cy="34575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Positions are the agency's judgement based on the price and positioning evidence in Table 1 (e.g., Lanoue, 2025; Salpini, 2025b). They should be validated with attribute ratings in the pre-campaign survey before being used for creative decisions.</w:t>
      </w:r>
    </w:p>
    <w:p>
      <w:pPr>
        <w:spacing w:after="160" w:line="288"/>
      </w:pPr>
      <w:r>
        <w:t xml:space="preserve">The map shows that competitor weaknesses cluster around dated or mainly functional design (Lululemon, Nike, Gymshark) and divided or mid-market focus (Lorna Jane, Aje Athletica). The premium, fashion-led, all-day space is where Alo's existing global image already points, so claiming it locally builds on equity Alo already has rather than inventing new equity. The map also exposes a risk: P.E Nation and Aje Athletica sit close by and carry local credentials that Alo lacks. Fashion appeal alone is therefore not a defensible point of difference. Fashion plus demonstrable studio performance, made locally relevant, is.</w:t>
      </w:r>
    </w:p>
    <w:p>
      <w:pPr>
        <w:pStyle w:val="Heading2"/>
      </w:pPr>
      <w:r>
        <w:t xml:space="preserve">1.3 Target Audience</w:t>
      </w:r>
    </w:p>
    <w:p>
      <w:pPr>
        <w:spacing w:after="160" w:line="288"/>
      </w:pPr>
      <w:r>
        <w:t xml:space="preserve">Segmentation divides a market into groups with distinct needs so a brand can concentrate resources on the best fit (Smith, 1956). Table 2 evaluates three potential segments against standard criteria of effective segmentation: substantial, accessible, differentiable and actionable (Kotler et al., 2022). We add a fifth criterion, fit with Alo's premium, fashion-led positioning.</w:t>
      </w:r>
    </w:p>
    <w:p>
      <w:pPr>
        <w:keepNext/>
        <w:spacing w:after="40" w:before="200"/>
      </w:pPr>
      <w:r>
        <w:rPr>
          <w:b/>
          <w:bCs/>
        </w:rPr>
        <w:t xml:space="preserve">Table 2</w:t>
      </w:r>
    </w:p>
    <w:p>
      <w:pPr>
        <w:keepNext/>
        <w:spacing w:after="100"/>
      </w:pPr>
      <w:r>
        <w:rPr>
          <w:i/>
          <w:iCs/>
        </w:rPr>
        <w:t xml:space="preserve">Evaluation of Potential Target Segments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2891"/>
        <w:gridCol w:w="2506"/>
        <w:gridCol w:w="2506"/>
      </w:tblGrid>
      <w:tr>
        <w:trPr>
          <w:tblHeader/>
        </w:trPr>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Criterion</w:t>
            </w:r>
          </w:p>
        </w:tc>
        <w:tc>
          <w:tcPr>
            <w:tcW w:type="dxa" w:w="289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Segment A: Style-conscious women, 22–34, Sydney</w:t>
            </w:r>
          </w:p>
        </w:tc>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Segment B: Affluent wellness women, 35–50</w:t>
            </w:r>
          </w:p>
        </w:tc>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Segment C: Men and unisex shoppers</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Profile</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Pilates, yoga and gym; daily Instagram and TikTok users; spend on appearance; spans older Gen Z and younger Millennials (Bryant, 2026a)</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Higher incomes; established wellness routines</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Growing segment but a small share of Alo's current range</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Substantial</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Medium–high: large studio-fitness population</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 value per customer</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Low within Alo's current offer</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Accessible</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 lives and works near Chatswood, CBD and Bondi stores; reachable through social and creators</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 reachable, but media habits more dispersed</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Differentiable / responsive</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 identity-driven purchase (Belk, 1988); open to new brands</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Low: loyal to Lululemon and Lorna Jane, harder to switch</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Actionable within A$250k</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 creators and social are cost-efficient</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 needs separate creative and range</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Fit with Alo positioning</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 Alo turns a healthy lifestyle into a visible identity (36Kr, 2026)</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Low–medium</w:t>
            </w:r>
          </w:p>
        </w:tc>
      </w:tr>
      <w:tr>
        <w:trPr>
          <w:cantSplit/>
        </w:trPr>
        <w:tc>
          <w:tcPr>
            <w:tcW w:type="dxa" w:w="1735"/>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Decision</w:t>
            </w:r>
          </w:p>
        </w:tc>
        <w:tc>
          <w:tcPr>
            <w:tcW w:type="dxa" w:w="289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Primary target</w:t>
            </w:r>
          </w:p>
        </w:tc>
        <w:tc>
          <w:tcPr>
            <w:tcW w:type="dxa" w:w="250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Welcome spillover via outdoor and audio</w:t>
            </w:r>
          </w:p>
        </w:tc>
        <w:tc>
          <w:tcPr>
            <w:tcW w:type="dxa" w:w="250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Not targeted in this phase</w:t>
            </w:r>
          </w:p>
        </w:tc>
      </w:tr>
    </w:tbl>
    <w:p>
      <w:pPr>
        <w:spacing w:after="240" w:before="60"/>
      </w:pPr>
      <w:r>
        <w:rPr>
          <w:i/>
          <w:iCs/>
          <w:color w:val="5B6770"/>
          <w:sz w:val="19"/>
          <w:szCs w:val="19"/>
        </w:rPr>
        <w:t xml:space="preserve">Note. </w:t>
      </w:r>
      <w:r>
        <w:rPr>
          <w:color w:val="5B6770"/>
          <w:sz w:val="19"/>
          <w:szCs w:val="19"/>
        </w:rPr>
        <w:t xml:space="preserve">Criteria adapted from Kotler et al. (2022), with "fit with Alo positioning" added by the agency.</w:t>
      </w:r>
    </w:p>
    <w:p>
      <w:pPr>
        <w:spacing w:after="160" w:line="288"/>
      </w:pPr>
      <w:r>
        <w:rPr>
          <w:b/>
          <w:bCs/>
        </w:rPr>
        <w:t xml:space="preserve">Segment A is selected.</w:t>
      </w:r>
      <w:r>
        <w:t xml:space="preserve"> Three theories explain why its members are likely to respond. Belk's (1988) </w:t>
      </w:r>
      <w:r>
        <w:rPr>
          <w:i/>
          <w:iCs/>
        </w:rPr>
        <w:t xml:space="preserve">extended self</w:t>
      </w:r>
      <w:r>
        <w:t xml:space="preserve"> holds that possessions become part of identity, and Belk (2013) argues that digital self-presentation intensifies this. </w:t>
      </w:r>
      <w:r>
        <w:rPr>
          <w:i/>
          <w:iCs/>
        </w:rPr>
        <w:t xml:space="preserve">Self-congruity theory</w:t>
      </w:r>
      <w:r>
        <w:t xml:space="preserve"> (Sirgy, 1982) predicts that consumers favour brands whose image matches their actual or ideal self. Alo's image of a polished, active, socially visible lifestyle (36Kr, 2026) matches the ideal self that Segment A curates on Instagram and TikTok. Escalas and Bettman (2005) add that self-brand connections are strongest when a brand is used by one's in-group, which is why the campaign uses Sydney instructors and creators rather than global stars. The age range also spans two cohorts that use similar platforms but respond to different appeals: older Gen Z are motivated by authenticity, younger Millennials by experiences and convenience (Bryant, 2026a). The campaign answers both, with unpolished creator content for the first group and bookable Sanctuary Sessions for the second.</w:t>
      </w:r>
    </w:p>
    <w:p>
      <w:pPr>
        <w:spacing w:after="160" w:line="288"/>
      </w:pPr>
      <w:r>
        <w:t xml:space="preserve">This choice has a cost, and we acknowledge it. Segment A has lower disposable income than Segment B, which makes price justification (Challenge 1) harder. Sharp (2010) also warns that over-targeting starves a brand of light buyers. We resolve this by treating Segment A as the </w:t>
      </w:r>
      <w:r>
        <w:rPr>
          <w:i/>
          <w:iCs/>
        </w:rPr>
        <w:t xml:space="preserve">creative</w:t>
      </w:r>
      <w:r>
        <w:t xml:space="preserve"> target, not a media fence: outdoor and Spotify will inevitably reach Segment B and C shoppers, and that spillover is welcome.</w:t>
      </w:r>
    </w:p>
    <w:p>
      <w:pPr>
        <w:spacing w:after="160" w:line="288"/>
      </w:pPr>
      <w:r>
        <w:rPr>
          <w:i/>
          <w:iCs/>
        </w:rPr>
        <w:t xml:space="preserve">Illustrative persona:</w:t>
      </w:r>
      <w:r>
        <w:t xml:space="preserve"> Mia, 27, lives in Surry Hills and works in marketing. She does reformer Pilates three times a week before work, scrolls Instagram and TikTok on the train, and treats her post-class coffee as part of the ritual. She owns two Lululemon sets but feels they "look like gym clothes" at brunch. She knows Alo from celebrity content but assumes it is "an LA thing".</w:t>
      </w:r>
    </w:p>
    <w:p>
      <w:pPr>
        <w:pStyle w:val="Heading2"/>
      </w:pPr>
      <w:r>
        <w:t xml:space="preserve">1.4 Marketing Communication Challenges</w:t>
      </w:r>
    </w:p>
    <w:p>
      <w:pPr>
        <w:spacing w:after="160" w:line="288"/>
      </w:pPr>
      <w:r>
        <w:t xml:space="preserve">The analysis above produces five challenges, ranked by how directly each blocks store visits. The first two are prioritised because they sit at the levels of the CBBE pyramid that are least developed (Figure 1).</w:t>
      </w:r>
    </w:p>
    <w:p>
      <w:pPr>
        <w:pStyle w:val="ListParagraph"/>
        <w:numPr>
          <w:ilvl w:val="0"/>
          <w:numId w:val="2"/>
        </w:numPr>
        <w:spacing w:after="100" w:line="288"/>
      </w:pPr>
      <w:r>
        <w:rPr>
          <w:b/>
          <w:bCs/>
        </w:rPr>
        <w:t xml:space="preserve">Justifying the premium price.</w:t>
      </w:r>
      <w:r>
        <w:t xml:space="preserve"> Luxury positioning needs a story of exclusivity and meaning, not feature lists alone (Kapferer &amp; Bastien, 2009). With Lululemon slightly cheaper and already trusted, Alo must give Segment A a reason to pay more that she can defend to herself.</w:t>
      </w:r>
    </w:p>
    <w:p>
      <w:pPr>
        <w:pStyle w:val="ListParagraph"/>
        <w:numPr>
          <w:ilvl w:val="0"/>
          <w:numId w:val="2"/>
        </w:numPr>
        <w:spacing w:after="100" w:line="288"/>
      </w:pPr>
      <w:r>
        <w:rPr>
          <w:b/>
          <w:bCs/>
        </w:rPr>
        <w:t xml:space="preserve">Sustaining local awareness after the launch peak.</w:t>
      </w:r>
      <w:r>
        <w:t xml:space="preserve"> Alo built search interest comparable to more established brands at opening, but interest has been inconsistent and has fallen back to roughly its pre-opening level. The September opening of The Galeries store produced no visible lift (Appendix A). The challenge is to sustain salience once launch novelty has gone.</w:t>
      </w:r>
    </w:p>
    <w:p>
      <w:pPr>
        <w:pStyle w:val="ListParagraph"/>
        <w:numPr>
          <w:ilvl w:val="0"/>
          <w:numId w:val="2"/>
        </w:numPr>
        <w:spacing w:after="100" w:line="288"/>
      </w:pPr>
      <w:r>
        <w:rPr>
          <w:b/>
          <w:bCs/>
        </w:rPr>
        <w:t xml:space="preserve">Limited physical reach.</w:t>
      </w:r>
      <w:r>
        <w:t xml:space="preserve"> Two open stores (three if Bondi Junction opens before the campaign) cannot cover Greater Sydney, so digital and social channels must carry most of the campaign and direct people to stores.</w:t>
      </w:r>
    </w:p>
    <w:p>
      <w:pPr>
        <w:pStyle w:val="ListParagraph"/>
        <w:numPr>
          <w:ilvl w:val="0"/>
          <w:numId w:val="2"/>
        </w:numPr>
        <w:spacing w:after="100" w:line="288"/>
      </w:pPr>
      <w:r>
        <w:rPr>
          <w:b/>
          <w:bCs/>
        </w:rPr>
        <w:t xml:space="preserve">Standing apart from Lululemon.</w:t>
      </w:r>
      <w:r>
        <w:t xml:space="preserve"> Lululemon already owns "community" through its ambassador model (Salpini, 2025b), so a generic community message would strengthen the leader. Alo needs a different, recognisable experience.</w:t>
      </w:r>
    </w:p>
    <w:p>
      <w:pPr>
        <w:pStyle w:val="ListParagraph"/>
        <w:numPr>
          <w:ilvl w:val="0"/>
          <w:numId w:val="2"/>
        </w:numPr>
        <w:spacing w:after="100" w:line="288"/>
      </w:pPr>
      <w:r>
        <w:rPr>
          <w:b/>
          <w:bCs/>
        </w:rPr>
        <w:t xml:space="preserve">Feeling Australian, not imported.</w:t>
      </w:r>
      <w:r>
        <w:t xml:space="preserve"> Alo's global fame rests on celebrity visibility (Inside Retail, 2026), but endorsements persuade only when the source is credible and fits the audience (Bryant, 2026b). Local people and settings are needed for authenticity.</w:t>
      </w:r>
    </w:p>
    <w:p>
      <w:pPr>
        <w:spacing w:after="60"/>
      </w:pPr>
    </w:p>
    <w:p>
      <w:pPr>
        <w:spacing w:after="160" w:line="288"/>
      </w:pPr>
      <w:r>
        <w:t xml:space="preserve">With a A$250,000 budget, roughly a tenth of what a national launch campaign might command, the campaign must concentrate on Segment A, Greater Sydney and a small number of high-impact touchpoints.</w:t>
      </w:r>
    </w:p>
    <w:p>
      <w:pPr>
        <w:pStyle w:val="Heading1"/>
      </w:pPr>
      <w:r>
        <w:t xml:space="preserve">2. Communication Objectives</w:t>
      </w:r>
    </w:p>
    <w:p>
      <w:pPr>
        <w:spacing w:after="160" w:line="288"/>
      </w:pPr>
      <w:r>
        <w:t xml:space="preserve">Each objective follows the DAGMAR approach (Colley, 1961), specifying the communication task, target audience, benchmark, degree of change and time period. All four target Segment A (women aged 22–34 in Greater Sydney) over the 12-week campaign (4 January – 28 March 2027) and are measured through pre- and post-campaign surveys (Section 6).</w:t>
      </w:r>
    </w:p>
    <w:p>
      <w:pPr>
        <w:keepNext/>
        <w:spacing w:after="40" w:before="200"/>
      </w:pPr>
      <w:r>
        <w:rPr>
          <w:b/>
          <w:bCs/>
        </w:rPr>
        <w:t xml:space="preserve">Table 3</w:t>
      </w:r>
    </w:p>
    <w:p>
      <w:pPr>
        <w:keepNext/>
        <w:spacing w:after="100"/>
      </w:pPr>
      <w:r>
        <w:rPr>
          <w:i/>
          <w:iCs/>
        </w:rPr>
        <w:t xml:space="preserve">DAGMAR Communication Objectives (Segment A, Greater Sydney, 4 January – 28 March 2027)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5"/>
        <w:gridCol w:w="867"/>
        <w:gridCol w:w="1060"/>
        <w:gridCol w:w="3181"/>
        <w:gridCol w:w="1928"/>
        <w:gridCol w:w="964"/>
        <w:gridCol w:w="963"/>
      </w:tblGrid>
      <w:tr>
        <w:trPr>
          <w:tblHeader/>
        </w:trPr>
        <w:tc>
          <w:tcPr>
            <w:tcW w:type="dxa" w:w="67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t>
            </w:r>
          </w:p>
        </w:tc>
        <w:tc>
          <w:tcPr>
            <w:tcW w:type="dxa" w:w="86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Stage</w:t>
            </w:r>
          </w:p>
        </w:tc>
        <w:tc>
          <w:tcPr>
            <w:tcW w:type="dxa" w:w="1060"/>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Challenge</w:t>
            </w:r>
          </w:p>
        </w:tc>
        <w:tc>
          <w:tcPr>
            <w:tcW w:type="dxa" w:w="318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Objective (task and degree of change)</w:t>
            </w:r>
          </w:p>
        </w:tc>
        <w:tc>
          <w:tcPr>
            <w:tcW w:type="dxa" w:w="1928"/>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Survey measure</w:t>
            </w:r>
          </w:p>
        </w:tc>
        <w:tc>
          <w:tcPr>
            <w:tcW w:type="dxa" w:w="96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Baseline (est.)</w:t>
            </w:r>
          </w:p>
        </w:tc>
        <w:tc>
          <w:tcPr>
            <w:tcW w:type="dxa" w:w="96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Target</w:t>
            </w:r>
          </w:p>
        </w:tc>
      </w:tr>
      <w:tr>
        <w:trPr>
          <w:cantSplit/>
        </w:trPr>
        <w:tc>
          <w:tcPr>
            <w:tcW w:type="dxa" w:w="67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O1</w:t>
            </w:r>
          </w:p>
        </w:tc>
        <w:tc>
          <w:tcPr>
            <w:tcW w:type="dxa" w:w="86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Feel</w:t>
            </w:r>
          </w:p>
        </w:tc>
        <w:tc>
          <w:tcPr>
            <w:tcW w:type="dxa" w:w="106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w:t>
            </w:r>
          </w:p>
        </w:tc>
        <w:tc>
          <w:tcPr>
            <w:tcW w:type="dxa" w:w="318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Increase agreement that "Alo is worth paying more for" by 15 percentage points</w:t>
            </w:r>
          </w:p>
        </w:tc>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Agree / strongly agree, 5-point scale</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w:t>
            </w:r>
          </w:p>
        </w:tc>
        <w:tc>
          <w:tcPr>
            <w:tcW w:type="dxa" w:w="96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30%</w:t>
            </w:r>
          </w:p>
        </w:tc>
      </w:tr>
      <w:tr>
        <w:trPr>
          <w:cantSplit/>
        </w:trPr>
        <w:tc>
          <w:tcPr>
            <w:tcW w:type="dxa" w:w="67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O2</w:t>
            </w:r>
          </w:p>
        </w:tc>
        <w:tc>
          <w:tcPr>
            <w:tcW w:type="dxa" w:w="86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Feel</w:t>
            </w:r>
          </w:p>
        </w:tc>
        <w:tc>
          <w:tcPr>
            <w:tcW w:type="dxa" w:w="106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4, 5</w:t>
            </w:r>
          </w:p>
        </w:tc>
        <w:tc>
          <w:tcPr>
            <w:tcW w:type="dxa" w:w="318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Increase agreement that Alo "is a brand for people like me in Sydney" by 13 percentage points</w:t>
            </w:r>
          </w:p>
        </w:tc>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Agree / strongly agree, 5-point scale</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12%</w:t>
            </w:r>
          </w:p>
        </w:tc>
        <w:tc>
          <w:tcPr>
            <w:tcW w:type="dxa" w:w="96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25%</w:t>
            </w:r>
          </w:p>
        </w:tc>
      </w:tr>
      <w:tr>
        <w:trPr>
          <w:cantSplit/>
        </w:trPr>
        <w:tc>
          <w:tcPr>
            <w:tcW w:type="dxa" w:w="67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O3</w:t>
            </w:r>
          </w:p>
        </w:tc>
        <w:tc>
          <w:tcPr>
            <w:tcW w:type="dxa" w:w="86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Learn</w:t>
            </w:r>
          </w:p>
        </w:tc>
        <w:tc>
          <w:tcPr>
            <w:tcW w:type="dxa" w:w="106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w:t>
            </w:r>
          </w:p>
        </w:tc>
        <w:tc>
          <w:tcPr>
            <w:tcW w:type="dxa" w:w="318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Increase awareness that Alo has stores in Sydney by 25 percentage points</w:t>
            </w:r>
          </w:p>
        </w:tc>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Prompted: "Which of these brands have a store in Sydney?"</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25%</w:t>
            </w:r>
          </w:p>
        </w:tc>
        <w:tc>
          <w:tcPr>
            <w:tcW w:type="dxa" w:w="96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50%</w:t>
            </w:r>
          </w:p>
        </w:tc>
      </w:tr>
      <w:tr>
        <w:trPr>
          <w:cantSplit/>
        </w:trPr>
        <w:tc>
          <w:tcPr>
            <w:tcW w:type="dxa" w:w="67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O4</w:t>
            </w:r>
          </w:p>
        </w:tc>
        <w:tc>
          <w:tcPr>
            <w:tcW w:type="dxa" w:w="86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Do</w:t>
            </w:r>
          </w:p>
        </w:tc>
        <w:tc>
          <w:tcPr>
            <w:tcW w:type="dxa" w:w="106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3</w:t>
            </w:r>
          </w:p>
        </w:tc>
        <w:tc>
          <w:tcPr>
            <w:tcW w:type="dxa" w:w="318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Increase the share who visited an Alo store or Alo's website in the past three months by 7 percentage points</w:t>
            </w:r>
          </w:p>
        </w:tc>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Self-reported, triangulated with store traffic and web analytics</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8%</w:t>
            </w:r>
          </w:p>
        </w:tc>
        <w:tc>
          <w:tcPr>
            <w:tcW w:type="dxa" w:w="96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15%</w:t>
            </w:r>
          </w:p>
        </w:tc>
      </w:tr>
    </w:tbl>
    <w:p>
      <w:pPr>
        <w:spacing w:after="240" w:before="60"/>
      </w:pPr>
      <w:r>
        <w:rPr>
          <w:i/>
          <w:iCs/>
          <w:color w:val="5B6770"/>
          <w:sz w:val="19"/>
          <w:szCs w:val="19"/>
        </w:rPr>
        <w:t xml:space="preserve">Note. </w:t>
      </w:r>
      <w:r>
        <w:rPr>
          <w:color w:val="5B6770"/>
          <w:sz w:val="19"/>
          <w:szCs w:val="19"/>
        </w:rPr>
        <w:t xml:space="preserve">Baselines are agency estimates to be confirmed by the December 2026 survey; if they differ, the point change is retained. Objective structure follows Colley (1961).</w:t>
      </w:r>
    </w:p>
    <w:p>
      <w:pPr>
        <w:spacing w:after="160" w:line="288"/>
      </w:pPr>
      <w:r>
        <w:t xml:space="preserve">The objectives follow a </w:t>
      </w:r>
      <w:r>
        <w:rPr>
          <w:b/>
          <w:bCs/>
        </w:rPr>
        <w:t xml:space="preserve">feel → learn → do</w:t>
      </w:r>
      <w:r>
        <w:t xml:space="preserve"> sequence. Vaughn's (1980) FCB grid places premium activewear in the high-involvement, feeling quadrant (Figure 3). The purchase costs A$100–200 per item, so it is considered, and it is worn in front of others, so it expresses identity. In this quadrant, an emotional connection precedes information seeking and then purchase. Applying the grid also shows that the pillars do not all sit in one quadrant. </w:t>
      </w:r>
      <w:r>
        <w:rPr>
          <w:i/>
          <w:iCs/>
        </w:rPr>
        <w:t xml:space="preserve">Worth it</w:t>
      </w:r>
      <w:r>
        <w:t xml:space="preserve"> borders the high-involvement thinking quadrant, because the price must also make rational sense. </w:t>
      </w:r>
      <w:r>
        <w:rPr>
          <w:i/>
          <w:iCs/>
        </w:rPr>
        <w:t xml:space="preserve">Find us</w:t>
      </w:r>
      <w:r>
        <w:t xml:space="preserve"> behaves like a low-involvement fact that is learned through repetition. The grid therefore justifies using different message tactics within one campaign, which Section 3 develops.</w:t>
      </w:r>
    </w:p>
    <w:p>
      <w:pPr>
        <w:keepNext/>
        <w:spacing w:after="40" w:before="200"/>
      </w:pPr>
      <w:r>
        <w:rPr>
          <w:b/>
          <w:bCs/>
        </w:rPr>
        <w:t xml:space="preserve">Figure 3</w:t>
      </w:r>
    </w:p>
    <w:p>
      <w:pPr>
        <w:keepNext/>
        <w:spacing w:after="100"/>
      </w:pPr>
      <w:r>
        <w:rPr>
          <w:i/>
          <w:iCs/>
        </w:rPr>
        <w:t xml:space="preserve">FCB Grid Applied to the Alo Campaign and Its Objectives</w:t>
      </w:r>
    </w:p>
    <w:p>
      <w:pPr>
        <w:keepNext/>
        <w:spacing w:after="80"/>
        <w:jc w:val="center"/>
      </w:pPr>
      <w:r>
        <w:drawing>
          <wp:inline distT="0" distB="0" distL="0" distR="0">
            <wp:extent cx="603504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5040" cy="26670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Vaughn (1980). O1–O4 refer to the objectives in Table 3.</w:t>
      </w:r>
    </w:p>
    <w:p>
      <w:pPr>
        <w:spacing w:after="160" w:line="288"/>
      </w:pPr>
      <w:r>
        <w:t xml:space="preserve">Two critical qualifications apply. First, hierarchy models assume consumers move through stages in a fixed order, but Vakratsas and Ambler's (1999) review found little evidence for any single sequence. Feel → learn → do is therefore used as a planning heuristic, not a prediction, and all four objectives are tracked at the same time rather than in turn. Second, Alo publishes no Australian tracking data, so baselines are informed estimates that the pre-campaign survey will confirm. If baselines differ, the </w:t>
      </w:r>
      <w:r>
        <w:rPr>
          <w:i/>
          <w:iCs/>
        </w:rPr>
        <w:t xml:space="preserve">point change</w:t>
      </w:r>
      <w:r>
        <w:t xml:space="preserve"> is retained. Store visits rather than sales are targeted because sales also depend on price, stock and competitor activity that communication cannot control (Belch &amp; Belch, 2021). Objective 3 (doubling store awareness) is ambitious but attainable because every paid asset carries store information and outdoor sites are concentrated around store catchments.</w:t>
      </w:r>
    </w:p>
    <w:p>
      <w:pPr>
        <w:pStyle w:val="Heading1"/>
      </w:pPr>
      <w:r>
        <w:t xml:space="preserve">3. Communication Strategy</w:t>
      </w:r>
    </w:p>
    <w:p>
      <w:pPr>
        <w:pStyle w:val="Heading2"/>
      </w:pPr>
      <w:r>
        <w:t xml:space="preserve">3.1 Strategic Mission and Customer Insight</w:t>
      </w:r>
    </w:p>
    <w:p>
      <w:pPr>
        <w:spacing w:after="160" w:line="288"/>
      </w:pPr>
      <w:r>
        <w:t xml:space="preserve">Alo is already salient in Sydney (Appendix A) but is perceived as a distant foreign brand (Duong, 2026). Communication must therefore turn existing familiarity into felt relevance, then into knowledge of local stores, then into visits. The insight that makes this possible is that </w:t>
      </w:r>
      <w:r>
        <w:rPr>
          <w:b/>
          <w:bCs/>
        </w:rPr>
        <w:t xml:space="preserve">for Segment A, studio fitness is a social performance as well as a physical one.</w:t>
      </w:r>
      <w:r>
        <w:t xml:space="preserve"> People curate how they present themselves to others (Goffman, 1959), increasingly online (Belk, 2013), and young women experience exercise as visible "aesthetic labour" shaped by Instagram (Camacho-Miñano et al., 2019). Activewear is judged not only in class but in every moment afterwards when its wearer is seen. The same research cuts both ways, however. Camacho-Miñano et al. (2019) show that this visibility also creates body-image pressure, so the insight carries an ethical obligation that Section 4.3 builds into the creative guardrails.</w:t>
      </w:r>
    </w:p>
    <w:p>
      <w:pPr>
        <w:pStyle w:val="Heading2"/>
      </w:pPr>
      <w:r>
        <w:t xml:space="preserve">3.2 Positioning and Value Proposition</w:t>
      </w:r>
    </w:p>
    <w:p>
      <w:pPr>
        <w:spacing w:after="160" w:line="288"/>
      </w:pPr>
      <w:r>
        <w:rPr>
          <w:b/>
          <w:bCs/>
        </w:rPr>
        <w:t xml:space="preserve">Positioning statement:</w:t>
      </w:r>
      <w:r>
        <w:t xml:space="preserve"> </w:t>
      </w:r>
      <w:r>
        <w:rPr>
          <w:i/>
          <w:iCs/>
        </w:rPr>
        <w:t xml:space="preserve">For style-led studio women in Sydney, Alo is the premium activewear brand designed to move from the reformer to the rest of the day, because its fabric, fit and design are made to be seen both in class and after it.</w:t>
      </w:r>
    </w:p>
    <w:p>
      <w:pPr>
        <w:spacing w:after="160" w:line="288"/>
      </w:pPr>
      <w:r>
        <w:t xml:space="preserve">Keller's (2001) distinction between points of parity and points of difference clarifies what this statement must do. On </w:t>
      </w:r>
      <w:r>
        <w:rPr>
          <w:b/>
          <w:bCs/>
        </w:rPr>
        <w:t xml:space="preserve">parity</w:t>
      </w:r>
      <w:r>
        <w:t xml:space="preserve">, Alo must be seen as matching Lululemon on technical quality; otherwise the fashion claim reads as style over substance. On </w:t>
      </w:r>
      <w:r>
        <w:rPr>
          <w:b/>
          <w:bCs/>
        </w:rPr>
        <w:t xml:space="preserve">difference</w:t>
      </w:r>
      <w:r>
        <w:t xml:space="preserve">, Alo claims design-led, all-day versatility, an occasion that Figure 2 shows is unclaimed. Lululemon is criticised as predictable and dated (Salpini, 2025b), and Lorna Jane carries trust concerns after the ACCC (2021) penalty, which leaves design-led versatility open.</w:t>
      </w:r>
    </w:p>
    <w:p>
      <w:pPr>
        <w:spacing w:after="160" w:line="288"/>
      </w:pPr>
      <w:r>
        <w:t xml:space="preserve">The value proposition pairs </w:t>
      </w:r>
      <w:r>
        <w:rPr>
          <w:b/>
          <w:bCs/>
        </w:rPr>
        <w:t xml:space="preserve">global prestige with local belonging</w:t>
      </w:r>
      <w:r>
        <w:t xml:space="preserve">. Perceived brand globalness signals quality and prestige (Steenkamp et al., 2003), which supports the premium. Perceived brand </w:t>
      </w:r>
      <w:r>
        <w:rPr>
          <w:i/>
          <w:iCs/>
        </w:rPr>
        <w:t xml:space="preserve">localness</w:t>
      </w:r>
      <w:r>
        <w:t xml:space="preserve"> adds relational value, and Sichtmann et al. (2019) found it can strengthen identification with foreign brands even more than with domestic ones. The risk in this "glocal" approach is incoherence, where Alo looks like a different brand in Sydney. We manage this by keeping Alo's global brand codes (logo, neutral palette, studio aesthetic) fixed and localising only the people and places.</w:t>
      </w:r>
    </w:p>
    <w:p>
      <w:pPr>
        <w:pStyle w:val="Heading2"/>
      </w:pPr>
      <w:r>
        <w:t xml:space="preserve">3.3 Core Message and Message Strategy</w:t>
      </w:r>
    </w:p>
    <w:p>
      <w:pPr>
        <w:spacing w:after="160" w:line="288"/>
      </w:pPr>
      <w:r>
        <w:t xml:space="preserve">One core message carries the proposition across every touchpoint: </w:t>
      </w:r>
      <w:r>
        <w:rPr>
          <w:b/>
          <w:bCs/>
        </w:rPr>
        <w:t xml:space="preserve">"Mat to Moment: one set, made for the whole day."</w:t>
      </w:r>
      <w:r>
        <w:t xml:space="preserve"> The hero creative series, </w:t>
      </w:r>
      <w:r>
        <w:rPr>
          <w:i/>
          <w:iCs/>
        </w:rPr>
        <w:t xml:space="preserve">One Set, One Day</w:t>
      </w:r>
      <w:r>
        <w:t xml:space="preserve">, dramatises this line (Section 4), and every execution ends on the "Mat to Moment" sign-off so the campaign speaks with one voice. The message is expressed through three pillars, each tied to an objective:</w:t>
      </w:r>
    </w:p>
    <w:p>
      <w:pPr>
        <w:pStyle w:val="ListParagraph"/>
        <w:numPr>
          <w:ilvl w:val="0"/>
          <w:numId w:val="3"/>
        </w:numPr>
        <w:spacing w:after="100" w:line="288"/>
      </w:pPr>
      <w:r>
        <w:rPr>
          <w:b/>
          <w:bCs/>
        </w:rPr>
        <w:t xml:space="preserve">Worth it</w:t>
      </w:r>
      <w:r>
        <w:t xml:space="preserve">: fabric, fit and cost per wear justify the premium (Objective 1).</w:t>
      </w:r>
    </w:p>
    <w:p>
      <w:pPr>
        <w:pStyle w:val="ListParagraph"/>
        <w:numPr>
          <w:ilvl w:val="0"/>
          <w:numId w:val="3"/>
        </w:numPr>
        <w:spacing w:after="100" w:line="288"/>
      </w:pPr>
      <w:r>
        <w:rPr>
          <w:b/>
          <w:bCs/>
        </w:rPr>
        <w:t xml:space="preserve">Made for Sydney's day</w:t>
      </w:r>
      <w:r>
        <w:t xml:space="preserve">: local instructors, creators and settings show that Alo belongs in the audience's routine (Objective 2).</w:t>
      </w:r>
    </w:p>
    <w:p>
      <w:pPr>
        <w:pStyle w:val="ListParagraph"/>
        <w:numPr>
          <w:ilvl w:val="0"/>
          <w:numId w:val="3"/>
        </w:numPr>
        <w:spacing w:after="100" w:line="288"/>
      </w:pPr>
      <w:r>
        <w:rPr>
          <w:b/>
          <w:bCs/>
        </w:rPr>
        <w:t xml:space="preserve">Find us</w:t>
      </w:r>
      <w:r>
        <w:t xml:space="preserve">: direct the audience to Alo's Sydney stores and website (Objectives 3 and 4).</w:t>
      </w:r>
    </w:p>
    <w:p>
      <w:pPr>
        <w:spacing w:after="60"/>
      </w:pPr>
    </w:p>
    <w:p>
      <w:pPr>
        <w:spacing w:after="160" w:line="288"/>
      </w:pPr>
      <w:r>
        <w:t xml:space="preserve">Because the pillars ask the audience to process different kinds of information, they are delivered through different persuasion tactics. The Rossiter–Percy grid (Rossiter et al., 1991) refines the FCB analysis by asking </w:t>
      </w:r>
      <w:r>
        <w:rPr>
          <w:i/>
          <w:iCs/>
        </w:rPr>
        <w:t xml:space="preserve">why</w:t>
      </w:r>
      <w:r>
        <w:t xml:space="preserve"> the audience is motivated (Figure 4). </w:t>
      </w:r>
      <w:r>
        <w:rPr>
          <w:i/>
          <w:iCs/>
        </w:rPr>
        <w:t xml:space="preserve">Worth it</w:t>
      </w:r>
      <w:r>
        <w:t xml:space="preserve"> answers a negative, informational motive, anticipated regret ("Will I regret paying more than for Lululemon?"), so its claims must be </w:t>
      </w:r>
      <w:r>
        <w:rPr>
          <w:i/>
          <w:iCs/>
        </w:rPr>
        <w:t xml:space="preserve">believed</w:t>
      </w:r>
      <w:r>
        <w:t xml:space="preserve"> and not merely stated. </w:t>
      </w:r>
      <w:r>
        <w:rPr>
          <w:i/>
          <w:iCs/>
        </w:rPr>
        <w:t xml:space="preserve">Made for Sydney's day</w:t>
      </w:r>
      <w:r>
        <w:t xml:space="preserve"> answers a positive, transformational motive, social approval, so the audience must </w:t>
      </w:r>
      <w:r>
        <w:rPr>
          <w:i/>
          <w:iCs/>
        </w:rPr>
        <w:t xml:space="preserve">identify</w:t>
      </w:r>
      <w:r>
        <w:t xml:space="preserve"> with the people and places shown. </w:t>
      </w:r>
      <w:r>
        <w:rPr>
          <w:i/>
          <w:iCs/>
        </w:rPr>
        <w:t xml:space="preserve">Find us</w:t>
      </w:r>
      <w:r>
        <w:t xml:space="preserve"> is low-involvement information that needs simplicity and repetition rather than argument.</w:t>
      </w:r>
    </w:p>
    <w:p>
      <w:pPr>
        <w:keepNext/>
        <w:spacing w:after="40" w:before="200"/>
      </w:pPr>
      <w:r>
        <w:rPr>
          <w:b/>
          <w:bCs/>
        </w:rPr>
        <w:t xml:space="preserve">Figure 4</w:t>
      </w:r>
    </w:p>
    <w:p>
      <w:pPr>
        <w:keepNext/>
        <w:spacing w:after="100"/>
      </w:pPr>
      <w:r>
        <w:rPr>
          <w:i/>
          <w:iCs/>
        </w:rPr>
        <w:t xml:space="preserve">Rossiter–Percy Grid Applied to the Three Message Pillars</w:t>
      </w:r>
    </w:p>
    <w:p>
      <w:pPr>
        <w:keepNext/>
        <w:spacing w:after="80"/>
        <w:jc w:val="center"/>
      </w:pPr>
      <w:r>
        <w:drawing>
          <wp:inline distT="0" distB="0" distL="0" distR="0">
            <wp:extent cx="603504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5040" cy="30956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Rossiter et al. (1991).</w:t>
      </w:r>
    </w:p>
    <w:p>
      <w:pPr>
        <w:spacing w:after="160" w:line="288"/>
      </w:pPr>
      <w:r>
        <w:t xml:space="preserve">The </w:t>
      </w:r>
      <w:r>
        <w:rPr>
          <w:b/>
          <w:bCs/>
        </w:rPr>
        <w:t xml:space="preserve">Elaboration Likelihood Model</w:t>
      </w:r>
      <w:r>
        <w:t xml:space="preserve"> (ELM) explains how each pillar should persuade (Figure 5). People process arguments through a </w:t>
      </w:r>
      <w:r>
        <w:rPr>
          <w:i/>
          <w:iCs/>
        </w:rPr>
        <w:t xml:space="preserve">central route</w:t>
      </w:r>
      <w:r>
        <w:t xml:space="preserve"> when they are motivated and able, and rely on </w:t>
      </w:r>
      <w:r>
        <w:rPr>
          <w:i/>
          <w:iCs/>
        </w:rPr>
        <w:t xml:space="preserve">peripheral cues</w:t>
      </w:r>
      <w:r>
        <w:t xml:space="preserve"> such as attractive sources when they are not (Petty et al., 1983). Segment A is motivated, because premium activewear is a considered purchase, but meets most messages in brief moments such as scrolling, where ability is low. The peripheral route therefore carries </w:t>
      </w:r>
      <w:r>
        <w:rPr>
          <w:i/>
          <w:iCs/>
        </w:rPr>
        <w:t xml:space="preserve">Made for Sydney's day</w:t>
      </w:r>
      <w:r>
        <w:t xml:space="preserve"> through a transformational, use-occasion strategy (Laskey et al., 1989), using familiar local creators to build positive feeling. </w:t>
      </w:r>
      <w:r>
        <w:rPr>
          <w:i/>
          <w:iCs/>
        </w:rPr>
        <w:t xml:space="preserve">Find us</w:t>
      </w:r>
      <w:r>
        <w:t xml:space="preserve"> needs little elaboration: repetition alone builds the memory structures that Objective 3 depends on (Sharp, 2010).</w:t>
      </w:r>
    </w:p>
    <w:p>
      <w:pPr>
        <w:spacing w:after="160" w:line="288"/>
      </w:pPr>
      <w:r>
        <w:t xml:space="preserve">The central route carries </w:t>
      </w:r>
      <w:r>
        <w:rPr>
          <w:i/>
          <w:iCs/>
        </w:rPr>
        <w:t xml:space="preserve">Worth it</w:t>
      </w:r>
      <w:r>
        <w:t xml:space="preserve"> through an informational, unique-selling-proposition strategy (Laskey et al., 1989). Its benefits are evaluated in person at Sanctuary Sessions and through editorial reviews. Centrally formed attitudes last longer and resist counter-arguments such as "Lululemon is cheaper" (Petty &amp; Cacioppo, 1986). A price-led response was rejected, because discounting erodes the exclusivity that a premium brand depends on (Kapferer &amp; Bastien, 2009). Explicitly comparative advertising against Lululemon was also rejected, because naming the category leader would spend Alo's limited budget on the leader's salience.</w:t>
      </w:r>
    </w:p>
    <w:p>
      <w:pPr>
        <w:keepNext/>
        <w:spacing w:after="40" w:before="200"/>
      </w:pPr>
      <w:r>
        <w:rPr>
          <w:b/>
          <w:bCs/>
        </w:rPr>
        <w:t xml:space="preserve">Figure 5</w:t>
      </w:r>
    </w:p>
    <w:p>
      <w:pPr>
        <w:keepNext/>
        <w:spacing w:after="100"/>
      </w:pPr>
      <w:r>
        <w:rPr>
          <w:i/>
          <w:iCs/>
        </w:rPr>
        <w:t xml:space="preserve">Elaboration Likelihood Model Applied to Segment A and the Message Pillars</w:t>
      </w:r>
    </w:p>
    <w:p>
      <w:pPr>
        <w:keepNext/>
        <w:spacing w:after="80"/>
        <w:jc w:val="center"/>
      </w:pPr>
      <w:r>
        <w:drawing>
          <wp:inline distT="0" distB="0" distL="0" distR="0">
            <wp:extent cx="603504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5040" cy="36004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Petty et al. (1983) and Petty and Cacioppo (1986).</w:t>
      </w:r>
    </w:p>
    <w:p>
      <w:pPr>
        <w:spacing w:after="160" w:line="288"/>
      </w:pPr>
      <w:r>
        <w:t xml:space="preserve">The ELM has limits that shape the plan. The two routes are not mutually exclusive: one Instagram post can offer a peripheral cue (an attractive creator) and an argument (a squat test) at once. The central route also has a reach problem, since Sanctuary Sessions can host hundreds of people, not tens of thousands. The plan therefore films every session for social channels and Alo Moves, turning a high-elaboration experience for a few into credible proof for many.</w:t>
      </w:r>
    </w:p>
    <w:p>
      <w:pPr>
        <w:pStyle w:val="Heading2"/>
      </w:pPr>
      <w:r>
        <w:t xml:space="preserve">3.4 Source Selection</w:t>
      </w:r>
    </w:p>
    <w:p>
      <w:pPr>
        <w:spacing w:after="160" w:line="288"/>
      </w:pPr>
      <w:r>
        <w:t xml:space="preserve">Each pillar is delivered by the source best placed to make it credible, judged on expertise, trustworthiness and attractiveness (Ohanian, 1990) and on fit with the claim, the </w:t>
      </w:r>
      <w:r>
        <w:rPr>
          <w:i/>
          <w:iCs/>
        </w:rPr>
        <w:t xml:space="preserve">match-up hypothesis</w:t>
      </w:r>
      <w:r>
        <w:t xml:space="preserve"> (Kamins, 1990). Table 4 applies these criteria, including the rejected celebrity option.</w:t>
      </w:r>
    </w:p>
    <w:p>
      <w:pPr>
        <w:keepNext/>
        <w:spacing w:after="40" w:before="200"/>
      </w:pPr>
      <w:r>
        <w:rPr>
          <w:b/>
          <w:bCs/>
        </w:rPr>
        <w:t xml:space="preserve">Table 4</w:t>
      </w:r>
    </w:p>
    <w:p>
      <w:pPr>
        <w:keepNext/>
        <w:spacing w:after="100"/>
      </w:pPr>
      <w:r>
        <w:rPr>
          <w:i/>
          <w:iCs/>
        </w:rPr>
        <w:t xml:space="preserve">Source Credibility and Match-Up Assessment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1446"/>
        <w:gridCol w:w="964"/>
        <w:gridCol w:w="1060"/>
        <w:gridCol w:w="1157"/>
        <w:gridCol w:w="867"/>
        <w:gridCol w:w="2216"/>
      </w:tblGrid>
      <w:tr>
        <w:trPr>
          <w:tblHeader/>
        </w:trPr>
        <w:tc>
          <w:tcPr>
            <w:tcW w:type="dxa" w:w="1928"/>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Source</w:t>
            </w:r>
          </w:p>
        </w:tc>
        <w:tc>
          <w:tcPr>
            <w:tcW w:type="dxa" w:w="144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Pillar</w:t>
            </w:r>
          </w:p>
        </w:tc>
        <w:tc>
          <w:tcPr>
            <w:tcW w:type="dxa" w:w="96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Expertise</w:t>
            </w:r>
          </w:p>
        </w:tc>
        <w:tc>
          <w:tcPr>
            <w:tcW w:type="dxa" w:w="1060"/>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Trust</w:t>
            </w:r>
          </w:p>
        </w:tc>
        <w:tc>
          <w:tcPr>
            <w:tcW w:type="dxa" w:w="115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Attractive-ness</w:t>
            </w:r>
          </w:p>
        </w:tc>
        <w:tc>
          <w:tcPr>
            <w:tcW w:type="dxa" w:w="86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Local fit</w:t>
            </w:r>
          </w:p>
        </w:tc>
        <w:tc>
          <w:tcPr>
            <w:tcW w:type="dxa" w:w="221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Decision and rationale</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Sydney Pilates and yoga instructors (lead: Bernadette Sukkar)</w:t>
            </w:r>
          </w:p>
        </w:tc>
        <w:tc>
          <w:tcPr>
            <w:tcW w:type="dxa" w:w="144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Worth it; Made for Sydney's day</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w:t>
            </w:r>
          </w:p>
        </w:tc>
        <w:tc>
          <w:tcPr>
            <w:tcW w:type="dxa" w:w="106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Med–high</w:t>
            </w:r>
          </w:p>
        </w:tc>
        <w:tc>
          <w:tcPr>
            <w:tcW w:type="dxa" w:w="86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w:t>
            </w:r>
          </w:p>
        </w:tc>
        <w:tc>
          <w:tcPr>
            <w:tcW w:type="dxa" w:w="221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Selected.</w:t>
            </w:r>
            <w:r>
              <w:rPr>
                <w:b w:val="false"/>
                <w:bCs w:val="false"/>
                <w:color w:val="1E2A32"/>
                <w:sz w:val="17"/>
                <w:szCs w:val="17"/>
              </w:rPr>
              <w:t xml:space="preserve"> Expertise matches a studio-performance claim (Kamins, 1990)</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Local micro-creators (10k–100k followers)</w:t>
            </w:r>
          </w:p>
        </w:tc>
        <w:tc>
          <w:tcPr>
            <w:tcW w:type="dxa" w:w="144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Made for Sydney's day</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106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w:t>
            </w:r>
          </w:p>
        </w:tc>
        <w:tc>
          <w:tcPr>
            <w:tcW w:type="dxa" w:w="86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w:t>
            </w:r>
          </w:p>
        </w:tc>
        <w:tc>
          <w:tcPr>
            <w:tcW w:type="dxa" w:w="221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Selected.</w:t>
            </w:r>
            <w:r>
              <w:rPr>
                <w:b w:val="false"/>
                <w:bCs w:val="false"/>
                <w:color w:val="1E2A32"/>
                <w:sz w:val="17"/>
                <w:szCs w:val="17"/>
              </w:rPr>
              <w:t xml:space="preserve"> Credible and informative (Lou &amp; Yuan, 2019); preserves distinctiveness (De Veirman et al., 2017)</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One mid-tier creator</w:t>
            </w:r>
          </w:p>
        </w:tc>
        <w:tc>
          <w:tcPr>
            <w:tcW w:type="dxa" w:w="144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Find us; Made for Sydney's day</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106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w:t>
            </w:r>
          </w:p>
        </w:tc>
        <w:tc>
          <w:tcPr>
            <w:tcW w:type="dxa" w:w="86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221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Selected.</w:t>
            </w:r>
            <w:r>
              <w:rPr>
                <w:b w:val="false"/>
                <w:bCs w:val="false"/>
                <w:color w:val="1E2A32"/>
                <w:sz w:val="17"/>
                <w:szCs w:val="17"/>
              </w:rPr>
              <w:t xml:space="preserve"> Extends reach beyond micro-creators' local circles</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Lifestyle press and editorial</w:t>
            </w:r>
          </w:p>
        </w:tc>
        <w:tc>
          <w:tcPr>
            <w:tcW w:type="dxa" w:w="144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Worth it</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Med–high</w:t>
            </w:r>
          </w:p>
        </w:tc>
        <w:tc>
          <w:tcPr>
            <w:tcW w:type="dxa" w:w="106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n/a</w:t>
            </w:r>
          </w:p>
        </w:tc>
        <w:tc>
          <w:tcPr>
            <w:tcW w:type="dxa" w:w="86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w:t>
            </w:r>
          </w:p>
        </w:tc>
        <w:tc>
          <w:tcPr>
            <w:tcW w:type="dxa" w:w="221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Selected.</w:t>
            </w:r>
            <w:r>
              <w:rPr>
                <w:b w:val="false"/>
                <w:bCs w:val="false"/>
                <w:color w:val="1E2A32"/>
                <w:sz w:val="17"/>
                <w:szCs w:val="17"/>
              </w:rPr>
              <w:t xml:space="preserve"> Third-party endorsement (Cameron, 1994)</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Customers (#MatToMoment)</w:t>
            </w:r>
          </w:p>
        </w:tc>
        <w:tc>
          <w:tcPr>
            <w:tcW w:type="dxa" w:w="144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Worth it; advocacy</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Low–med</w:t>
            </w:r>
          </w:p>
        </w:tc>
        <w:tc>
          <w:tcPr>
            <w:tcW w:type="dxa" w:w="106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86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w:t>
            </w:r>
          </w:p>
        </w:tc>
        <w:tc>
          <w:tcPr>
            <w:tcW w:type="dxa" w:w="221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Selected.</w:t>
            </w:r>
            <w:r>
              <w:rPr>
                <w:b w:val="false"/>
                <w:bCs w:val="false"/>
                <w:color w:val="1E2A32"/>
                <w:sz w:val="17"/>
                <w:szCs w:val="17"/>
              </w:rPr>
              <w:t xml:space="preserve"> Peer proof of cost per wear</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Alo brand channels</w:t>
            </w:r>
          </w:p>
        </w:tc>
        <w:tc>
          <w:tcPr>
            <w:tcW w:type="dxa" w:w="144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Find us</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 (facts)</w:t>
            </w:r>
          </w:p>
        </w:tc>
        <w:tc>
          <w:tcPr>
            <w:tcW w:type="dxa" w:w="106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86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Low–med</w:t>
            </w:r>
          </w:p>
        </w:tc>
        <w:tc>
          <w:tcPr>
            <w:tcW w:type="dxa" w:w="221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Selected</w:t>
            </w:r>
            <w:r>
              <w:rPr>
                <w:b w:val="false"/>
                <w:bCs w:val="false"/>
                <w:color w:val="1E2A32"/>
                <w:sz w:val="17"/>
                <w:szCs w:val="17"/>
              </w:rPr>
              <w:t xml:space="preserve"> for factual claims (Goldsmith et al., 2000)</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Global celebrity ambassador</w:t>
            </w:r>
          </w:p>
        </w:tc>
        <w:tc>
          <w:tcPr>
            <w:tcW w:type="dxa" w:w="144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w:t>
            </w:r>
          </w:p>
        </w:tc>
        <w:tc>
          <w:tcPr>
            <w:tcW w:type="dxa" w:w="106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Low–med</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w:t>
            </w:r>
          </w:p>
        </w:tc>
        <w:tc>
          <w:tcPr>
            <w:tcW w:type="dxa" w:w="86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w:t>
            </w:r>
          </w:p>
        </w:tc>
        <w:tc>
          <w:tcPr>
            <w:tcW w:type="dxa" w:w="221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Rejected.</w:t>
            </w:r>
            <w:r>
              <w:rPr>
                <w:b w:val="false"/>
                <w:bCs w:val="false"/>
                <w:color w:val="1E2A32"/>
                <w:sz w:val="17"/>
                <w:szCs w:val="17"/>
              </w:rPr>
              <w:t xml:space="preserve"> Transfers "imported" meaning (McCracken, 1989) and worsens Challenge 5</w:t>
            </w:r>
          </w:p>
        </w:tc>
      </w:tr>
    </w:tbl>
    <w:p>
      <w:pPr>
        <w:spacing w:after="240" w:before="60"/>
      </w:pPr>
      <w:r>
        <w:rPr>
          <w:i/>
          <w:iCs/>
          <w:color w:val="5B6770"/>
          <w:sz w:val="19"/>
          <w:szCs w:val="19"/>
        </w:rPr>
        <w:t xml:space="preserve">Note. </w:t>
      </w:r>
      <w:r>
        <w:rPr>
          <w:color w:val="5B6770"/>
          <w:sz w:val="19"/>
          <w:szCs w:val="19"/>
        </w:rPr>
        <w:t xml:space="preserve">Dimensions from Ohanian (1990); "local fit" added to reflect the match-up hypothesis (Kamins, 1990) in this market.</w:t>
      </w:r>
    </w:p>
    <w:p>
      <w:pPr>
        <w:spacing w:after="160" w:line="288"/>
      </w:pPr>
      <w:r>
        <w:t xml:space="preserve">McCracken's (1989) </w:t>
      </w:r>
      <w:r>
        <w:rPr>
          <w:b/>
          <w:bCs/>
        </w:rPr>
        <w:t xml:space="preserve">meaning transfer model</w:t>
      </w:r>
      <w:r>
        <w:t xml:space="preserve"> explains the rejection of a celebrity most clearly (Figure 6). Endorsers carry cultural meanings that pass to the brand and then to the consumer. Local instructors carry the meanings of Sydney studio life, and a global celebrity carries Los Angeles fame, which would deepen the "imported" perception the campaign must overcome (Challenge 5). This is a deliberate departure from Alo's global playbook and should be read as a market-entry choice, not a permanent rule.</w:t>
      </w:r>
    </w:p>
    <w:p>
      <w:pPr>
        <w:keepNext/>
        <w:spacing w:after="40" w:before="200"/>
      </w:pPr>
      <w:r>
        <w:rPr>
          <w:b/>
          <w:bCs/>
        </w:rPr>
        <w:t xml:space="preserve">Figure 6</w:t>
      </w:r>
    </w:p>
    <w:p>
      <w:pPr>
        <w:keepNext/>
        <w:spacing w:after="100"/>
      </w:pPr>
      <w:r>
        <w:rPr>
          <w:i/>
          <w:iCs/>
        </w:rPr>
        <w:t xml:space="preserve">Meaning Transfer Model: Selected Versus Rejected Sources</w:t>
      </w:r>
    </w:p>
    <w:p>
      <w:pPr>
        <w:keepNext/>
        <w:spacing w:after="80"/>
        <w:jc w:val="center"/>
      </w:pPr>
      <w:r>
        <w:drawing>
          <wp:inline distT="0" distB="0" distL="0" distR="0">
            <wp:extent cx="603504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5040" cy="18954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McCracken (1989).</w:t>
      </w:r>
    </w:p>
    <w:p>
      <w:pPr>
        <w:spacing w:after="160" w:line="288"/>
      </w:pPr>
      <w:r>
        <w:t xml:space="preserve">Paid creator content raises one further risk. The </w:t>
      </w:r>
      <w:r>
        <w:rPr>
          <w:i/>
          <w:iCs/>
        </w:rPr>
        <w:t xml:space="preserve">persuasion knowledge model</w:t>
      </w:r>
      <w:r>
        <w:t xml:space="preserve"> holds that once consumers recognise a persuasion attempt, they discount it (Friestad &amp; Wright, 1994). Disclosure is non-negotiable under the AANA Code of Ethics, which requires advertising to be clearly distinguishable as such (Australian Association of National Advertisers [AANA], 2021). The campaign mitigates the discount by choosing micro-creators whose followers can </w:t>
      </w:r>
      <w:r>
        <w:rPr>
          <w:i/>
          <w:iCs/>
        </w:rPr>
        <w:t xml:space="preserve">see</w:t>
      </w:r>
      <w:r>
        <w:t xml:space="preserve"> that they teach and live in the product, because trust in influencer content rests on credibility and informative value rather than attractiveness alone (Lou &amp; Yuan, 2019). For distinctive products, very large followings can also reduce perceived uniqueness (De Veirman et al., 2017). Editorial coverage adds the third-party credibility that paid messages lack (Cameron, 1994), and Alo itself states the factual </w:t>
      </w:r>
      <w:r>
        <w:rPr>
          <w:i/>
          <w:iCs/>
        </w:rPr>
        <w:t xml:space="preserve">Find us</w:t>
      </w:r>
      <w:r>
        <w:t xml:space="preserve"> message, where corporate credibility suffices (Goldsmith et al., 2000).</w:t>
      </w:r>
    </w:p>
    <w:p>
      <w:pPr>
        <w:pStyle w:val="Heading2"/>
      </w:pPr>
      <w:r>
        <w:t xml:space="preserve">3.5 Integration Principle</w:t>
      </w:r>
    </w:p>
    <w:p>
      <w:pPr>
        <w:spacing w:after="160" w:line="288"/>
      </w:pPr>
      <w:r>
        <w:t xml:space="preserve">Every touchpoint carries the same core message so that each exposure reinforces one meaning (Belch &amp; Belch, 2021). Court et al.'s (2009) </w:t>
      </w:r>
      <w:r>
        <w:rPr>
          <w:b/>
          <w:bCs/>
        </w:rPr>
        <w:t xml:space="preserve">consumer decision journey</w:t>
      </w:r>
      <w:r>
        <w:t xml:space="preserve"> gives each touchpoint one job (Figure 7). </w:t>
      </w:r>
      <w:r>
        <w:rPr>
          <w:i/>
          <w:iCs/>
        </w:rPr>
        <w:t xml:space="preserve">Initial consideration</w:t>
      </w:r>
      <w:r>
        <w:t xml:space="preserve"> builds familiarity and signals that Alo is in Sydney through the peripheral route. </w:t>
      </w:r>
      <w:r>
        <w:rPr>
          <w:i/>
          <w:iCs/>
        </w:rPr>
        <w:t xml:space="preserve">Active evaluation</w:t>
      </w:r>
      <w:r>
        <w:t xml:space="preserve"> proves fit and fabric through instructors and editorial via the central route. The </w:t>
      </w:r>
      <w:r>
        <w:rPr>
          <w:i/>
          <w:iCs/>
        </w:rPr>
        <w:t xml:space="preserve">moment of purchase</w:t>
      </w:r>
      <w:r>
        <w:t xml:space="preserve">, in store or online, gives the audience somewhere to act. </w:t>
      </w:r>
      <w:r>
        <w:rPr>
          <w:i/>
          <w:iCs/>
        </w:rPr>
        <w:t xml:space="preserve">Post-purchase</w:t>
      </w:r>
      <w:r>
        <w:t xml:space="preserve"> turns visitors into sources through #MatToMoment content. That loop matters most for a challenger with a small budget, because each advocate becomes a credible peer source for the next customer at no media cost.</w:t>
      </w:r>
    </w:p>
    <w:p>
      <w:pPr>
        <w:keepNext/>
        <w:spacing w:after="40" w:before="200"/>
      </w:pPr>
      <w:r>
        <w:rPr>
          <w:b/>
          <w:bCs/>
        </w:rPr>
        <w:t xml:space="preserve">Figure 7</w:t>
      </w:r>
    </w:p>
    <w:p>
      <w:pPr>
        <w:keepNext/>
        <w:spacing w:after="100"/>
      </w:pPr>
      <w:r>
        <w:rPr>
          <w:i/>
          <w:iCs/>
        </w:rPr>
        <w:t xml:space="preserve">Consumer Decision Journey Applied to the Mat to Moment Campaign</w:t>
      </w:r>
    </w:p>
    <w:p>
      <w:pPr>
        <w:keepNext/>
        <w:spacing w:after="80"/>
        <w:jc w:val="center"/>
      </w:pPr>
      <w:r>
        <w:drawing>
          <wp:inline distT="0" distB="0" distL="0" distR="0">
            <wp:extent cx="603504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5040" cy="34099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Court et al. (2009). O1–O4 refer to the objectives in Table 3.</w:t>
      </w:r>
    </w:p>
    <w:p>
      <w:pPr>
        <w:spacing w:after="160" w:line="288"/>
      </w:pPr>
      <w:r>
        <w:t xml:space="preserve">Table 5 summarises how the analysis, objectives and strategy connect. Every element of the campaign can be traced back to a diagnosed challenge.</w:t>
      </w:r>
    </w:p>
    <w:p>
      <w:pPr>
        <w:keepNext/>
        <w:spacing w:after="40" w:before="200"/>
      </w:pPr>
      <w:r>
        <w:rPr>
          <w:b/>
          <w:bCs/>
        </w:rPr>
        <w:t xml:space="preserve">Table 5</w:t>
      </w:r>
    </w:p>
    <w:p>
      <w:pPr>
        <w:keepNext/>
        <w:spacing w:after="100"/>
      </w:pPr>
      <w:r>
        <w:rPr>
          <w:i/>
          <w:iCs/>
        </w:rPr>
        <w:t xml:space="preserve">Strategic Alignment From Challenge to Channel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867"/>
        <w:gridCol w:w="1735"/>
        <w:gridCol w:w="1349"/>
        <w:gridCol w:w="1638"/>
        <w:gridCol w:w="2121"/>
      </w:tblGrid>
      <w:tr>
        <w:trPr>
          <w:tblHeader/>
        </w:trPr>
        <w:tc>
          <w:tcPr>
            <w:tcW w:type="dxa" w:w="1928"/>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Challenge</w:t>
            </w:r>
          </w:p>
        </w:tc>
        <w:tc>
          <w:tcPr>
            <w:tcW w:type="dxa" w:w="86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Objective</w:t>
            </w:r>
          </w:p>
        </w:tc>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Pillar</w:t>
            </w:r>
          </w:p>
        </w:tc>
        <w:tc>
          <w:tcPr>
            <w:tcW w:type="dxa" w:w="1349"/>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ELM route</w:t>
            </w:r>
          </w:p>
        </w:tc>
        <w:tc>
          <w:tcPr>
            <w:tcW w:type="dxa" w:w="1638"/>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Lead source</w:t>
            </w:r>
          </w:p>
        </w:tc>
        <w:tc>
          <w:tcPr>
            <w:tcW w:type="dxa" w:w="212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Lead channels</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1. Justifying the premium</w:t>
            </w:r>
          </w:p>
        </w:tc>
        <w:tc>
          <w:tcPr>
            <w:tcW w:type="dxa" w:w="86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O1</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Worth it</w:t>
            </w:r>
          </w:p>
        </w:tc>
        <w:tc>
          <w:tcPr>
            <w:tcW w:type="dxa" w:w="134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Central</w:t>
            </w:r>
          </w:p>
        </w:tc>
        <w:tc>
          <w:tcPr>
            <w:tcW w:type="dxa" w:w="163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Instructors, editorial</w:t>
            </w:r>
          </w:p>
        </w:tc>
        <w:tc>
          <w:tcPr>
            <w:tcW w:type="dxa" w:w="212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Sanctuary Sessions, PR, cost-per-wear UGC</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2. Awareness decay after launch</w:t>
            </w:r>
          </w:p>
        </w:tc>
        <w:tc>
          <w:tcPr>
            <w:tcW w:type="dxa" w:w="86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O3</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Find us</w:t>
            </w:r>
          </w:p>
        </w:tc>
        <w:tc>
          <w:tcPr>
            <w:tcW w:type="dxa" w:w="134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Peripheral (repetition)</w:t>
            </w:r>
          </w:p>
        </w:tc>
        <w:tc>
          <w:tcPr>
            <w:tcW w:type="dxa" w:w="163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Alo brand</w:t>
            </w:r>
          </w:p>
        </w:tc>
        <w:tc>
          <w:tcPr>
            <w:tcW w:type="dxa" w:w="212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OOH, Spotify, geo-targeted social; pulsed schedule</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3. Limited store reach</w:t>
            </w:r>
          </w:p>
        </w:tc>
        <w:tc>
          <w:tcPr>
            <w:tcW w:type="dxa" w:w="86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O4</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Find us</w:t>
            </w:r>
          </w:p>
        </w:tc>
        <w:tc>
          <w:tcPr>
            <w:tcW w:type="dxa" w:w="134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Peripheral</w:t>
            </w:r>
          </w:p>
        </w:tc>
        <w:tc>
          <w:tcPr>
            <w:tcW w:type="dxa" w:w="163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Alo brand, mid-tier creator</w:t>
            </w:r>
          </w:p>
        </w:tc>
        <w:tc>
          <w:tcPr>
            <w:tcW w:type="dxa" w:w="212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Retargeting, booking and store emails, store locator</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4. Standing apart from Lululemon</w:t>
            </w:r>
          </w:p>
        </w:tc>
        <w:tc>
          <w:tcPr>
            <w:tcW w:type="dxa" w:w="86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O1, O2</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Worth it + Made for Sydney's day</w:t>
            </w:r>
          </w:p>
        </w:tc>
        <w:tc>
          <w:tcPr>
            <w:tcW w:type="dxa" w:w="134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Both</w:t>
            </w:r>
          </w:p>
        </w:tc>
        <w:tc>
          <w:tcPr>
            <w:tcW w:type="dxa" w:w="163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Instructors, creators</w:t>
            </w:r>
          </w:p>
        </w:tc>
        <w:tc>
          <w:tcPr>
            <w:tcW w:type="dxa" w:w="212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Sanctuary Sessions with post-class styling</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5. Feeling imported</w:t>
            </w:r>
          </w:p>
        </w:tc>
        <w:tc>
          <w:tcPr>
            <w:tcW w:type="dxa" w:w="86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O2</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Made for Sydney's day</w:t>
            </w:r>
          </w:p>
        </w:tc>
        <w:tc>
          <w:tcPr>
            <w:tcW w:type="dxa" w:w="134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Peripheral</w:t>
            </w:r>
          </w:p>
        </w:tc>
        <w:tc>
          <w:tcPr>
            <w:tcW w:type="dxa" w:w="163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Micro-creators</w:t>
            </w:r>
          </w:p>
        </w:tc>
        <w:tc>
          <w:tcPr>
            <w:tcW w:type="dxa" w:w="212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Instagram, TikTok, hero film, Spotify</w:t>
            </w:r>
          </w:p>
        </w:tc>
      </w:tr>
    </w:tbl>
    <w:p>
      <w:pPr>
        <w:spacing w:after="160"/>
      </w:pPr>
    </w:p>
    <w:p>
      <w:pPr>
        <w:pStyle w:val="Heading1"/>
      </w:pPr>
      <w:r>
        <w:t xml:space="preserve">4. Creative Strategy</w:t>
      </w:r>
    </w:p>
    <w:p>
      <w:pPr>
        <w:spacing w:after="160" w:line="288"/>
      </w:pPr>
      <w:r>
        <w:t xml:space="preserve">The creative strategy turns the "Mat to Moment" positioning into work that connects studio movement to everyday style. It targets style-conscious women aged 22–34 in Sydney and aims to make Alo feel personally relevant, with the end goal of more store and website visits. It follows the same feel → learn → do sequence as the communication strategy and keeps one consistent identity across all 12 weeks.</w:t>
      </w:r>
    </w:p>
    <w:p>
      <w:pPr>
        <w:pStyle w:val="Heading2"/>
      </w:pPr>
      <w:r>
        <w:t xml:space="preserve">4.1 Creative Concept and Consumer Relevance</w:t>
      </w:r>
    </w:p>
    <w:p>
      <w:pPr>
        <w:spacing w:after="160" w:line="288"/>
      </w:pPr>
      <w:r>
        <w:t xml:space="preserve">The central concept, </w:t>
      </w:r>
      <w:r>
        <w:rPr>
          <w:b/>
          <w:bCs/>
        </w:rPr>
        <w:t xml:space="preserve">One Set, One Day</w:t>
      </w:r>
      <w:r>
        <w:t xml:space="preserve">, follows a single Alo set through a real Sydney day: teaching or taking a morning class, coffee, errands and an evening coastal walk. This reflects the audience's use of activewear for both exercise and self-presentation (Section 3.1). To make it locally credible, we prioritise creators who already move between studio and street as part of their everyday routines.</w:t>
      </w:r>
    </w:p>
    <w:p>
      <w:pPr>
        <w:spacing w:after="160" w:line="288"/>
      </w:pPr>
      <w:r>
        <w:t xml:space="preserve">Our proposed lead creator is </w:t>
      </w:r>
      <w:r>
        <w:rPr>
          <w:b/>
          <w:bCs/>
        </w:rPr>
        <w:t xml:space="preserve">Bernadette Sukkar</w:t>
      </w:r>
      <w:r>
        <w:t xml:space="preserve">, founder of Body by Berner in Bondi. Her relevance goes beyond her Sydney base: her Pilates studio connects Alo to Bondi's wellness community, and her background in fashion PR links movement with personal style (RIISE, 2026). In Ohanian's (1990) terms, she combines expertise (an instructor) with attractiveness (a style reference), and she matches both halves of "Mat to Moment" (Kamins, 1990). With approximately 34,000 Instagram followers, she offers a focused, credible platform rather than mass reach. In the hero content she wears one Alo set to teach at her Bondi studio, then styles it for breakfast, a walk and errands. These recognisable settings demonstrate the garment's versatility while placing Alo inside the lifestyle the campaign targets.</w:t>
      </w:r>
    </w:p>
    <w:p>
      <w:pPr>
        <w:spacing w:after="160" w:line="288"/>
      </w:pPr>
      <w:r>
        <w:t xml:space="preserve">Her studio also extends the content into an in-person experience: Alo-sponsored </w:t>
      </w:r>
      <w:r>
        <w:rPr>
          <w:b/>
          <w:bCs/>
        </w:rPr>
        <w:t xml:space="preserve">Sanctuary Sessions</w:t>
      </w:r>
      <w:r>
        <w:t xml:space="preserve">. The name extends the "sanctuary" language Alo already uses for its stores (RetailBoss, 2026), which builds on an existing brand asset. Followers book a Pilates class, try the featured garments and receive styling advice, plus a complimentary in-store styling appointment and early access to new drops instead of a discount code. In Pine and Gilmore's (1998) terms, the sessions combine the educational realm (learning how the fabric performs) with the aesthetic realm (being in a beautiful space), which makes them memorable as well as persuasive. They also differentiate Alo from Lululemon's run clubs (Challenge 4). Lululemon's community events end when the workout ends. Alo's sessions continue into the "moment" afterwards, which is the half of the proposition that Lululemon does not own.</w:t>
      </w:r>
    </w:p>
    <w:p>
      <w:pPr>
        <w:spacing w:after="160" w:line="288"/>
      </w:pPr>
      <w:r>
        <w:t xml:space="preserve">Smith and Yang (2004) argue that advertising creativity depends on two dimensions: </w:t>
      </w:r>
      <w:r>
        <w:rPr>
          <w:b/>
          <w:bCs/>
        </w:rPr>
        <w:t xml:space="preserve">divergence</w:t>
      </w:r>
      <w:r>
        <w:t xml:space="preserve">, meaning novelty relative to convention, and </w:t>
      </w:r>
      <w:r>
        <w:rPr>
          <w:b/>
          <w:bCs/>
        </w:rPr>
        <w:t xml:space="preserve">relevance</w:t>
      </w:r>
      <w:r>
        <w:t xml:space="preserve">, meaning a meaningful connection to the brand and audience. The campaign achieves divergence by moving away from the category convention of endurance, sweat and intensity. It presents a series of quiet everyday moments linked by one set, repositioning the product from performance gear to a garment that carries the whole day. Relevance comes from the fact that this narrative </w:t>
      </w:r>
      <w:r>
        <w:rPr>
          <w:i/>
          <w:iCs/>
        </w:rPr>
        <w:t xml:space="preserve">is</w:t>
      </w:r>
      <w:r>
        <w:t xml:space="preserve"> Alo's studio-to-street positioning, so the creative cannot be mistaken for generic lifestyle advertising. Divergent executions can weaken brand linkage, however, because viewers remember the idea but not the brand. Till and Baack (2005) found that creative advertising improved unaided recall but did not reliably improve attitudes. Two implications follow. Distinctive brand assets (Romaniuk, 2018), namely the Alo logo, neutral palette and "Mat to Moment" sign-off, must appear in every frame sequence. And the persuasive work on price must be done by the </w:t>
      </w:r>
      <w:r>
        <w:rPr>
          <w:i/>
          <w:iCs/>
        </w:rPr>
        <w:t xml:space="preserve">Worth it</w:t>
      </w:r>
      <w:r>
        <w:t xml:space="preserve"> evidence, not by creativity alone.</w:t>
      </w:r>
    </w:p>
    <w:p>
      <w:pPr>
        <w:pStyle w:val="Heading2"/>
      </w:pPr>
      <w:r>
        <w:t xml:space="preserve">4.2 Creative Appeals</w:t>
      </w:r>
    </w:p>
    <w:p>
      <w:pPr>
        <w:spacing w:after="160" w:line="288"/>
      </w:pPr>
      <w:r>
        <w:t xml:space="preserve">The campaign leads with an </w:t>
      </w:r>
      <w:r>
        <w:rPr>
          <w:b/>
          <w:bCs/>
        </w:rPr>
        <w:t xml:space="preserve">emotional appeal</w:t>
      </w:r>
      <w:r>
        <w:t xml:space="preserve"> that combines self-expression, aspiration and belonging. Alo is shown as part of a desirable Sydney day that remains attainable, with the aim of making Alo feel like "a brand for people like me in Sydney". This is a transformational appeal in Rossiter et al.'s (1991) sense: it works only if the audience identifies with the portrayal. That is why the cast is made up of local instructors and creators rather than models, and why recurring Sanctuary Sessions and group coastal walks invite participation rather than just viewing.</w:t>
      </w:r>
    </w:p>
    <w:p>
      <w:pPr>
        <w:spacing w:after="160" w:line="288"/>
      </w:pPr>
      <w:r>
        <w:t xml:space="preserve">The emotional invitation is supported by a </w:t>
      </w:r>
      <w:r>
        <w:rPr>
          <w:b/>
          <w:bCs/>
        </w:rPr>
        <w:t xml:space="preserve">rational appeal</w:t>
      </w:r>
      <w:r>
        <w:t xml:space="preserve"> that justifies the premium. Product-focused content links each feature to a practical benefit: the fit holds through a reformer class, the fabric looks polished at brunch, and the set works for the whole day. Any performance or durability claim must be backed by product evidence. Lorna Jane's A$5 million penalty for unsupported claims (ACCC, 2021) shows that overclaiming can damage trust faster than it builds sales. User-generated content reinforces the rational case by reframing price as </w:t>
      </w:r>
      <w:r>
        <w:rPr>
          <w:b/>
          <w:bCs/>
        </w:rPr>
        <w:t xml:space="preserve">cost per wear</w:t>
      </w:r>
      <w:r>
        <w:t xml:space="preserve">: one set worn to class and through the rest of the day does the job of two outfits. Pairing the appeals is consistent with the ELM, because informative demonstrations give motivated viewers arguments to evaluate, which justifies the aesthetic appeal rather than replacing it (Petty et al., 1983).</w:t>
      </w:r>
    </w:p>
    <w:p>
      <w:pPr>
        <w:pStyle w:val="Heading2"/>
      </w:pPr>
      <w:r>
        <w:t xml:space="preserve">4.3 Execution Style, Tone and Design</w:t>
      </w:r>
    </w:p>
    <w:p>
      <w:pPr>
        <w:spacing w:after="160" w:line="288"/>
      </w:pPr>
      <w:r>
        <w:t xml:space="preserve">The campaign combines three execution styles: </w:t>
      </w:r>
      <w:r>
        <w:rPr>
          <w:b/>
          <w:bCs/>
        </w:rPr>
        <w:t xml:space="preserve">slice-of-life</w:t>
      </w:r>
      <w:r>
        <w:t xml:space="preserve"> storytelling, </w:t>
      </w:r>
      <w:r>
        <w:rPr>
          <w:b/>
          <w:bCs/>
        </w:rPr>
        <w:t xml:space="preserve">testimonial</w:t>
      </w:r>
      <w:r>
        <w:t xml:space="preserve"> and </w:t>
      </w:r>
      <w:r>
        <w:rPr>
          <w:b/>
          <w:bCs/>
        </w:rPr>
        <w:t xml:space="preserve">product demonstration</w:t>
      </w:r>
      <w:r>
        <w:t xml:space="preserve">. The hero film uses three distinct settings, a morning studio, a neighbourhood café and an evening coastal walk, each carrying consistent branding. Slice-of-life suits the transformational goal. </w:t>
      </w:r>
      <w:r>
        <w:rPr>
          <w:i/>
          <w:iCs/>
        </w:rPr>
        <w:t xml:space="preserve">Narrative transportation</w:t>
      </w:r>
      <w:r>
        <w:t xml:space="preserve"> theory shows that viewers absorbed in a story are less likely to counter-argue and more likely to adopt the story's beliefs (Green &amp; Brock, 2000). A viewer who follows a day in Alo is invited to imagine her own day in it rather than evaluate an advertisement. The Alo logo and "Mat to Moment" sign-off close every execution, and creator and UGC adaptations keep the same structure, so participants describe their own routine while reinforcing a consistent message.</w:t>
      </w:r>
    </w:p>
    <w:p>
      <w:pPr>
        <w:spacing w:after="160" w:line="288"/>
      </w:pPr>
      <w:r>
        <w:t xml:space="preserve">The visual direction uses natural light, restrained typography and Alo's neutral palette, with recognisable Sydney settings providing local relevance. The tone is calm, confident and welcoming. Because the insight rests on visibility (Section 3.1), the creative must manage </w:t>
      </w:r>
      <w:r>
        <w:rPr>
          <w:i/>
          <w:iCs/>
        </w:rPr>
        <w:t xml:space="preserve">social comparison</w:t>
      </w:r>
      <w:r>
        <w:t xml:space="preserve">. People evaluate themselves against others they see (Festinger, 1954), and fitness imagery on Instagram can turn aspiration into appearance pressure (Camacho-Miñano et al., 2019). The campaign therefore features different body types and movement abilities, uses no body retouching or transformation imagery, and communicates belonging through shared experiences rather than suggesting that expensive clothing determines social acceptance. This guardrail is ethical, and it is also strategic: if the message implied that only a certain body belongs, it would undermine "a brand for people like me".</w:t>
      </w:r>
    </w:p>
    <w:p>
      <w:pPr>
        <w:pStyle w:val="Heading2"/>
      </w:pPr>
      <w:r>
        <w:t xml:space="preserve">4.4 Integration and Creative Pre-Testing</w:t>
      </w:r>
    </w:p>
    <w:p>
      <w:pPr>
        <w:spacing w:after="160" w:line="288"/>
      </w:pPr>
      <w:r>
        <w:t xml:space="preserve">The same creative system adapts across every channel in the mix. </w:t>
      </w:r>
      <w:r>
        <w:rPr>
          <w:b/>
          <w:bCs/>
        </w:rPr>
        <w:t xml:space="preserve">Outdoor</w:t>
      </w:r>
      <w:r>
        <w:t xml:space="preserve"> combines a strong lifestyle image, the campaign line and concise store information. </w:t>
      </w:r>
      <w:r>
        <w:rPr>
          <w:b/>
          <w:bCs/>
        </w:rPr>
        <w:t xml:space="preserve">Social video</w:t>
      </w:r>
      <w:r>
        <w:t xml:space="preserve"> tells the fuller day-in-the-life story. </w:t>
      </w:r>
      <w:r>
        <w:rPr>
          <w:b/>
          <w:bCs/>
        </w:rPr>
        <w:t xml:space="preserve">Spotify audio</w:t>
      </w:r>
      <w:r>
        <w:t xml:space="preserve"> uses spoken timestamps ("6:45 am, reformer. 8:15, flat white. 6 pm, Bondi to Bronte") and familiar sounds such as waves and a coffee machine, so the day is recognisable without visuals. </w:t>
      </w:r>
      <w:r>
        <w:rPr>
          <w:b/>
          <w:bCs/>
        </w:rPr>
        <w:t xml:space="preserve">Sanctuary Session invitations and booking emails</w:t>
      </w:r>
      <w:r>
        <w:t xml:space="preserve"> carry the same identity, connecting the advertised lifestyle to an achievable action. Calls to action vary by purpose (find your nearest store, explore the featured set, book a session) but the message does not.</w:t>
      </w:r>
    </w:p>
    <w:p>
      <w:pPr>
        <w:spacing w:after="160" w:line="288"/>
      </w:pPr>
      <w:r>
        <w:t xml:space="preserve">Within the production allowance, one coordinated shoot supplies the hero film, cut-downs, stills and audio. Before launch, the creative is pre-tested with Segment A (Section 6) for message comprehension, personal relevance, premium-value perceptions and correct brand linkage, meaning whether viewers attribute the work to Alo. Attractive imagery alone is not sufficient: the campaign must communicate </w:t>
      </w:r>
      <w:r>
        <w:rPr>
          <w:i/>
          <w:iCs/>
        </w:rPr>
        <w:t xml:space="preserve">why</w:t>
      </w:r>
      <w:r>
        <w:t xml:space="preserve"> Alo fits Sydney life and </w:t>
      </w:r>
      <w:r>
        <w:rPr>
          <w:i/>
          <w:iCs/>
        </w:rPr>
        <w:t xml:space="preserve">where</w:t>
      </w:r>
      <w:r>
        <w:t xml:space="preserve"> audiences can experience it.</w:t>
      </w:r>
    </w:p>
    <w:p>
      <w:pPr>
        <w:pStyle w:val="Heading1"/>
      </w:pPr>
      <w:r>
        <w:t xml:space="preserve">5. Media Strategy and Budget</w:t>
      </w:r>
    </w:p>
    <w:p>
      <w:pPr>
        <w:pStyle w:val="Heading2"/>
      </w:pPr>
      <w:r>
        <w:t xml:space="preserve">5.1 Media Objectives and Scheduling Logic</w:t>
      </w:r>
    </w:p>
    <w:p>
      <w:pPr>
        <w:spacing w:after="160" w:line="288"/>
      </w:pPr>
      <w:r>
        <w:t xml:space="preserve">The media strategy follows the feel → learn → do framework and the three pillars. Two strands of evidence shape it. First, brands grow mainly by reaching many category buyers and being easy to find (Sharp, 2010), so </w:t>
      </w:r>
      <w:r>
        <w:rPr>
          <w:b/>
          <w:bCs/>
        </w:rPr>
        <w:t xml:space="preserve">reach</w:t>
      </w:r>
      <w:r>
        <w:t xml:space="preserve"> is put behind </w:t>
      </w:r>
      <w:r>
        <w:rPr>
          <w:i/>
          <w:iCs/>
        </w:rPr>
        <w:t xml:space="preserve">Find us</w:t>
      </w:r>
      <w:r>
        <w:t xml:space="preserve"> (Objective 3) and </w:t>
      </w:r>
      <w:r>
        <w:rPr>
          <w:b/>
          <w:bCs/>
        </w:rPr>
        <w:t xml:space="preserve">credibility</w:t>
      </w:r>
      <w:r>
        <w:t xml:space="preserve"> behind </w:t>
      </w:r>
      <w:r>
        <w:rPr>
          <w:i/>
          <w:iCs/>
        </w:rPr>
        <w:t xml:space="preserve">Worth it</w:t>
      </w:r>
      <w:r>
        <w:t xml:space="preserve"> and </w:t>
      </w:r>
      <w:r>
        <w:rPr>
          <w:i/>
          <w:iCs/>
        </w:rPr>
        <w:t xml:space="preserve">Made for Sydney's day</w:t>
      </w:r>
      <w:r>
        <w:t xml:space="preserve"> (Objectives 1 and 2). Second, Appendix A shows local interest falling after the opening hype, so a single burst would likely repeat that decay. Activity is therefore </w:t>
      </w:r>
      <w:r>
        <w:rPr>
          <w:b/>
          <w:bCs/>
        </w:rPr>
        <w:t xml:space="preserve">pulsed</w:t>
      </w:r>
      <w:r>
        <w:t xml:space="preserve">: a low always-on presence keeps Alo visible throughout, and three heavier bursts renew attention as it starts to fade.</w:t>
      </w:r>
    </w:p>
    <w:p>
      <w:pPr>
        <w:spacing w:after="160" w:line="288"/>
      </w:pPr>
      <w:r>
        <w:t xml:space="preserve">This schedule balances two competing theories of frequency. Krugman's (1972) three-exposure argument implies that concentrated bursts are needed for a new message to register. Ephron's (1997) </w:t>
      </w:r>
      <w:r>
        <w:rPr>
          <w:i/>
          <w:iCs/>
        </w:rPr>
        <w:t xml:space="preserve">recency planning</w:t>
      </w:r>
      <w:r>
        <w:t xml:space="preserve"> argues that one exposure close to a purchase occasion matters more than repeated exposures, which favours continuous presence. Pulsing uses bursts to establish the message and the always-on base to keep Alo near purchase occasions between them. The campaign runs through the Sydney summer, which suits the beach, café and harbour settings of the creative. Burst 2 lands in February, when many people return to fitness routines after the holidays.</w:t>
      </w:r>
    </w:p>
    <w:p>
      <w:pPr>
        <w:pStyle w:val="Heading2"/>
      </w:pPr>
      <w:r>
        <w:t xml:space="preserve">5.2 Media Mix and Vehicles</w:t>
      </w:r>
    </w:p>
    <w:p>
      <w:pPr>
        <w:spacing w:after="160" w:line="288"/>
      </w:pPr>
      <w:r>
        <w:t xml:space="preserve">Table 6 sets out each channel, the pillar and ELM route it carries, its journey stage and its geographic focus.</w:t>
      </w:r>
    </w:p>
    <w:p>
      <w:pPr>
        <w:keepNext/>
        <w:spacing w:after="40" w:before="200"/>
      </w:pPr>
      <w:r>
        <w:rPr>
          <w:b/>
          <w:bCs/>
        </w:rPr>
        <w:t xml:space="preserve">Table 6</w:t>
      </w:r>
    </w:p>
    <w:p>
      <w:pPr>
        <w:keepNext/>
        <w:spacing w:after="100"/>
      </w:pPr>
      <w:r>
        <w:rPr>
          <w:i/>
          <w:iCs/>
        </w:rPr>
        <w:t xml:space="preserve">Media Mix, Vehicles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31"/>
        <w:gridCol w:w="1349"/>
        <w:gridCol w:w="1060"/>
        <w:gridCol w:w="1253"/>
        <w:gridCol w:w="2024"/>
        <w:gridCol w:w="2121"/>
      </w:tblGrid>
      <w:tr>
        <w:trPr>
          <w:tblHeader/>
        </w:trPr>
        <w:tc>
          <w:tcPr>
            <w:tcW w:type="dxa" w:w="183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Channel and vehicles</w:t>
            </w:r>
          </w:p>
        </w:tc>
        <w:tc>
          <w:tcPr>
            <w:tcW w:type="dxa" w:w="1349"/>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Pillar</w:t>
            </w:r>
          </w:p>
        </w:tc>
        <w:tc>
          <w:tcPr>
            <w:tcW w:type="dxa" w:w="1060"/>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ELM route</w:t>
            </w:r>
          </w:p>
        </w:tc>
        <w:tc>
          <w:tcPr>
            <w:tcW w:type="dxa" w:w="125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Journey stage</w:t>
            </w:r>
          </w:p>
        </w:tc>
        <w:tc>
          <w:tcPr>
            <w:tcW w:type="dxa" w:w="202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Geography and targeting</w:t>
            </w:r>
          </w:p>
        </w:tc>
        <w:tc>
          <w:tcPr>
            <w:tcW w:type="dxa" w:w="212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Rationale</w:t>
            </w:r>
          </w:p>
        </w:tc>
      </w:tr>
      <w:tr>
        <w:trPr>
          <w:cantSplit/>
        </w:trPr>
        <w:tc>
          <w:tcPr>
            <w:tcW w:type="dxa" w:w="183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Paid social (Instagram, TikTok)</w:t>
            </w:r>
          </w:p>
        </w:tc>
        <w:tc>
          <w:tcPr>
            <w:tcW w:type="dxa" w:w="134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All pillars</w:t>
            </w:r>
          </w:p>
        </w:tc>
        <w:tc>
          <w:tcPr>
            <w:tcW w:type="dxa" w:w="106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Mainly peripheral</w:t>
            </w:r>
          </w:p>
        </w:tc>
        <w:tc>
          <w:tcPr>
            <w:tcW w:type="dxa" w:w="125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All stages</w:t>
            </w:r>
          </w:p>
        </w:tc>
        <w:tc>
          <w:tcPr>
            <w:tcW w:type="dxa" w:w="202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Women 22–34 within a radius of each store</w:t>
            </w:r>
          </w:p>
        </w:tc>
        <w:tc>
          <w:tcPr>
            <w:tcW w:type="dxa" w:w="212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Most cost-efficient reach to Segment A; precise targeting and retargeting</w:t>
            </w:r>
          </w:p>
        </w:tc>
      </w:tr>
      <w:tr>
        <w:trPr>
          <w:cantSplit/>
        </w:trPr>
        <w:tc>
          <w:tcPr>
            <w:tcW w:type="dxa" w:w="183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Outdoor (street furniture, transport, beach-side sites)</w:t>
            </w:r>
          </w:p>
        </w:tc>
        <w:tc>
          <w:tcPr>
            <w:tcW w:type="dxa" w:w="134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Find us</w:t>
            </w:r>
          </w:p>
        </w:tc>
        <w:tc>
          <w:tcPr>
            <w:tcW w:type="dxa" w:w="106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Peripheral</w:t>
            </w:r>
          </w:p>
        </w:tc>
        <w:tc>
          <w:tcPr>
            <w:tcW w:type="dxa" w:w="125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Initial consideration</w:t>
            </w:r>
          </w:p>
        </w:tc>
        <w:tc>
          <w:tcPr>
            <w:tcW w:type="dxa" w:w="202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Near Chatswood Chase, The Galeries and Bondi Junction; Bondi and Bronte beachfronts</w:t>
            </w:r>
          </w:p>
        </w:tc>
        <w:tc>
          <w:tcPr>
            <w:tcW w:type="dxa" w:w="212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Physical-availability cue near the point of purchase; broad reach including spillover</w:t>
            </w:r>
          </w:p>
        </w:tc>
      </w:tr>
      <w:tr>
        <w:trPr>
          <w:cantSplit/>
        </w:trPr>
        <w:tc>
          <w:tcPr>
            <w:tcW w:type="dxa" w:w="183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Spotify audio</w:t>
            </w:r>
          </w:p>
        </w:tc>
        <w:tc>
          <w:tcPr>
            <w:tcW w:type="dxa" w:w="134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Made for Sydney's day; Find us</w:t>
            </w:r>
          </w:p>
        </w:tc>
        <w:tc>
          <w:tcPr>
            <w:tcW w:type="dxa" w:w="106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Peripheral</w:t>
            </w:r>
          </w:p>
        </w:tc>
        <w:tc>
          <w:tcPr>
            <w:tcW w:type="dxa" w:w="125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Initial consideration</w:t>
            </w:r>
          </w:p>
        </w:tc>
        <w:tc>
          <w:tcPr>
            <w:tcW w:type="dxa" w:w="202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Greater Sydney, women 22–34; morning, commute and workout listening</w:t>
            </w:r>
          </w:p>
        </w:tc>
        <w:tc>
          <w:tcPr>
            <w:tcW w:type="dxa" w:w="212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Reaches moments when screens are not in use; sound cues echo the film</w:t>
            </w:r>
          </w:p>
        </w:tc>
      </w:tr>
      <w:tr>
        <w:trPr>
          <w:cantSplit/>
        </w:trPr>
        <w:tc>
          <w:tcPr>
            <w:tcW w:type="dxa" w:w="183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Creator partnerships (lead creator, 8–10 micro, 1 mid-tier)</w:t>
            </w:r>
          </w:p>
        </w:tc>
        <w:tc>
          <w:tcPr>
            <w:tcW w:type="dxa" w:w="134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Made for Sydney's day</w:t>
            </w:r>
          </w:p>
        </w:tc>
        <w:tc>
          <w:tcPr>
            <w:tcW w:type="dxa" w:w="106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Peripheral</w:t>
            </w:r>
          </w:p>
        </w:tc>
        <w:tc>
          <w:tcPr>
            <w:tcW w:type="dxa" w:w="125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Consideration and evaluation</w:t>
            </w:r>
          </w:p>
        </w:tc>
        <w:tc>
          <w:tcPr>
            <w:tcW w:type="dxa" w:w="202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Sydney-based creators with Sydney-concentrated followers</w:t>
            </w:r>
          </w:p>
        </w:tc>
        <w:tc>
          <w:tcPr>
            <w:tcW w:type="dxa" w:w="212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Credible local peers; content reused in paid social</w:t>
            </w:r>
          </w:p>
        </w:tc>
      </w:tr>
      <w:tr>
        <w:trPr>
          <w:cantSplit/>
        </w:trPr>
        <w:tc>
          <w:tcPr>
            <w:tcW w:type="dxa" w:w="183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Sanctuary Sessions (classes, coastal walks)</w:t>
            </w:r>
          </w:p>
        </w:tc>
        <w:tc>
          <w:tcPr>
            <w:tcW w:type="dxa" w:w="134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Worth it</w:t>
            </w:r>
          </w:p>
        </w:tc>
        <w:tc>
          <w:tcPr>
            <w:tcW w:type="dxa" w:w="106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Central</w:t>
            </w:r>
          </w:p>
        </w:tc>
        <w:tc>
          <w:tcPr>
            <w:tcW w:type="dxa" w:w="125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Active evaluation</w:t>
            </w:r>
          </w:p>
        </w:tc>
        <w:tc>
          <w:tcPr>
            <w:tcW w:type="dxa" w:w="202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Body by Berner (Bondi) and partner studios near the CBD and Chatswood</w:t>
            </w:r>
          </w:p>
        </w:tc>
        <w:tc>
          <w:tcPr>
            <w:tcW w:type="dxa" w:w="212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Hands-on trial; produces proof content for other channels</w:t>
            </w:r>
          </w:p>
        </w:tc>
      </w:tr>
      <w:tr>
        <w:trPr>
          <w:cantSplit/>
        </w:trPr>
        <w:tc>
          <w:tcPr>
            <w:tcW w:type="dxa" w:w="183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PR and editorial</w:t>
            </w:r>
          </w:p>
        </w:tc>
        <w:tc>
          <w:tcPr>
            <w:tcW w:type="dxa" w:w="134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Worth it</w:t>
            </w:r>
          </w:p>
        </w:tc>
        <w:tc>
          <w:tcPr>
            <w:tcW w:type="dxa" w:w="106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Central</w:t>
            </w:r>
          </w:p>
        </w:tc>
        <w:tc>
          <w:tcPr>
            <w:tcW w:type="dxa" w:w="125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Active evaluation</w:t>
            </w:r>
          </w:p>
        </w:tc>
        <w:tc>
          <w:tcPr>
            <w:tcW w:type="dxa" w:w="202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Sydney lifestyle and fashion titles</w:t>
            </w:r>
          </w:p>
        </w:tc>
        <w:tc>
          <w:tcPr>
            <w:tcW w:type="dxa" w:w="212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Third-party credibility paid media cannot buy</w:t>
            </w:r>
          </w:p>
        </w:tc>
      </w:tr>
      <w:tr>
        <w:trPr>
          <w:cantSplit/>
        </w:trPr>
        <w:tc>
          <w:tcPr>
            <w:tcW w:type="dxa" w:w="183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Owned (Alo Instagram and TikTok, website, booking and store emails, Alo Moves)</w:t>
            </w:r>
          </w:p>
        </w:tc>
        <w:tc>
          <w:tcPr>
            <w:tcW w:type="dxa" w:w="134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Find us</w:t>
            </w:r>
          </w:p>
        </w:tc>
        <w:tc>
          <w:tcPr>
            <w:tcW w:type="dxa" w:w="106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Peripheral</w:t>
            </w:r>
          </w:p>
        </w:tc>
        <w:tc>
          <w:tcPr>
            <w:tcW w:type="dxa" w:w="125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Purchase and advocacy</w:t>
            </w:r>
          </w:p>
        </w:tc>
        <w:tc>
          <w:tcPr>
            <w:tcW w:type="dxa" w:w="202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Existing followers and session bookers</w:t>
            </w:r>
          </w:p>
        </w:tc>
        <w:tc>
          <w:tcPr>
            <w:tcW w:type="dxa" w:w="212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Converts interest into visits; hosts filmed sessions; reposts UGC</w:t>
            </w:r>
          </w:p>
        </w:tc>
      </w:tr>
    </w:tbl>
    <w:p>
      <w:pPr>
        <w:spacing w:after="160"/>
      </w:pPr>
    </w:p>
    <w:p>
      <w:pPr>
        <w:spacing w:after="160" w:line="288"/>
      </w:pPr>
      <w:r>
        <w:rPr>
          <w:i/>
          <w:iCs/>
        </w:rPr>
        <w:t xml:space="preserve">Worth it</w:t>
      </w:r>
      <w:r>
        <w:t xml:space="preserve"> is delivered mainly through </w:t>
      </w:r>
      <w:r>
        <w:rPr>
          <w:b/>
          <w:bCs/>
        </w:rPr>
        <w:t xml:space="preserve">Sanctuary Sessions</w:t>
      </w:r>
      <w:r>
        <w:t xml:space="preserve">: recurring group classes and coastal walks led by Sydney instructors, where the audience tests the fit and fabric themselves. This supports the central route, where people think carefully about the product (Petty et al., 1983). </w:t>
      </w:r>
      <w:r>
        <w:rPr>
          <w:b/>
          <w:bCs/>
        </w:rPr>
        <w:t xml:space="preserve">Lifestyle press</w:t>
      </w:r>
      <w:r>
        <w:t xml:space="preserve"> adds credibility that paid advertising cannot (Cameron, 1994), and customers' cost-per-wear posts support the price argument. </w:t>
      </w:r>
      <w:r>
        <w:rPr>
          <w:i/>
          <w:iCs/>
        </w:rPr>
        <w:t xml:space="preserve">Made for Sydney's day</w:t>
      </w:r>
      <w:r>
        <w:t xml:space="preserve"> is delivered through local </w:t>
      </w:r>
      <w:r>
        <w:rPr>
          <w:b/>
          <w:bCs/>
        </w:rPr>
        <w:t xml:space="preserve">micro-creators</w:t>
      </w:r>
      <w:r>
        <w:t xml:space="preserve"> on Instagram and TikTok who style their set for class and wear it afterwards; micro-creators are more credible and distinctive than accounts with very large followings (De Veirman et al., 2017; Lou &amp; Yuan, 2019). The hero film is cut into three short social videos, one for each moment of the day, and </w:t>
      </w:r>
      <w:r>
        <w:rPr>
          <w:b/>
          <w:bCs/>
        </w:rPr>
        <w:t xml:space="preserve">Spotify audio</w:t>
      </w:r>
      <w:r>
        <w:t xml:space="preserve"> carries the same moments. Both formats are short and easy to process, which suits the scrolling and commuting moments when Segment A is not paying close attention, the peripheral route (Petty et al., 1983). </w:t>
      </w:r>
      <w:r>
        <w:rPr>
          <w:i/>
          <w:iCs/>
        </w:rPr>
        <w:t xml:space="preserve">Find us</w:t>
      </w:r>
      <w:r>
        <w:t xml:space="preserve"> is delivered through repetition on geo-targeted paid social, outdoor and Alo's own channels, including booking emails. One mid-tier creator extends reach beyond the micro-creators' local circles.</w:t>
      </w:r>
    </w:p>
    <w:p>
      <w:pPr>
        <w:pStyle w:val="Heading2"/>
      </w:pPr>
      <w:r>
        <w:t xml:space="preserve">5.3 Paid, Owned and Earned Media</w:t>
      </w:r>
    </w:p>
    <w:p>
      <w:pPr>
        <w:spacing w:after="160" w:line="288"/>
      </w:pPr>
      <w:r>
        <w:t xml:space="preserve">The channels are grouped into paid, owned and earned media (Figure 8). Earned media matters disproportionately here. Stephen and Galak (2012) found that earned social media had a smaller per-event effect on sales than traditional media but, because it occurred far more often, a comparable total effect, and that it also stimulated traditional earned coverage. Creator partnerships and Sanctuary Sessions sit at the centre of the model because they are paid partnerships that produce owned content and earned sharing at once, which is why they receive the two largest budget lines.</w:t>
      </w:r>
    </w:p>
    <w:p>
      <w:pPr>
        <w:keepNext/>
        <w:spacing w:after="40" w:before="200"/>
      </w:pPr>
      <w:r>
        <w:rPr>
          <w:b/>
          <w:bCs/>
        </w:rPr>
        <w:t xml:space="preserve">Figure 8</w:t>
      </w:r>
    </w:p>
    <w:p>
      <w:pPr>
        <w:keepNext/>
        <w:spacing w:after="100"/>
      </w:pPr>
      <w:r>
        <w:rPr>
          <w:i/>
          <w:iCs/>
        </w:rPr>
        <w:t xml:space="preserve">Paid, Owned and Earned Media Model Applied to the Campaign</w:t>
      </w:r>
    </w:p>
    <w:p>
      <w:pPr>
        <w:keepNext/>
        <w:spacing w:after="80"/>
        <w:jc w:val="center"/>
      </w:pPr>
      <w:r>
        <w:drawing>
          <wp:inline distT="0" distB="0" distL="0" distR="0">
            <wp:extent cx="603504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5040" cy="34385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Channel groupings follow the paid–owned–earned distinction discussed in Stephen and Galak (2012).</w:t>
      </w:r>
    </w:p>
    <w:p>
      <w:pPr>
        <w:pStyle w:val="Heading2"/>
      </w:pPr>
      <w:r>
        <w:t xml:space="preserve">5.4 Geographic Coverage</w:t>
      </w:r>
    </w:p>
    <w:p>
      <w:pPr>
        <w:spacing w:after="160" w:line="288"/>
      </w:pPr>
      <w:r>
        <w:t xml:space="preserve">Coverage is Greater Sydney, weighted towards the catchments of the Chatswood Chase, The Galeries (CBD) and Bondi Junction stores. Outdoor sites are placed at transport and pedestrian points near these stores to convert awareness into visits, plus beach-side sites at Bondi and Bronte that keep Alo aspirational and match the creative's settings. Paid social is geo-targeted to radii around each store. Because the Bondi Junction opening date is unconfirmed, outdoor and geo-targeting near Bondi Junction are </w:t>
      </w:r>
      <w:r>
        <w:rPr>
          <w:b/>
          <w:bCs/>
        </w:rPr>
        <w:t xml:space="preserve">contingent</w:t>
      </w:r>
      <w:r>
        <w:t xml:space="preserve">: if the store is not open by January 2027, that weight moves to the CBD store and the Bondi Junction activity runs only as a beach-side brand presence.</w:t>
      </w:r>
    </w:p>
    <w:p>
      <w:pPr>
        <w:pStyle w:val="Heading2"/>
      </w:pPr>
      <w:r>
        <w:t xml:space="preserve">5.5 Media Schedule</w:t>
      </w:r>
    </w:p>
    <w:p>
      <w:pPr>
        <w:spacing w:after="160" w:line="288"/>
      </w:pPr>
      <w:r>
        <w:t xml:space="preserve">The campaign runs on an always-on base of creator content, owned channels, light paid social and weekly Sanctuary Sessions, which keeps Alo familiar between bursts. Three bursts sit on top of this base, each matched to a stage of the customer journey (Court et al., 2009), as Figure 9 shows. </w:t>
      </w:r>
      <w:r>
        <w:rPr>
          <w:b/>
          <w:bCs/>
        </w:rPr>
        <w:t xml:space="preserve">Burst 1 (weeks 1–3)</w:t>
      </w:r>
      <w:r>
        <w:t xml:space="preserve"> builds awareness through outdoor, Spotify audio, heavy paid social and the first creator wave. </w:t>
      </w:r>
      <w:r>
        <w:rPr>
          <w:b/>
          <w:bCs/>
        </w:rPr>
        <w:t xml:space="preserve">Burst 2 (weeks 6–8)</w:t>
      </w:r>
      <w:r>
        <w:t xml:space="preserve"> builds consideration through a larger Sanctuary Session series, a second creator wave and press coverage. </w:t>
      </w:r>
      <w:r>
        <w:rPr>
          <w:b/>
          <w:bCs/>
        </w:rPr>
        <w:t xml:space="preserve">Burst 3 (weeks 11–12)</w:t>
      </w:r>
      <w:r>
        <w:t xml:space="preserve"> drives visits and advocacy through retargeting, booking and store emails, and a #MatToMoment content push. In the quieter weeks between bursts (weeks 4–5 and 9–10), the always-on base continues and budget is held for the bursts.</w:t>
      </w:r>
    </w:p>
    <w:p>
      <w:pPr>
        <w:keepNext/>
        <w:spacing w:after="40" w:before="200"/>
      </w:pPr>
      <w:r>
        <w:rPr>
          <w:b/>
          <w:bCs/>
        </w:rPr>
        <w:t xml:space="preserve">Figure 9</w:t>
      </w:r>
    </w:p>
    <w:p>
      <w:pPr>
        <w:keepNext/>
        <w:spacing w:after="100"/>
      </w:pPr>
      <w:r>
        <w:rPr>
          <w:i/>
          <w:iCs/>
        </w:rPr>
        <w:t xml:space="preserve">Twelve-Week Media Flighting Schedule (4 January – 28 March 2027)</w:t>
      </w:r>
    </w:p>
    <w:p>
      <w:pPr>
        <w:keepNext/>
        <w:spacing w:after="80"/>
        <w:jc w:val="center"/>
      </w:pPr>
      <w:r>
        <w:drawing>
          <wp:inline distT="0" distB="0" distL="0" distR="0">
            <wp:extent cx="603504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5040" cy="22764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Pre-campaign survey and creative pre-test run in December 2026; the post-campaign survey runs in the first week of April 2027.</w:t>
      </w:r>
    </w:p>
    <w:p>
      <w:pPr>
        <w:pStyle w:val="Heading2"/>
      </w:pPr>
      <w:r>
        <w:t xml:space="preserve">5.6 Budget</w:t>
      </w:r>
    </w:p>
    <w:p>
      <w:pPr>
        <w:spacing w:after="160" w:line="288"/>
      </w:pPr>
      <w:r>
        <w:t xml:space="preserve">The budget was set using the </w:t>
      </w:r>
      <w:r>
        <w:rPr>
          <w:b/>
          <w:bCs/>
        </w:rPr>
        <w:t xml:space="preserve">objective-and-task method</w:t>
      </w:r>
      <w:r>
        <w:t xml:space="preserve"> (Belch &amp; Belch, 2021): each objective was assigned the tasks needed to achieve it, and those tasks were costed. This is preferable to percentage-of-sales or competitive-parity methods, which have no Australian sales history to anchor them and would anchor Alo to Lululemon's far larger spend. Figures are planning estimates and should be confirmed against media owner quotes and creator rate cards before approval.</w:t>
      </w:r>
    </w:p>
    <w:p>
      <w:pPr>
        <w:keepNext/>
        <w:spacing w:after="40" w:before="200"/>
      </w:pPr>
      <w:r>
        <w:rPr>
          <w:b/>
          <w:bCs/>
        </w:rPr>
        <w:t xml:space="preserve">Table 7</w:t>
      </w:r>
    </w:p>
    <w:p>
      <w:pPr>
        <w:keepNext/>
        <w:spacing w:after="100"/>
      </w:pPr>
      <w:r>
        <w:rPr>
          <w:i/>
          <w:iCs/>
        </w:rPr>
        <w:t xml:space="preserve">Campaign Budget With Subtotals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5205"/>
        <w:gridCol w:w="1157"/>
        <w:gridCol w:w="1156"/>
      </w:tblGrid>
      <w:tr>
        <w:trPr>
          <w:tblHeader/>
        </w:trPr>
        <w:tc>
          <w:tcPr>
            <w:tcW w:type="dxa" w:w="2120"/>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Category</w:t>
            </w:r>
          </w:p>
        </w:tc>
        <w:tc>
          <w:tcPr>
            <w:tcW w:type="dxa" w:w="520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Line item and purpose</w:t>
            </w:r>
          </w:p>
        </w:tc>
        <w:tc>
          <w:tcPr>
            <w:tcW w:type="dxa" w:w="115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A$</w:t>
            </w:r>
          </w:p>
        </w:tc>
        <w:tc>
          <w:tcPr>
            <w:tcW w:type="dxa" w:w="115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 of total</w:t>
            </w:r>
          </w:p>
        </w:tc>
      </w:tr>
      <w:tr>
        <w:trPr>
          <w:cantSplit/>
        </w:trPr>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520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 social: geo-targeted reach, creator whitelisting, Burst 3 retargeting</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45,000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18.0%</w:t>
            </w:r>
          </w:p>
        </w:tc>
      </w:tr>
      <w:tr>
        <w:trPr>
          <w:cantSplit/>
        </w:trPr>
        <w:tc>
          <w:tcPr>
            <w:tcW w:type="dxa" w:w="212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p>
        </w:tc>
        <w:tc>
          <w:tcPr>
            <w:tcW w:type="dxa" w:w="520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Outdoor advertising: store-catchment and beach-side sites, Burst 1</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40,000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16.0%</w:t>
            </w:r>
          </w:p>
        </w:tc>
      </w:tr>
      <w:tr>
        <w:trPr>
          <w:cantSplit/>
        </w:trPr>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p>
        </w:tc>
        <w:tc>
          <w:tcPr>
            <w:tcW w:type="dxa" w:w="520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Spotify audio: Greater Sydney, women 22–34, Burst 1</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6.0%</w:t>
            </w:r>
          </w:p>
        </w:tc>
      </w:tr>
      <w:tr>
        <w:trPr>
          <w:cantSplit/>
        </w:trPr>
        <w:tc>
          <w:tcPr>
            <w:tcW w:type="dxa" w:w="2120"/>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A</w:t>
            </w:r>
          </w:p>
        </w:tc>
        <w:tc>
          <w:tcPr>
            <w:tcW w:type="dxa" w:w="5205"/>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Paid media</w:t>
            </w: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100,000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40.0%</w:t>
            </w:r>
          </w:p>
        </w:tc>
      </w:tr>
      <w:tr>
        <w:trPr>
          <w:cantSplit/>
        </w:trPr>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 Partnerships and experiential</w:t>
            </w:r>
          </w:p>
        </w:tc>
        <w:tc>
          <w:tcPr>
            <w:tcW w:type="dxa" w:w="520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Sanctuary Sessions and instructor partnerships: weekly sessions plus Burst 2 series, venue, product for trial</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55,000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22.0%</w:t>
            </w:r>
          </w:p>
        </w:tc>
      </w:tr>
      <w:tr>
        <w:trPr>
          <w:cantSplit/>
        </w:trPr>
        <w:tc>
          <w:tcPr>
            <w:tcW w:type="dxa" w:w="212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p>
        </w:tc>
        <w:tc>
          <w:tcPr>
            <w:tcW w:type="dxa" w:w="520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Creator partnerships: lead creator, 8–10 micro-creators, 1 mid-tier creator, usage rights</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50,000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20.0%</w:t>
            </w:r>
          </w:p>
        </w:tc>
      </w:tr>
      <w:tr>
        <w:trPr>
          <w:cantSplit/>
        </w:trPr>
        <w:tc>
          <w:tcPr>
            <w:tcW w:type="dxa" w:w="2120"/>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B</w:t>
            </w:r>
          </w:p>
        </w:tc>
        <w:tc>
          <w:tcPr>
            <w:tcW w:type="dxa" w:w="5205"/>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Partnerships and experiential</w:t>
            </w: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105,000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42.0%</w:t>
            </w:r>
          </w:p>
        </w:tc>
      </w:tr>
      <w:tr>
        <w:trPr>
          <w:cantSplit/>
        </w:trPr>
        <w:tc>
          <w:tcPr>
            <w:tcW w:type="dxa" w:w="212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 Content and PR</w:t>
            </w:r>
          </w:p>
        </w:tc>
        <w:tc>
          <w:tcPr>
            <w:tcW w:type="dxa" w:w="520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Content production: one coordinated shoot supplying the hero film, cut-downs, stills and audio</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8.0%</w:t>
            </w:r>
          </w:p>
        </w:tc>
      </w:tr>
      <w:tr>
        <w:trPr>
          <w:cantSplit/>
        </w:trPr>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p>
        </w:tc>
        <w:tc>
          <w:tcPr>
            <w:tcW w:type="dxa" w:w="520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PR and editorial: press kits, product seeding and media relations for Burst 2</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8,000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3.2%</w:t>
            </w:r>
          </w:p>
        </w:tc>
      </w:tr>
      <w:tr>
        <w:trPr>
          <w:cantSplit/>
        </w:trPr>
        <w:tc>
          <w:tcPr>
            <w:tcW w:type="dxa" w:w="2120"/>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C</w:t>
            </w:r>
          </w:p>
        </w:tc>
        <w:tc>
          <w:tcPr>
            <w:tcW w:type="dxa" w:w="5205"/>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Content and PR</w:t>
            </w: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28,000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11.2%</w:t>
            </w:r>
          </w:p>
        </w:tc>
      </w:tr>
      <w:tr>
        <w:trPr>
          <w:cantSplit/>
        </w:trPr>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D. Research</w:t>
            </w:r>
          </w:p>
        </w:tc>
        <w:tc>
          <w:tcPr>
            <w:tcW w:type="dxa" w:w="520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Pre- and post-campaign surveys and creative pre-test (needed to confirm the DAGMAR objectives)</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2.0%</w:t>
            </w:r>
          </w:p>
        </w:tc>
      </w:tr>
      <w:tr>
        <w:trPr>
          <w:cantSplit/>
        </w:trPr>
        <w:tc>
          <w:tcPr>
            <w:tcW w:type="dxa" w:w="212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E. Contingency</w:t>
            </w:r>
          </w:p>
        </w:tc>
        <w:tc>
          <w:tcPr>
            <w:tcW w:type="dxa" w:w="520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Rate changes, Bondi Junction scenario, extra weight behind best-performing content</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12,000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4.8%</w:t>
            </w:r>
          </w:p>
        </w:tc>
      </w:tr>
      <w:tr>
        <w:trPr>
          <w:cantSplit/>
        </w:trPr>
        <w:tc>
          <w:tcPr>
            <w:tcW w:type="dxa" w:w="2120"/>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TOTAL</w:t>
            </w:r>
          </w:p>
        </w:tc>
        <w:tc>
          <w:tcPr>
            <w:tcW w:type="dxa" w:w="5205"/>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250,000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100.0%</w:t>
            </w:r>
          </w:p>
        </w:tc>
      </w:tr>
    </w:tbl>
    <w:p>
      <w:pPr>
        <w:spacing w:after="240" w:before="60"/>
      </w:pPr>
      <w:r>
        <w:rPr>
          <w:i/>
          <w:iCs/>
          <w:color w:val="5B6770"/>
          <w:sz w:val="19"/>
          <w:szCs w:val="19"/>
        </w:rPr>
        <w:t xml:space="preserve">Note. </w:t>
      </w:r>
      <w:r>
        <w:rPr>
          <w:color w:val="5B6770"/>
          <w:sz w:val="19"/>
          <w:szCs w:val="19"/>
        </w:rPr>
        <w:t xml:space="preserve">Budget set using the objective-and-task method (Belch &amp; Belch, 2021). Figures are planning estimates to be confirmed against media owner quotes and creator rate cards.</w:t>
      </w:r>
    </w:p>
    <w:p>
      <w:pPr>
        <w:spacing w:after="160" w:line="288"/>
      </w:pPr>
      <w:r>
        <w:t xml:space="preserve">Two critical checks were applied. First, Binet and Field (2013) found that, on average, the most effective campaigns split spend roughly 60:40 between long-term brand building and short-term activation. Treating outdoor, Spotify, creators, production and PR as brand building (A$133,000) and paid social and Sanctuary Sessions as activation and trial (A$100,000), the plan splits approximately 57:43, close to that benchmark. Second, Binet and Field (2013) also show that brand effects compound over periods longer than six months. A 12-week campaign is therefore a launch platform, not a complete solution. We recommend that the always-on creator and owned base continue after March 2027, funded from the business-as-usual budget, so the salience built here does not decay as the launch interest did.</w:t>
      </w:r>
    </w:p>
    <w:p>
      <w:pPr>
        <w:spacing w:after="160" w:line="288"/>
      </w:pPr>
      <w:r>
        <w:t xml:space="preserve">The weighting reflects the strategy. Paid social, outdoor and audio build reach, while Sanctuary Sessions and local creators build belief that Alo is worth the price. Pulsing sustains awareness after the opening hype instead of letting it fade. Discounting and celebrity endorsement are excluded because both would weaken Alo's premium, local position. A 5% contingency covers rate increases, the Bondi Junction scenario in Section 5.4 or extra spend behind whichever creator content performs best in Burst 1.</w:t>
      </w:r>
    </w:p>
    <w:p>
      <w:pPr>
        <w:pStyle w:val="Heading2"/>
      </w:pPr>
      <w:r>
        <w:t xml:space="preserve">5.7 Evaluating the Integration of the Mix</w:t>
      </w:r>
    </w:p>
    <w:p>
      <w:pPr>
        <w:spacing w:after="160" w:line="288"/>
      </w:pPr>
      <w:r>
        <w:t xml:space="preserve">Batra and Keller's (2016) </w:t>
      </w:r>
      <w:r>
        <w:rPr>
          <w:b/>
          <w:bCs/>
        </w:rPr>
        <w:t xml:space="preserve">COMPEL</w:t>
      </w:r>
      <w:r>
        <w:t xml:space="preserve"> framework tests whether a mix is integrated rather than just multi-channel, and Figure 10 applies it. The assessment reveals three things. First, no single channel scores high on every criterion, which justifies a mix rather than a single hero channel. Second, the weakest channels are complemented by others. Sanctuary Sessions have low coverage but the highest contribution and cross-effects, because they generate the proof content that paid social then distributes. Outdoor and Spotify have low conformability (they cannot adapt to what a viewer already knows), so they carry only the simplest message, and retargeting handles the follow-up. Third, commonality is high across all channels except Spotify, where the absence of visuals is mitigated by spoken timestamps and sound cues that echo the film.</w:t>
      </w:r>
    </w:p>
    <w:p>
      <w:pPr>
        <w:keepNext/>
        <w:spacing w:after="40" w:before="200"/>
      </w:pPr>
      <w:r>
        <w:rPr>
          <w:b/>
          <w:bCs/>
        </w:rPr>
        <w:t xml:space="preserve">Figure 10</w:t>
      </w:r>
    </w:p>
    <w:p>
      <w:pPr>
        <w:keepNext/>
        <w:spacing w:after="100"/>
      </w:pPr>
      <w:r>
        <w:rPr>
          <w:i/>
          <w:iCs/>
        </w:rPr>
        <w:t xml:space="preserve">COMPEL Assessment of the Media Mix</w:t>
      </w:r>
    </w:p>
    <w:p>
      <w:pPr>
        <w:keepNext/>
        <w:spacing w:after="80"/>
        <w:jc w:val="center"/>
      </w:pPr>
      <w:r>
        <w:drawing>
          <wp:inline distT="0" distB="0" distL="0" distR="0">
            <wp:extent cx="603504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35040" cy="22002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Batra and Keller (2016). Ratings are the agency's assessment and should be revisited after Burst 1 using in-flight data.</w:t>
      </w:r>
    </w:p>
    <w:p>
      <w:pPr>
        <w:pStyle w:val="Heading1"/>
      </w:pPr>
      <w:r>
        <w:t xml:space="preserve">6. Campaign Evaluation</w:t>
      </w:r>
    </w:p>
    <w:p>
      <w:pPr>
        <w:spacing w:after="160" w:line="288"/>
      </w:pPr>
      <w:r>
        <w:t xml:space="preserve">Evaluation runs in three stages: </w:t>
      </w:r>
      <w:r>
        <w:rPr>
          <w:b/>
          <w:bCs/>
        </w:rPr>
        <w:t xml:space="preserve">pre-testing</w:t>
      </w:r>
      <w:r>
        <w:t xml:space="preserve"> before launch, </w:t>
      </w:r>
      <w:r>
        <w:rPr>
          <w:b/>
          <w:bCs/>
        </w:rPr>
        <w:t xml:space="preserve">in-flight tracking</w:t>
      </w:r>
      <w:r>
        <w:t xml:space="preserve"> during the campaign, and </w:t>
      </w:r>
      <w:r>
        <w:rPr>
          <w:b/>
          <w:bCs/>
        </w:rPr>
        <w:t xml:space="preserve">post-testing</w:t>
      </w:r>
      <w:r>
        <w:t xml:space="preserve"> against the DAGMAR objectives (Belch &amp; Belch, 2021). Because DAGMAR objectives can only be confirmed by measuring before and after, the A$5,000 research line funds two online survey waves of Segment A, in December 2026 and April 2027. Each wave uses identical questions for Objectives 1–4 and includes a smaller Melbourne sample as a control for national category trends.</w:t>
      </w:r>
    </w:p>
    <w:p>
      <w:pPr>
        <w:keepNext/>
        <w:spacing w:after="40" w:before="200"/>
      </w:pPr>
      <w:r>
        <w:rPr>
          <w:b/>
          <w:bCs/>
        </w:rPr>
        <w:t xml:space="preserve">Table 8</w:t>
      </w:r>
    </w:p>
    <w:p>
      <w:pPr>
        <w:keepNext/>
        <w:spacing w:after="100"/>
      </w:pPr>
      <w:r>
        <w:rPr>
          <w:i/>
          <w:iCs/>
        </w:rPr>
        <w:t xml:space="preserve">Evaluation Plan by Objective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313"/>
        <w:gridCol w:w="3084"/>
        <w:gridCol w:w="1542"/>
        <w:gridCol w:w="1350"/>
      </w:tblGrid>
      <w:tr>
        <w:trPr>
          <w:tblHeader/>
        </w:trPr>
        <w:tc>
          <w:tcPr>
            <w:tcW w:type="dxa" w:w="1349"/>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Objective</w:t>
            </w:r>
          </w:p>
        </w:tc>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Primary measure</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Supporting and behavioural measures</w:t>
            </w:r>
          </w:p>
        </w:tc>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Timing</w:t>
            </w:r>
          </w:p>
        </w:tc>
        <w:tc>
          <w:tcPr>
            <w:tcW w:type="dxa" w:w="1350"/>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Success threshold</w:t>
            </w:r>
          </w:p>
        </w:tc>
      </w:tr>
      <w:tr>
        <w:trPr>
          <w:cantSplit/>
        </w:trPr>
        <w:tc>
          <w:tcPr>
            <w:tcW w:type="dxa" w:w="134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Creative pre-test</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Comprehension, relevance, premium perception, brand attribution</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Comparison of alternative hero edits and outdoor layouts</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Dec 2026</w:t>
            </w:r>
          </w:p>
        </w:tc>
        <w:tc>
          <w:tcPr>
            <w:tcW w:type="dxa" w:w="135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Majority correctly attribute work to Alo</w:t>
            </w:r>
          </w:p>
        </w:tc>
      </w:tr>
      <w:tr>
        <w:trPr>
          <w:cantSplit/>
        </w:trPr>
        <w:tc>
          <w:tcPr>
            <w:tcW w:type="dxa" w:w="134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O1 Worth it</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Survey agreement "worth paying more for"</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Session attendee feedback; cost-per-wear UGC sentiment; tone of editorial coverage</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Dec 2026 and Apr 2027</w:t>
            </w:r>
          </w:p>
        </w:tc>
        <w:tc>
          <w:tcPr>
            <w:tcW w:type="dxa" w:w="135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≥30%</w:t>
            </w:r>
          </w:p>
        </w:tc>
      </w:tr>
      <w:tr>
        <w:trPr>
          <w:cantSplit/>
        </w:trPr>
        <w:tc>
          <w:tcPr>
            <w:tcW w:type="dxa" w:w="134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O2 People like me</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Survey agreement "for people like me in Sydney"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Creator comment sentiment; #MatToMoment post volume</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Dec 2026 and Apr 2027</w:t>
            </w:r>
          </w:p>
        </w:tc>
        <w:tc>
          <w:tcPr>
            <w:tcW w:type="dxa" w:w="135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≥25%</w:t>
            </w:r>
          </w:p>
        </w:tc>
      </w:tr>
      <w:tr>
        <w:trPr>
          <w:cantSplit/>
        </w:trPr>
        <w:tc>
          <w:tcPr>
            <w:tcW w:type="dxa" w:w="134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O3 Store awareness</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Prompted awareness of Sydney stores</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Reach and frequency; store-locator clicks; weekly Google Trends vs Lululemon and Lorna Jane</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Surveys plus weekly tracking</w:t>
            </w:r>
          </w:p>
        </w:tc>
        <w:tc>
          <w:tcPr>
            <w:tcW w:type="dxa" w:w="135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≥50%</w:t>
            </w:r>
          </w:p>
        </w:tc>
      </w:tr>
      <w:tr>
        <w:trPr>
          <w:cantSplit/>
        </w:trPr>
        <w:tc>
          <w:tcPr>
            <w:tcW w:type="dxa" w:w="134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O4 Visits</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Self-reported store or website visit, past three months</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Store traffic counts; Greater Sydney web sessions; creator tracked links</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Surveys plus weekly tracking</w:t>
            </w:r>
          </w:p>
        </w:tc>
        <w:tc>
          <w:tcPr>
            <w:tcW w:type="dxa" w:w="135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w:t>
            </w:r>
          </w:p>
        </w:tc>
      </w:tr>
    </w:tbl>
    <w:p>
      <w:pPr>
        <w:spacing w:after="240" w:before="60"/>
      </w:pPr>
      <w:r>
        <w:rPr>
          <w:i/>
          <w:iCs/>
          <w:color w:val="5B6770"/>
          <w:sz w:val="19"/>
          <w:szCs w:val="19"/>
        </w:rPr>
        <w:t xml:space="preserve">Note. </w:t>
      </w:r>
      <w:r>
        <w:rPr>
          <w:color w:val="5B6770"/>
          <w:sz w:val="19"/>
          <w:szCs w:val="19"/>
        </w:rPr>
        <w:t xml:space="preserve">Each survey wave includes a smaller Melbourne sample as a control for national category trends.</w:t>
      </w:r>
    </w:p>
    <w:p>
      <w:pPr>
        <w:spacing w:after="160" w:line="288"/>
      </w:pPr>
      <w:r>
        <w:rPr>
          <w:b/>
          <w:bCs/>
        </w:rPr>
        <w:t xml:space="preserve">Pre-testing</w:t>
      </w:r>
      <w:r>
        <w:t xml:space="preserve"> (December 2026) uses the first survey wave and short online concept tests of the hero film, outdoor layouts and audio scripts. It checks comprehension of "Mat to Moment", personal relevance, perceived premium value and correct brand attribution. Pre-testing has a known weakness: forced exposure in a test overstates the attention real ads receive (Belch &amp; Belch, 2021). Results are therefore used to choose between executions and fix problems, not to forecast campaign results.</w:t>
      </w:r>
    </w:p>
    <w:p>
      <w:pPr>
        <w:spacing w:after="160" w:line="288"/>
      </w:pPr>
      <w:r>
        <w:rPr>
          <w:b/>
          <w:bCs/>
        </w:rPr>
        <w:t xml:space="preserve">In-flight tracking</w:t>
      </w:r>
      <w:r>
        <w:t xml:space="preserve"> allows the mix to be optimised between bursts. Measures include reach and frequency, video completion, saves and shares, Sanctuary Session bookings, store-locator clicks, creator-specific tracked links, #MatToMoment volume and sentiment, and weekly Google Trends interest for Alo relative to Lululemon and Lorna Jane, the same measure used in Appendix A. The quieter weeks between bursts serve as natural checkpoints for moving budget towards the best-performing creators and formats.</w:t>
      </w:r>
    </w:p>
    <w:p>
      <w:pPr>
        <w:spacing w:after="160" w:line="288"/>
      </w:pPr>
      <w:r>
        <w:rPr>
          <w:b/>
          <w:bCs/>
        </w:rPr>
        <w:t xml:space="preserve">Post-testing</w:t>
      </w:r>
      <w:r>
        <w:t xml:space="preserve"> (April 2027) compares the second survey wave with the baseline for each objective. Self-reported store visits are prone to overclaiming, so Objective 4 is triangulated with store traffic counts and website analytics for the same period, compared with the pre-campaign weeks. Comparing respondents who recall the campaign with those who do not, against the Melbourne control, helps separate campaign effects from seasonal and category trends. This is a quasi-experimental design rather than a true experiment, so results will indicate rather than prove causality, which is a limitation we will state in the post-campaign report.</w:t>
      </w:r>
    </w:p>
    <w:p>
      <w:pPr>
        <w:pStyle w:val="Heading1"/>
      </w:pPr>
      <w:r>
        <w:t xml:space="preserve">7. Conclusion</w:t>
      </w:r>
    </w:p>
    <w:p>
      <w:pPr>
        <w:spacing w:after="160" w:line="288"/>
      </w:pPr>
      <w:r>
        <w:t xml:space="preserve">Alo has arrived in Sydney with a famous name but little local meaning, and the launch interest it generated is fading. "Mat to Moment" addresses this by claiming the one occasion its competitors do not own: the moments after class. It makes that claim credible through Sydney instructors and creators, provable through hands-on trial, and easy to act on through store-focused reach. Each choice in this brief, from the selected segment to the rejected celebrity and the pulsed schedule, follows from a diagnosed challenge and is supported by theory and evidence. The campaign is deliberately modest in scale and focused in ambition, built to turn familiarity into relevance and relevance into visits.</w:t>
      </w:r>
    </w:p>
    <w:p>
      <w:r>
        <w:br w:type="page"/>
      </w:r>
    </w:p>
    <w:p>
      <w:pPr>
        <w:pStyle w:val="Heading1"/>
      </w:pPr>
      <w:r>
        <w:t xml:space="preserve">References</w:t>
      </w:r>
    </w:p>
    <w:p>
      <w:pPr>
        <w:spacing w:after="120" w:line="276"/>
        <w:ind w:left="720" w:hanging="720"/>
      </w:pPr>
      <w:r>
        <w:rPr>
          <w:sz w:val="21"/>
          <w:szCs w:val="21"/>
        </w:rPr>
        <w:t xml:space="preserve">Australian Association of National Advertisers. (2021). </w:t>
      </w:r>
      <w:r>
        <w:rPr>
          <w:i/>
          <w:iCs/>
          <w:sz w:val="21"/>
          <w:szCs w:val="21"/>
        </w:rPr>
        <w:t xml:space="preserve">AANA code of ethics</w:t>
      </w:r>
      <w:r>
        <w:rPr>
          <w:sz w:val="21"/>
          <w:szCs w:val="21"/>
        </w:rPr>
        <w:t xml:space="preserve">. https://aana.com.au/self-regulation/codes-guidelines/code-of-ethics/</w:t>
      </w:r>
    </w:p>
    <w:p>
      <w:pPr>
        <w:spacing w:after="120" w:line="276"/>
        <w:ind w:left="720" w:hanging="720"/>
      </w:pPr>
      <w:r>
        <w:rPr>
          <w:sz w:val="21"/>
          <w:szCs w:val="21"/>
        </w:rPr>
        <w:t xml:space="preserve">Australian Competition and Consumer Commission. (2021, July 23). </w:t>
      </w:r>
      <w:r>
        <w:rPr>
          <w:i/>
          <w:iCs/>
          <w:sz w:val="21"/>
          <w:szCs w:val="21"/>
        </w:rPr>
        <w:t xml:space="preserve">Lorna Jane pays $5 million over false 'anti-virus activewear' claims</w:t>
      </w:r>
      <w:r>
        <w:rPr>
          <w:sz w:val="21"/>
          <w:szCs w:val="21"/>
        </w:rPr>
        <w:t xml:space="preserve"> [Media release]. https://www.accc.gov.au/media-release/lorna-jane-pays-5-million-over-false-anti-virus-activewear-claims</w:t>
      </w:r>
    </w:p>
    <w:p>
      <w:pPr>
        <w:spacing w:after="120" w:line="276"/>
        <w:ind w:left="720" w:hanging="720"/>
      </w:pPr>
      <w:r>
        <w:rPr>
          <w:sz w:val="21"/>
          <w:szCs w:val="21"/>
        </w:rPr>
        <w:t xml:space="preserve">Batra, R., &amp; Keller, K. L. (2016). Integrating marketing communications: New findings, new lessons, and new ideas. </w:t>
      </w:r>
      <w:r>
        <w:rPr>
          <w:i/>
          <w:iCs/>
          <w:sz w:val="21"/>
          <w:szCs w:val="21"/>
        </w:rPr>
        <w:t xml:space="preserve">Journal of Marketing, 80</w:t>
      </w:r>
      <w:r>
        <w:rPr>
          <w:sz w:val="21"/>
          <w:szCs w:val="21"/>
        </w:rPr>
        <w:t xml:space="preserve">(6), 122–145. https://doi.org/10.1509/jm.15.0419</w:t>
      </w:r>
    </w:p>
    <w:p>
      <w:pPr>
        <w:spacing w:after="120" w:line="276"/>
        <w:ind w:left="720" w:hanging="720"/>
      </w:pPr>
      <w:r>
        <w:rPr>
          <w:sz w:val="21"/>
          <w:szCs w:val="21"/>
        </w:rPr>
        <w:t xml:space="preserve">Belch, G. E., &amp; Belch, M. A. (2021). </w:t>
      </w:r>
      <w:r>
        <w:rPr>
          <w:i/>
          <w:iCs/>
          <w:sz w:val="21"/>
          <w:szCs w:val="21"/>
        </w:rPr>
        <w:t xml:space="preserve">Advertising and promotion: An integrated marketing communications perspective</w:t>
      </w:r>
      <w:r>
        <w:rPr>
          <w:sz w:val="21"/>
          <w:szCs w:val="21"/>
        </w:rPr>
        <w:t xml:space="preserve"> (12th ed.). McGraw-Hill Education.</w:t>
      </w:r>
    </w:p>
    <w:p>
      <w:pPr>
        <w:spacing w:after="120" w:line="276"/>
        <w:ind w:left="720" w:hanging="720"/>
      </w:pPr>
      <w:r>
        <w:rPr>
          <w:sz w:val="21"/>
          <w:szCs w:val="21"/>
        </w:rPr>
        <w:t xml:space="preserve">Belk, R. W. (1988). Possessions and the extended self. </w:t>
      </w:r>
      <w:r>
        <w:rPr>
          <w:i/>
          <w:iCs/>
          <w:sz w:val="21"/>
          <w:szCs w:val="21"/>
        </w:rPr>
        <w:t xml:space="preserve">Journal of Consumer Research, 15</w:t>
      </w:r>
      <w:r>
        <w:rPr>
          <w:sz w:val="21"/>
          <w:szCs w:val="21"/>
        </w:rPr>
        <w:t xml:space="preserve">(2), 139–168. https://doi.org/10.1086/209154</w:t>
      </w:r>
    </w:p>
    <w:p>
      <w:pPr>
        <w:spacing w:after="120" w:line="276"/>
        <w:ind w:left="720" w:hanging="720"/>
      </w:pPr>
      <w:r>
        <w:rPr>
          <w:sz w:val="21"/>
          <w:szCs w:val="21"/>
        </w:rPr>
        <w:t xml:space="preserve">Belk, R. W. (2013). Extended self in a digital world. </w:t>
      </w:r>
      <w:r>
        <w:rPr>
          <w:i/>
          <w:iCs/>
          <w:sz w:val="21"/>
          <w:szCs w:val="21"/>
        </w:rPr>
        <w:t xml:space="preserve">Journal of Consumer Research, 40</w:t>
      </w:r>
      <w:r>
        <w:rPr>
          <w:sz w:val="21"/>
          <w:szCs w:val="21"/>
        </w:rPr>
        <w:t xml:space="preserve">(3), 477–500. https://doi.org/10.1086/671052</w:t>
      </w:r>
    </w:p>
    <w:p>
      <w:pPr>
        <w:spacing w:after="120" w:line="276"/>
        <w:ind w:left="720" w:hanging="720"/>
      </w:pPr>
      <w:r>
        <w:rPr>
          <w:sz w:val="21"/>
          <w:szCs w:val="21"/>
        </w:rPr>
        <w:t xml:space="preserve">Binet, L., &amp; Field, P. (2013). </w:t>
      </w:r>
      <w:r>
        <w:rPr>
          <w:i/>
          <w:iCs/>
          <w:sz w:val="21"/>
          <w:szCs w:val="21"/>
        </w:rPr>
        <w:t xml:space="preserve">The long and the short of it: Balancing short and long-term marketing strategies</w:t>
      </w:r>
      <w:r>
        <w:rPr>
          <w:sz w:val="21"/>
          <w:szCs w:val="21"/>
        </w:rPr>
        <w:t xml:space="preserve">. Institute of Practitioners in Advertising.</w:t>
      </w:r>
    </w:p>
    <w:p>
      <w:pPr>
        <w:spacing w:after="120" w:line="276"/>
        <w:ind w:left="720" w:hanging="720"/>
      </w:pPr>
      <w:r>
        <w:rPr>
          <w:sz w:val="21"/>
          <w:szCs w:val="21"/>
        </w:rPr>
        <w:t xml:space="preserve">Bryant, </w:t>
      </w:r>
      <w:r>
        <w:rPr>
          <w:sz w:val="21"/>
          <w:szCs w:val="21"/>
          <w:highlight w:val="yellow"/>
          <w:highlightCs w:val="yellow"/>
        </w:rPr>
        <w:t xml:space="preserve">[Initial]</w:t>
      </w:r>
      <w:r>
        <w:rPr>
          <w:sz w:val="21"/>
          <w:szCs w:val="21"/>
        </w:rPr>
        <w:t xml:space="preserve">. (2026a). </w:t>
      </w:r>
      <w:r>
        <w:rPr>
          <w:i/>
          <w:iCs/>
          <w:sz w:val="21"/>
          <w:szCs w:val="21"/>
          <w:highlight w:val="yellow"/>
          <w:highlightCs w:val="yellow"/>
        </w:rPr>
        <w:t xml:space="preserve">[Lecture title]</w:t>
      </w:r>
      <w:r>
        <w:rPr>
          <w:sz w:val="21"/>
          <w:szCs w:val="21"/>
        </w:rPr>
        <w:t xml:space="preserve"> [Lecture slides]. </w:t>
      </w:r>
      <w:r>
        <w:rPr>
          <w:sz w:val="21"/>
          <w:szCs w:val="21"/>
          <w:highlight w:val="yellow"/>
          <w:highlightCs w:val="yellow"/>
        </w:rPr>
        <w:t xml:space="preserve">MKTG3112 Marketing Communications, [University]</w:t>
      </w:r>
      <w:r>
        <w:rPr>
          <w:sz w:val="21"/>
          <w:szCs w:val="21"/>
        </w:rPr>
        <w:t xml:space="preserve">.</w:t>
      </w:r>
    </w:p>
    <w:p>
      <w:pPr>
        <w:spacing w:after="120" w:line="276"/>
        <w:ind w:left="720" w:hanging="720"/>
      </w:pPr>
      <w:r>
        <w:rPr>
          <w:sz w:val="21"/>
          <w:szCs w:val="21"/>
        </w:rPr>
        <w:t xml:space="preserve">Bryant, </w:t>
      </w:r>
      <w:r>
        <w:rPr>
          <w:sz w:val="21"/>
          <w:szCs w:val="21"/>
          <w:highlight w:val="yellow"/>
          <w:highlightCs w:val="yellow"/>
        </w:rPr>
        <w:t xml:space="preserve">[Initial]</w:t>
      </w:r>
      <w:r>
        <w:rPr>
          <w:sz w:val="21"/>
          <w:szCs w:val="21"/>
        </w:rPr>
        <w:t xml:space="preserve">. (2026b). </w:t>
      </w:r>
      <w:r>
        <w:rPr>
          <w:i/>
          <w:iCs/>
          <w:sz w:val="21"/>
          <w:szCs w:val="21"/>
          <w:highlight w:val="yellow"/>
          <w:highlightCs w:val="yellow"/>
        </w:rPr>
        <w:t xml:space="preserve">[Lecture title]</w:t>
      </w:r>
      <w:r>
        <w:rPr>
          <w:sz w:val="21"/>
          <w:szCs w:val="21"/>
        </w:rPr>
        <w:t xml:space="preserve"> [Lecture slides]. </w:t>
      </w:r>
      <w:r>
        <w:rPr>
          <w:sz w:val="21"/>
          <w:szCs w:val="21"/>
          <w:highlight w:val="yellow"/>
          <w:highlightCs w:val="yellow"/>
        </w:rPr>
        <w:t xml:space="preserve">MKTG3112 Marketing Communications, [University]</w:t>
      </w:r>
      <w:r>
        <w:rPr>
          <w:sz w:val="21"/>
          <w:szCs w:val="21"/>
        </w:rPr>
        <w:t xml:space="preserve">.</w:t>
      </w:r>
    </w:p>
    <w:p>
      <w:pPr>
        <w:spacing w:after="120" w:line="276"/>
        <w:ind w:left="720" w:hanging="720"/>
      </w:pPr>
      <w:r>
        <w:rPr>
          <w:sz w:val="21"/>
          <w:szCs w:val="21"/>
        </w:rPr>
        <w:t xml:space="preserve">Camacho-Miñano, M. J., MacIsaac, S., &amp; Rich, E. (2019). Postfeminist biopedagogies of Instagram: Young women learning about bodies, health and fitness. </w:t>
      </w:r>
      <w:r>
        <w:rPr>
          <w:i/>
          <w:iCs/>
          <w:sz w:val="21"/>
          <w:szCs w:val="21"/>
        </w:rPr>
        <w:t xml:space="preserve">Sport, Education and Society, 24</w:t>
      </w:r>
      <w:r>
        <w:rPr>
          <w:sz w:val="21"/>
          <w:szCs w:val="21"/>
        </w:rPr>
        <w:t xml:space="preserve">(6), 651–664. https://doi.org/10.1080/13573322.2019.1613975</w:t>
      </w:r>
    </w:p>
    <w:p>
      <w:pPr>
        <w:spacing w:after="120" w:line="276"/>
        <w:ind w:left="720" w:hanging="720"/>
      </w:pPr>
      <w:r>
        <w:rPr>
          <w:sz w:val="21"/>
          <w:szCs w:val="21"/>
        </w:rPr>
        <w:t xml:space="preserve">Cameron, G. T. (1994). Does publicity outperform advertising? An experimental test of the third-party endorsement. </w:t>
      </w:r>
      <w:r>
        <w:rPr>
          <w:i/>
          <w:iCs/>
          <w:sz w:val="21"/>
          <w:szCs w:val="21"/>
        </w:rPr>
        <w:t xml:space="preserve">Journal of Public Relations Research, 6</w:t>
      </w:r>
      <w:r>
        <w:rPr>
          <w:sz w:val="21"/>
          <w:szCs w:val="21"/>
        </w:rPr>
        <w:t xml:space="preserve">(3), 185–207. https://doi.org/10.1207/s1532754xjprr0603_02</w:t>
      </w:r>
    </w:p>
    <w:p>
      <w:pPr>
        <w:spacing w:after="120" w:line="276"/>
        <w:ind w:left="720" w:hanging="720"/>
      </w:pPr>
      <w:r>
        <w:rPr>
          <w:sz w:val="21"/>
          <w:szCs w:val="21"/>
        </w:rPr>
        <w:t xml:space="preserve">Chadwick, </w:t>
      </w:r>
      <w:r>
        <w:rPr>
          <w:sz w:val="21"/>
          <w:szCs w:val="21"/>
          <w:highlight w:val="yellow"/>
          <w:highlightCs w:val="yellow"/>
        </w:rPr>
        <w:t xml:space="preserve">[Initial]</w:t>
      </w:r>
      <w:r>
        <w:rPr>
          <w:sz w:val="21"/>
          <w:szCs w:val="21"/>
        </w:rPr>
        <w:t xml:space="preserve">. (2025a). Lorna Jane's profit doubles thanks to strong demand for athletic clothing. </w:t>
      </w:r>
      <w:r>
        <w:rPr>
          <w:i/>
          <w:iCs/>
          <w:sz w:val="21"/>
          <w:szCs w:val="21"/>
        </w:rPr>
        <w:t xml:space="preserve">Inside Retail</w:t>
      </w:r>
      <w:r>
        <w:rPr>
          <w:sz w:val="21"/>
          <w:szCs w:val="21"/>
        </w:rPr>
        <w:t xml:space="preserve">. https://insideretail.com.au/business/lorna-janes-profit-doubles-thanks-to-strong-demand-for-athletic-clothing-202501</w:t>
      </w:r>
    </w:p>
    <w:p>
      <w:pPr>
        <w:spacing w:after="120" w:line="276"/>
        <w:ind w:left="720" w:hanging="720"/>
      </w:pPr>
      <w:r>
        <w:rPr>
          <w:sz w:val="21"/>
          <w:szCs w:val="21"/>
        </w:rPr>
        <w:t xml:space="preserve">Chadwick, </w:t>
      </w:r>
      <w:r>
        <w:rPr>
          <w:sz w:val="21"/>
          <w:szCs w:val="21"/>
          <w:highlight w:val="yellow"/>
          <w:highlightCs w:val="yellow"/>
        </w:rPr>
        <w:t xml:space="preserve">[Initial]</w:t>
      </w:r>
      <w:r>
        <w:rPr>
          <w:sz w:val="21"/>
          <w:szCs w:val="21"/>
        </w:rPr>
        <w:t xml:space="preserve">. (2025b). </w:t>
      </w:r>
      <w:r>
        <w:rPr>
          <w:sz w:val="21"/>
          <w:szCs w:val="21"/>
          <w:highlight w:val="yellow"/>
          <w:highlightCs w:val="yellow"/>
        </w:rPr>
        <w:t xml:space="preserve">[Article title]</w:t>
      </w:r>
      <w:r>
        <w:rPr>
          <w:sz w:val="21"/>
          <w:szCs w:val="21"/>
        </w:rPr>
        <w:t xml:space="preserve">. </w:t>
      </w:r>
      <w:r>
        <w:rPr>
          <w:i/>
          <w:iCs/>
          <w:sz w:val="21"/>
          <w:szCs w:val="21"/>
          <w:highlight w:val="yellow"/>
          <w:highlightCs w:val="yellow"/>
        </w:rPr>
        <w:t xml:space="preserve">[Publication]</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Colley, R. H. (1961). </w:t>
      </w:r>
      <w:r>
        <w:rPr>
          <w:i/>
          <w:iCs/>
          <w:sz w:val="21"/>
          <w:szCs w:val="21"/>
        </w:rPr>
        <w:t xml:space="preserve">Defining advertising goals for measured advertising results</w:t>
      </w:r>
      <w:r>
        <w:rPr>
          <w:sz w:val="21"/>
          <w:szCs w:val="21"/>
        </w:rPr>
        <w:t xml:space="preserve">. Association of National Advertisers.</w:t>
      </w:r>
    </w:p>
    <w:p>
      <w:pPr>
        <w:spacing w:after="120" w:line="276"/>
        <w:ind w:left="720" w:hanging="720"/>
      </w:pPr>
      <w:r>
        <w:rPr>
          <w:sz w:val="21"/>
          <w:szCs w:val="21"/>
        </w:rPr>
        <w:t xml:space="preserve">Concrete Playground. (2026, September 15). </w:t>
      </w:r>
      <w:r>
        <w:rPr>
          <w:i/>
          <w:iCs/>
          <w:sz w:val="21"/>
          <w:szCs w:val="21"/>
        </w:rPr>
        <w:t xml:space="preserve">Now open: Cult LA activewear brand Alo has opened a store in the heart of Sydney's CBD at The Galeries</w:t>
      </w:r>
      <w:r>
        <w:rPr>
          <w:sz w:val="21"/>
          <w:szCs w:val="21"/>
        </w:rPr>
        <w:t xml:space="preserve">. https://concreteplayground.com/sydney/?p=1144787</w:t>
      </w:r>
    </w:p>
    <w:p>
      <w:pPr>
        <w:spacing w:after="120" w:line="276"/>
        <w:ind w:left="720" w:hanging="720"/>
      </w:pPr>
      <w:r>
        <w:rPr>
          <w:sz w:val="21"/>
          <w:szCs w:val="21"/>
        </w:rPr>
        <w:t xml:space="preserve">Court, D., Elzinga, D., Mulder, S., &amp; Vetvik, O. J. (2009). The consumer decision journey. </w:t>
      </w:r>
      <w:r>
        <w:rPr>
          <w:i/>
          <w:iCs/>
          <w:sz w:val="21"/>
          <w:szCs w:val="21"/>
        </w:rPr>
        <w:t xml:space="preserve">McKinsey Quarterly</w:t>
      </w:r>
      <w:r>
        <w:rPr>
          <w:sz w:val="21"/>
          <w:szCs w:val="21"/>
        </w:rPr>
        <w:t xml:space="preserve">, (3), 96–107.</w:t>
      </w:r>
    </w:p>
    <w:p>
      <w:pPr>
        <w:spacing w:after="120" w:line="276"/>
        <w:ind w:left="720" w:hanging="720"/>
      </w:pPr>
      <w:r>
        <w:rPr>
          <w:sz w:val="21"/>
          <w:szCs w:val="21"/>
        </w:rPr>
        <w:t xml:space="preserve">Danziger, P. N. (2026). </w:t>
      </w:r>
      <w:r>
        <w:rPr>
          <w:sz w:val="21"/>
          <w:szCs w:val="21"/>
          <w:highlight w:val="yellow"/>
          <w:highlightCs w:val="yellow"/>
        </w:rPr>
        <w:t xml:space="preserve">[Article title]</w:t>
      </w:r>
      <w:r>
        <w:rPr>
          <w:sz w:val="21"/>
          <w:szCs w:val="21"/>
        </w:rPr>
        <w:t xml:space="preserve">. </w:t>
      </w:r>
      <w:r>
        <w:rPr>
          <w:i/>
          <w:iCs/>
          <w:sz w:val="21"/>
          <w:szCs w:val="21"/>
        </w:rPr>
        <w:t xml:space="preserve">Forbes</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De Veirman, M., Cauberghe, V., &amp; Hudders, L. (2017). Marketing through Instagram influencers: The impact of number of followers and product divergence on brand attitude. </w:t>
      </w:r>
      <w:r>
        <w:rPr>
          <w:i/>
          <w:iCs/>
          <w:sz w:val="21"/>
          <w:szCs w:val="21"/>
        </w:rPr>
        <w:t xml:space="preserve">International Journal of Advertising, 36</w:t>
      </w:r>
      <w:r>
        <w:rPr>
          <w:sz w:val="21"/>
          <w:szCs w:val="21"/>
        </w:rPr>
        <w:t xml:space="preserve">(5), 798–828. https://doi.org/10.1080/02650487.2017.1348035</w:t>
      </w:r>
    </w:p>
    <w:p>
      <w:pPr>
        <w:spacing w:after="120" w:line="276"/>
        <w:ind w:left="720" w:hanging="720"/>
      </w:pPr>
      <w:r>
        <w:rPr>
          <w:sz w:val="21"/>
          <w:szCs w:val="21"/>
        </w:rPr>
        <w:t xml:space="preserve">Duong, </w:t>
      </w:r>
      <w:r>
        <w:rPr>
          <w:sz w:val="21"/>
          <w:szCs w:val="21"/>
          <w:highlight w:val="yellow"/>
          <w:highlightCs w:val="yellow"/>
        </w:rPr>
        <w:t xml:space="preserve">[Initial]</w:t>
      </w:r>
      <w:r>
        <w:rPr>
          <w:sz w:val="21"/>
          <w:szCs w:val="21"/>
        </w:rPr>
        <w:t xml:space="preserve">. (2026). </w:t>
      </w:r>
      <w:r>
        <w:rPr>
          <w:sz w:val="21"/>
          <w:szCs w:val="21"/>
          <w:highlight w:val="yellow"/>
          <w:highlightCs w:val="yellow"/>
        </w:rPr>
        <w:t xml:space="preserve">[Article title]</w:t>
      </w:r>
      <w:r>
        <w:rPr>
          <w:sz w:val="21"/>
          <w:szCs w:val="21"/>
        </w:rPr>
        <w:t xml:space="preserve">. </w:t>
      </w:r>
      <w:r>
        <w:rPr>
          <w:i/>
          <w:iCs/>
          <w:sz w:val="21"/>
          <w:szCs w:val="21"/>
          <w:highlight w:val="yellow"/>
          <w:highlightCs w:val="yellow"/>
        </w:rPr>
        <w:t xml:space="preserve">[Publication]</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Ephron, E. (1997). Recency planning. </w:t>
      </w:r>
      <w:r>
        <w:rPr>
          <w:i/>
          <w:iCs/>
          <w:sz w:val="21"/>
          <w:szCs w:val="21"/>
        </w:rPr>
        <w:t xml:space="preserve">Journal of Advertising Research, 37</w:t>
      </w:r>
      <w:r>
        <w:rPr>
          <w:sz w:val="21"/>
          <w:szCs w:val="21"/>
        </w:rPr>
        <w:t xml:space="preserve">(4), 61–65.</w:t>
      </w:r>
    </w:p>
    <w:p>
      <w:pPr>
        <w:spacing w:after="120" w:line="276"/>
        <w:ind w:left="720" w:hanging="720"/>
      </w:pPr>
      <w:r>
        <w:rPr>
          <w:sz w:val="21"/>
          <w:szCs w:val="21"/>
        </w:rPr>
        <w:t xml:space="preserve">Escalas, J. E., &amp; Bettman, J. R. (2005). Self-construal, reference groups, and brand meaning. </w:t>
      </w:r>
      <w:r>
        <w:rPr>
          <w:i/>
          <w:iCs/>
          <w:sz w:val="21"/>
          <w:szCs w:val="21"/>
        </w:rPr>
        <w:t xml:space="preserve">Journal of Consumer Research, 32</w:t>
      </w:r>
      <w:r>
        <w:rPr>
          <w:sz w:val="21"/>
          <w:szCs w:val="21"/>
        </w:rPr>
        <w:t xml:space="preserve">(3), 378–389. https://doi.org/10.1086/497549</w:t>
      </w:r>
    </w:p>
    <w:p>
      <w:pPr>
        <w:spacing w:after="120" w:line="276"/>
        <w:ind w:left="720" w:hanging="720"/>
      </w:pPr>
      <w:r>
        <w:rPr>
          <w:sz w:val="21"/>
          <w:szCs w:val="21"/>
        </w:rPr>
        <w:t xml:space="preserve">Festinger, L. (1954). A theory of social comparison processes. </w:t>
      </w:r>
      <w:r>
        <w:rPr>
          <w:i/>
          <w:iCs/>
          <w:sz w:val="21"/>
          <w:szCs w:val="21"/>
        </w:rPr>
        <w:t xml:space="preserve">Human Relations, 7</w:t>
      </w:r>
      <w:r>
        <w:rPr>
          <w:sz w:val="21"/>
          <w:szCs w:val="21"/>
        </w:rPr>
        <w:t xml:space="preserve">(2), 117–140. https://doi.org/10.1177/001872675400700202</w:t>
      </w:r>
    </w:p>
    <w:p>
      <w:pPr>
        <w:spacing w:after="120" w:line="276"/>
        <w:ind w:left="720" w:hanging="720"/>
      </w:pPr>
      <w:r>
        <w:rPr>
          <w:sz w:val="21"/>
          <w:szCs w:val="21"/>
        </w:rPr>
        <w:t xml:space="preserve">Friestad, M., &amp; Wright, P. (1994). The persuasion knowledge model: How people cope with persuasion attempts. </w:t>
      </w:r>
      <w:r>
        <w:rPr>
          <w:i/>
          <w:iCs/>
          <w:sz w:val="21"/>
          <w:szCs w:val="21"/>
        </w:rPr>
        <w:t xml:space="preserve">Journal of Consumer Research, 21</w:t>
      </w:r>
      <w:r>
        <w:rPr>
          <w:sz w:val="21"/>
          <w:szCs w:val="21"/>
        </w:rPr>
        <w:t xml:space="preserve">(1), 1–31. https://doi.org/10.1086/209380</w:t>
      </w:r>
    </w:p>
    <w:p>
      <w:pPr>
        <w:spacing w:after="120" w:line="276"/>
        <w:ind w:left="720" w:hanging="720"/>
      </w:pPr>
      <w:r>
        <w:rPr>
          <w:sz w:val="21"/>
          <w:szCs w:val="21"/>
        </w:rPr>
        <w:t xml:space="preserve">Goffman, E. (1959). </w:t>
      </w:r>
      <w:r>
        <w:rPr>
          <w:i/>
          <w:iCs/>
          <w:sz w:val="21"/>
          <w:szCs w:val="21"/>
        </w:rPr>
        <w:t xml:space="preserve">The presentation of self in everyday life</w:t>
      </w:r>
      <w:r>
        <w:rPr>
          <w:sz w:val="21"/>
          <w:szCs w:val="21"/>
        </w:rPr>
        <w:t xml:space="preserve">. Doubleday.</w:t>
      </w:r>
    </w:p>
    <w:p>
      <w:pPr>
        <w:spacing w:after="120" w:line="276"/>
        <w:ind w:left="720" w:hanging="720"/>
      </w:pPr>
      <w:r>
        <w:rPr>
          <w:sz w:val="21"/>
          <w:szCs w:val="21"/>
        </w:rPr>
        <w:t xml:space="preserve">Goldsmith, R. E., Lafferty, B. A., &amp; Newell, S. J. (2000). The impact of corporate credibility and celebrity credibility on consumer reaction to advertisements and brands. </w:t>
      </w:r>
      <w:r>
        <w:rPr>
          <w:i/>
          <w:iCs/>
          <w:sz w:val="21"/>
          <w:szCs w:val="21"/>
        </w:rPr>
        <w:t xml:space="preserve">Journal of Advertising, 29</w:t>
      </w:r>
      <w:r>
        <w:rPr>
          <w:sz w:val="21"/>
          <w:szCs w:val="21"/>
        </w:rPr>
        <w:t xml:space="preserve">(3), 43–54. https://doi.org/10.1080/00913367.2000.10673616</w:t>
      </w:r>
    </w:p>
    <w:p>
      <w:pPr>
        <w:spacing w:after="120" w:line="276"/>
        <w:ind w:left="720" w:hanging="720"/>
      </w:pPr>
      <w:r>
        <w:rPr>
          <w:sz w:val="21"/>
          <w:szCs w:val="21"/>
        </w:rPr>
        <w:t xml:space="preserve">Google Trends. (2026). </w:t>
      </w:r>
      <w:r>
        <w:rPr>
          <w:i/>
          <w:iCs/>
          <w:sz w:val="21"/>
          <w:szCs w:val="21"/>
        </w:rPr>
        <w:t xml:space="preserve">Lorna Jane, Lululemon and Alo Yoga (topics): Interest over time, New South Wales, 2026</w:t>
      </w:r>
      <w:r>
        <w:rPr>
          <w:sz w:val="21"/>
          <w:szCs w:val="21"/>
        </w:rPr>
        <w:t xml:space="preserve"> [Data set]. Google. Retrieved October 28, 2026, from https://trends.google.com/trends/</w:t>
      </w:r>
    </w:p>
    <w:p>
      <w:pPr>
        <w:spacing w:after="120" w:line="276"/>
        <w:ind w:left="720" w:hanging="720"/>
      </w:pPr>
      <w:r>
        <w:rPr>
          <w:sz w:val="21"/>
          <w:szCs w:val="21"/>
        </w:rPr>
        <w:t xml:space="preserve">Green, M. C., &amp; Brock, T. C. (2000). The role of transportation in the persuasiveness of public narratives. </w:t>
      </w:r>
      <w:r>
        <w:rPr>
          <w:i/>
          <w:iCs/>
          <w:sz w:val="21"/>
          <w:szCs w:val="21"/>
        </w:rPr>
        <w:t xml:space="preserve">Journal of Personality and Social Psychology, 79</w:t>
      </w:r>
      <w:r>
        <w:rPr>
          <w:sz w:val="21"/>
          <w:szCs w:val="21"/>
        </w:rPr>
        <w:t xml:space="preserve">(5), 701–721. https://doi.org/10.1037/0022-3514.79.5.701</w:t>
      </w:r>
    </w:p>
    <w:p>
      <w:pPr>
        <w:spacing w:after="120" w:line="276"/>
        <w:ind w:left="720" w:hanging="720"/>
      </w:pPr>
      <w:r>
        <w:rPr>
          <w:sz w:val="21"/>
          <w:szCs w:val="21"/>
        </w:rPr>
        <w:t xml:space="preserve">Inside Retail. (2026, May). </w:t>
      </w:r>
      <w:r>
        <w:rPr>
          <w:i/>
          <w:iCs/>
          <w:sz w:val="21"/>
          <w:szCs w:val="21"/>
        </w:rPr>
        <w:t xml:space="preserve">Alo makes Australian debut at Sydney's Chatswood Chase</w:t>
      </w:r>
      <w:r>
        <w:rPr>
          <w:sz w:val="21"/>
          <w:szCs w:val="21"/>
        </w:rPr>
        <w:t xml:space="preserve">. https://insideretail.com.au/stores/openings-closings/alo-makes-australian-debut-at-sydneys-chatswood-chase-202605</w:t>
      </w:r>
    </w:p>
    <w:p>
      <w:pPr>
        <w:spacing w:after="120" w:line="276"/>
        <w:ind w:left="720" w:hanging="720"/>
      </w:pPr>
      <w:r>
        <w:rPr>
          <w:sz w:val="21"/>
          <w:szCs w:val="21"/>
        </w:rPr>
        <w:t xml:space="preserve">Kamins, M. A. (1990). An investigation into the "match-up" hypothesis in celebrity advertising: When beauty may be only skin deep. </w:t>
      </w:r>
      <w:r>
        <w:rPr>
          <w:i/>
          <w:iCs/>
          <w:sz w:val="21"/>
          <w:szCs w:val="21"/>
        </w:rPr>
        <w:t xml:space="preserve">Journal of Advertising, 19</w:t>
      </w:r>
      <w:r>
        <w:rPr>
          <w:sz w:val="21"/>
          <w:szCs w:val="21"/>
        </w:rPr>
        <w:t xml:space="preserve">(1), 4–13. https://doi.org/10.1080/00913367.1990.10673175</w:t>
      </w:r>
    </w:p>
    <w:p>
      <w:pPr>
        <w:spacing w:after="120" w:line="276"/>
        <w:ind w:left="720" w:hanging="720"/>
      </w:pPr>
      <w:r>
        <w:rPr>
          <w:sz w:val="21"/>
          <w:szCs w:val="21"/>
        </w:rPr>
        <w:t xml:space="preserve">Kapferer, J.-N., &amp; Bastien, V. (2009). </w:t>
      </w:r>
      <w:r>
        <w:rPr>
          <w:i/>
          <w:iCs/>
          <w:sz w:val="21"/>
          <w:szCs w:val="21"/>
        </w:rPr>
        <w:t xml:space="preserve">The luxury strategy: Break the rules of marketing to build luxury brands</w:t>
      </w:r>
      <w:r>
        <w:rPr>
          <w:sz w:val="21"/>
          <w:szCs w:val="21"/>
        </w:rPr>
        <w:t xml:space="preserve">. Kogan Page.</w:t>
      </w:r>
    </w:p>
    <w:p>
      <w:pPr>
        <w:spacing w:after="120" w:line="276"/>
        <w:ind w:left="720" w:hanging="720"/>
      </w:pPr>
      <w:r>
        <w:rPr>
          <w:sz w:val="21"/>
          <w:szCs w:val="21"/>
        </w:rPr>
        <w:t xml:space="preserve">Keller, K. L. (1993). Conceptualizing, measuring, and managing customer-based brand equity. </w:t>
      </w:r>
      <w:r>
        <w:rPr>
          <w:i/>
          <w:iCs/>
          <w:sz w:val="21"/>
          <w:szCs w:val="21"/>
        </w:rPr>
        <w:t xml:space="preserve">Journal of Marketing, 57</w:t>
      </w:r>
      <w:r>
        <w:rPr>
          <w:sz w:val="21"/>
          <w:szCs w:val="21"/>
        </w:rPr>
        <w:t xml:space="preserve">(1), 1–22. https://doi.org/10.1177/002224299305700101</w:t>
      </w:r>
    </w:p>
    <w:p>
      <w:pPr>
        <w:spacing w:after="120" w:line="276"/>
        <w:ind w:left="720" w:hanging="720"/>
      </w:pPr>
      <w:r>
        <w:rPr>
          <w:sz w:val="21"/>
          <w:szCs w:val="21"/>
        </w:rPr>
        <w:t xml:space="preserve">Keller, K. L. (2001). Building customer-based brand equity. </w:t>
      </w:r>
      <w:r>
        <w:rPr>
          <w:i/>
          <w:iCs/>
          <w:sz w:val="21"/>
          <w:szCs w:val="21"/>
        </w:rPr>
        <w:t xml:space="preserve">Marketing Management, 10</w:t>
      </w:r>
      <w:r>
        <w:rPr>
          <w:sz w:val="21"/>
          <w:szCs w:val="21"/>
        </w:rPr>
        <w:t xml:space="preserve">(2), 14–19.</w:t>
      </w:r>
    </w:p>
    <w:p>
      <w:pPr>
        <w:spacing w:after="120" w:line="276"/>
        <w:ind w:left="720" w:hanging="720"/>
      </w:pPr>
      <w:r>
        <w:rPr>
          <w:sz w:val="21"/>
          <w:szCs w:val="21"/>
        </w:rPr>
        <w:t xml:space="preserve">Kotler, P., Keller, K. L., &amp; Chernev, A. (2022). </w:t>
      </w:r>
      <w:r>
        <w:rPr>
          <w:i/>
          <w:iCs/>
          <w:sz w:val="21"/>
          <w:szCs w:val="21"/>
        </w:rPr>
        <w:t xml:space="preserve">Marketing management</w:t>
      </w:r>
      <w:r>
        <w:rPr>
          <w:sz w:val="21"/>
          <w:szCs w:val="21"/>
        </w:rPr>
        <w:t xml:space="preserve"> (16th ed.). Pearson.</w:t>
      </w:r>
    </w:p>
    <w:p>
      <w:pPr>
        <w:spacing w:after="120" w:line="276"/>
        <w:ind w:left="720" w:hanging="720"/>
      </w:pPr>
      <w:r>
        <w:rPr>
          <w:sz w:val="21"/>
          <w:szCs w:val="21"/>
        </w:rPr>
        <w:t xml:space="preserve">Krugman, H. E. (1972). Why three exposures may be enough. </w:t>
      </w:r>
      <w:r>
        <w:rPr>
          <w:i/>
          <w:iCs/>
          <w:sz w:val="21"/>
          <w:szCs w:val="21"/>
        </w:rPr>
        <w:t xml:space="preserve">Journal of Advertising Research, 12</w:t>
      </w:r>
      <w:r>
        <w:rPr>
          <w:sz w:val="21"/>
          <w:szCs w:val="21"/>
        </w:rPr>
        <w:t xml:space="preserve">(6), 11–14.</w:t>
      </w:r>
    </w:p>
    <w:p>
      <w:pPr>
        <w:spacing w:after="120" w:line="276"/>
        <w:ind w:left="720" w:hanging="720"/>
      </w:pPr>
      <w:r>
        <w:rPr>
          <w:sz w:val="21"/>
          <w:szCs w:val="21"/>
        </w:rPr>
        <w:t xml:space="preserve">Lanoue, S. (2025, December 6). </w:t>
      </w:r>
      <w:r>
        <w:rPr>
          <w:sz w:val="21"/>
          <w:szCs w:val="21"/>
          <w:highlight w:val="yellow"/>
          <w:highlightCs w:val="yellow"/>
        </w:rPr>
        <w:t xml:space="preserve">[Article title]</w:t>
      </w:r>
      <w:r>
        <w:rPr>
          <w:sz w:val="21"/>
          <w:szCs w:val="21"/>
        </w:rPr>
        <w:t xml:space="preserve">. </w:t>
      </w:r>
      <w:r>
        <w:rPr>
          <w:i/>
          <w:iCs/>
          <w:sz w:val="21"/>
          <w:szCs w:val="21"/>
        </w:rPr>
        <w:t xml:space="preserve">Apart Style</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Laskey, H. A., Day, E., &amp; Crask, M. R. (1989). Typology of main message strategies for television commercials. </w:t>
      </w:r>
      <w:r>
        <w:rPr>
          <w:i/>
          <w:iCs/>
          <w:sz w:val="21"/>
          <w:szCs w:val="21"/>
        </w:rPr>
        <w:t xml:space="preserve">Journal of Advertising, 18</w:t>
      </w:r>
      <w:r>
        <w:rPr>
          <w:sz w:val="21"/>
          <w:szCs w:val="21"/>
        </w:rPr>
        <w:t xml:space="preserve">(1), 36–41. https://doi.org/10.1080/00913367.1989.10673141</w:t>
      </w:r>
    </w:p>
    <w:p>
      <w:pPr>
        <w:spacing w:after="120" w:line="276"/>
        <w:ind w:left="720" w:hanging="720"/>
      </w:pPr>
      <w:r>
        <w:rPr>
          <w:sz w:val="21"/>
          <w:szCs w:val="21"/>
        </w:rPr>
        <w:t xml:space="preserve">Lou, C., &amp; Yuan, S. (2019). Influencer marketing: How message value and credibility affect consumer trust of branded content on social media. </w:t>
      </w:r>
      <w:r>
        <w:rPr>
          <w:i/>
          <w:iCs/>
          <w:sz w:val="21"/>
          <w:szCs w:val="21"/>
        </w:rPr>
        <w:t xml:space="preserve">Journal of Interactive Advertising, 19</w:t>
      </w:r>
      <w:r>
        <w:rPr>
          <w:sz w:val="21"/>
          <w:szCs w:val="21"/>
        </w:rPr>
        <w:t xml:space="preserve">(1), 58–73. https://doi.org/10.1080/15252019.2018.1533501</w:t>
      </w:r>
    </w:p>
    <w:p>
      <w:pPr>
        <w:spacing w:after="120" w:line="276"/>
        <w:ind w:left="720" w:hanging="720"/>
      </w:pPr>
      <w:r>
        <w:rPr>
          <w:sz w:val="21"/>
          <w:szCs w:val="21"/>
        </w:rPr>
        <w:t xml:space="preserve">McCracken, G. (1989). Who is the celebrity endorser? Cultural foundations of the endorsement process. </w:t>
      </w:r>
      <w:r>
        <w:rPr>
          <w:i/>
          <w:iCs/>
          <w:sz w:val="21"/>
          <w:szCs w:val="21"/>
        </w:rPr>
        <w:t xml:space="preserve">Journal of Consumer Research, 16</w:t>
      </w:r>
      <w:r>
        <w:rPr>
          <w:sz w:val="21"/>
          <w:szCs w:val="21"/>
        </w:rPr>
        <w:t xml:space="preserve">(3), 310–321. https://doi.org/10.1086/209217</w:t>
      </w:r>
    </w:p>
    <w:p>
      <w:pPr>
        <w:spacing w:after="120" w:line="276"/>
        <w:ind w:left="720" w:hanging="720"/>
      </w:pPr>
      <w:r>
        <w:rPr>
          <w:sz w:val="21"/>
          <w:szCs w:val="21"/>
        </w:rPr>
        <w:t xml:space="preserve">Modaes. (2026). </w:t>
      </w:r>
      <w:r>
        <w:rPr>
          <w:i/>
          <w:iCs/>
          <w:sz w:val="21"/>
          <w:szCs w:val="21"/>
        </w:rPr>
        <w:t xml:space="preserve">The owner of Alo Yoga is considering an IPO after selling Bellacanvas</w:t>
      </w:r>
      <w:r>
        <w:rPr>
          <w:sz w:val="21"/>
          <w:szCs w:val="21"/>
        </w:rPr>
        <w:t xml:space="preserve">. https://www.modaes.com/global/companies/the-owner-of-alo-yoga-is-considering-an-ipo-after-selling-bellacanvas</w:t>
      </w:r>
    </w:p>
    <w:p>
      <w:pPr>
        <w:spacing w:after="120" w:line="276"/>
        <w:ind w:left="720" w:hanging="720"/>
      </w:pPr>
      <w:r>
        <w:rPr>
          <w:sz w:val="21"/>
          <w:szCs w:val="21"/>
        </w:rPr>
        <w:t xml:space="preserve">Ohanian, R. (1990). Construction and validation of a scale to measure celebrity endorsers' perceived expertise, trustworthiness, and attractiveness. </w:t>
      </w:r>
      <w:r>
        <w:rPr>
          <w:i/>
          <w:iCs/>
          <w:sz w:val="21"/>
          <w:szCs w:val="21"/>
        </w:rPr>
        <w:t xml:space="preserve">Journal of Advertising, 19</w:t>
      </w:r>
      <w:r>
        <w:rPr>
          <w:sz w:val="21"/>
          <w:szCs w:val="21"/>
        </w:rPr>
        <w:t xml:space="preserve">(3), 39–52. https://doi.org/10.1080/00913367.1990.10673191</w:t>
      </w:r>
    </w:p>
    <w:p>
      <w:pPr>
        <w:spacing w:after="120" w:line="276"/>
        <w:ind w:left="720" w:hanging="720"/>
      </w:pPr>
      <w:r>
        <w:rPr>
          <w:sz w:val="21"/>
          <w:szCs w:val="21"/>
        </w:rPr>
        <w:t xml:space="preserve">OpenPR. (2026). </w:t>
      </w:r>
      <w:r>
        <w:rPr>
          <w:sz w:val="21"/>
          <w:szCs w:val="21"/>
          <w:highlight w:val="yellow"/>
          <w:highlightCs w:val="yellow"/>
        </w:rPr>
        <w:t xml:space="preserve">[Article title]</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Pedestrian. (2026). </w:t>
      </w:r>
      <w:r>
        <w:rPr>
          <w:sz w:val="21"/>
          <w:szCs w:val="21"/>
          <w:highlight w:val="yellow"/>
          <w:highlightCs w:val="yellow"/>
        </w:rPr>
        <w:t xml:space="preserve">[Article title]</w:t>
      </w:r>
      <w:r>
        <w:rPr>
          <w:sz w:val="21"/>
          <w:szCs w:val="21"/>
        </w:rPr>
        <w:t xml:space="preserve">. </w:t>
      </w:r>
      <w:r>
        <w:rPr>
          <w:i/>
          <w:iCs/>
          <w:sz w:val="21"/>
          <w:szCs w:val="21"/>
        </w:rPr>
        <w:t xml:space="preserve">Pedestrian.TV</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Petty, R. E., &amp; Cacioppo, J. T. (1986). The elaboration likelihood model of persuasion. </w:t>
      </w:r>
      <w:r>
        <w:rPr>
          <w:i/>
          <w:iCs/>
          <w:sz w:val="21"/>
          <w:szCs w:val="21"/>
        </w:rPr>
        <w:t xml:space="preserve">Advances in Experimental Social Psychology, 19</w:t>
      </w:r>
      <w:r>
        <w:rPr>
          <w:sz w:val="21"/>
          <w:szCs w:val="21"/>
        </w:rPr>
        <w:t xml:space="preserve">, 123–205. https://doi.org/10.1016/S0065-2601(08)60214-2</w:t>
      </w:r>
    </w:p>
    <w:p>
      <w:pPr>
        <w:spacing w:after="120" w:line="276"/>
        <w:ind w:left="720" w:hanging="720"/>
      </w:pPr>
      <w:r>
        <w:rPr>
          <w:sz w:val="21"/>
          <w:szCs w:val="21"/>
        </w:rPr>
        <w:t xml:space="preserve">Petty, R. E., Cacioppo, J. T., &amp; Schumann, D. (1983). Central and peripheral routes to advertising effectiveness: The moderating role of involvement. </w:t>
      </w:r>
      <w:r>
        <w:rPr>
          <w:i/>
          <w:iCs/>
          <w:sz w:val="21"/>
          <w:szCs w:val="21"/>
        </w:rPr>
        <w:t xml:space="preserve">Journal of Consumer Research, 10</w:t>
      </w:r>
      <w:r>
        <w:rPr>
          <w:sz w:val="21"/>
          <w:szCs w:val="21"/>
        </w:rPr>
        <w:t xml:space="preserve">(2), 135–146. https://doi.org/10.1086/208954</w:t>
      </w:r>
    </w:p>
    <w:p>
      <w:pPr>
        <w:spacing w:after="120" w:line="276"/>
        <w:ind w:left="720" w:hanging="720"/>
      </w:pPr>
      <w:r>
        <w:rPr>
          <w:sz w:val="21"/>
          <w:szCs w:val="21"/>
        </w:rPr>
        <w:t xml:space="preserve">Pine, B. J., II, &amp; Gilmore, J. H. (1998). Welcome to the experience economy. </w:t>
      </w:r>
      <w:r>
        <w:rPr>
          <w:i/>
          <w:iCs/>
          <w:sz w:val="21"/>
          <w:szCs w:val="21"/>
        </w:rPr>
        <w:t xml:space="preserve">Harvard Business Review, 76</w:t>
      </w:r>
      <w:r>
        <w:rPr>
          <w:sz w:val="21"/>
          <w:szCs w:val="21"/>
        </w:rPr>
        <w:t xml:space="preserve">(4), 97–105.</w:t>
      </w:r>
    </w:p>
    <w:p>
      <w:pPr>
        <w:spacing w:after="120" w:line="276"/>
        <w:ind w:left="720" w:hanging="720"/>
      </w:pPr>
      <w:r>
        <w:rPr>
          <w:sz w:val="21"/>
          <w:szCs w:val="21"/>
        </w:rPr>
        <w:t xml:space="preserve">RetailBoss. (2026). </w:t>
      </w:r>
      <w:r>
        <w:rPr>
          <w:i/>
          <w:iCs/>
          <w:sz w:val="21"/>
          <w:szCs w:val="21"/>
        </w:rPr>
        <w:t xml:space="preserve">ALO finally lands in Australia as Chatswood Chase welcomes the country's first elevated wellness sanctuary</w:t>
      </w:r>
      <w:r>
        <w:rPr>
          <w:sz w:val="21"/>
          <w:szCs w:val="21"/>
        </w:rPr>
        <w:t xml:space="preserve">. https://retailboss.co/alo-finally-lands-in-australia-as-chatswood-chase-welcomes-the-countrys-first-elevated-wellness-sanctuary/</w:t>
      </w:r>
    </w:p>
    <w:p>
      <w:pPr>
        <w:spacing w:after="120" w:line="276"/>
        <w:ind w:left="720" w:hanging="720"/>
      </w:pPr>
      <w:r>
        <w:rPr>
          <w:sz w:val="21"/>
          <w:szCs w:val="21"/>
        </w:rPr>
        <w:t xml:space="preserve">RIISE. (2026). </w:t>
      </w:r>
      <w:r>
        <w:rPr>
          <w:i/>
          <w:iCs/>
          <w:sz w:val="21"/>
          <w:szCs w:val="21"/>
        </w:rPr>
        <w:t xml:space="preserve">In motion with Bernadette Sukkar</w:t>
      </w:r>
      <w:r>
        <w:rPr>
          <w:sz w:val="21"/>
          <w:szCs w:val="21"/>
        </w:rPr>
        <w:t xml:space="preserve">. https://riise.world/blogs/wellness/in-motion-with-bernadette-sukkar</w:t>
      </w:r>
    </w:p>
    <w:p>
      <w:pPr>
        <w:spacing w:after="120" w:line="276"/>
        <w:ind w:left="720" w:hanging="720"/>
      </w:pPr>
      <w:r>
        <w:rPr>
          <w:sz w:val="21"/>
          <w:szCs w:val="21"/>
        </w:rPr>
        <w:t xml:space="preserve">Romaniuk, J. (2018). </w:t>
      </w:r>
      <w:r>
        <w:rPr>
          <w:i/>
          <w:iCs/>
          <w:sz w:val="21"/>
          <w:szCs w:val="21"/>
        </w:rPr>
        <w:t xml:space="preserve">Building distinctive brand assets</w:t>
      </w:r>
      <w:r>
        <w:rPr>
          <w:sz w:val="21"/>
          <w:szCs w:val="21"/>
        </w:rPr>
        <w:t xml:space="preserve">. Oxford University Press.</w:t>
      </w:r>
    </w:p>
    <w:p>
      <w:pPr>
        <w:spacing w:after="120" w:line="276"/>
        <w:ind w:left="720" w:hanging="720"/>
      </w:pPr>
      <w:r>
        <w:rPr>
          <w:sz w:val="21"/>
          <w:szCs w:val="21"/>
        </w:rPr>
        <w:t xml:space="preserve">Romaniuk, J., &amp; Sharp, B. (2016). </w:t>
      </w:r>
      <w:r>
        <w:rPr>
          <w:i/>
          <w:iCs/>
          <w:sz w:val="21"/>
          <w:szCs w:val="21"/>
        </w:rPr>
        <w:t xml:space="preserve">How brands grow: Part 2</w:t>
      </w:r>
      <w:r>
        <w:rPr>
          <w:sz w:val="21"/>
          <w:szCs w:val="21"/>
        </w:rPr>
        <w:t xml:space="preserve">. Oxford University Press.</w:t>
      </w:r>
    </w:p>
    <w:p>
      <w:pPr>
        <w:spacing w:after="120" w:line="276"/>
        <w:ind w:left="720" w:hanging="720"/>
      </w:pPr>
      <w:r>
        <w:rPr>
          <w:sz w:val="21"/>
          <w:szCs w:val="21"/>
        </w:rPr>
        <w:t xml:space="preserve">Rossiter, J. R., Percy, L., &amp; Donovan, R. J. (1991). A better advertising planning grid. </w:t>
      </w:r>
      <w:r>
        <w:rPr>
          <w:i/>
          <w:iCs/>
          <w:sz w:val="21"/>
          <w:szCs w:val="21"/>
        </w:rPr>
        <w:t xml:space="preserve">Journal of Advertising Research, 31</w:t>
      </w:r>
      <w:r>
        <w:rPr>
          <w:sz w:val="21"/>
          <w:szCs w:val="21"/>
        </w:rPr>
        <w:t xml:space="preserve">(5), 11–21.</w:t>
      </w:r>
    </w:p>
    <w:p>
      <w:pPr>
        <w:spacing w:after="120" w:line="276"/>
        <w:ind w:left="720" w:hanging="720"/>
      </w:pPr>
      <w:r>
        <w:rPr>
          <w:sz w:val="21"/>
          <w:szCs w:val="21"/>
        </w:rPr>
        <w:t xml:space="preserve">Russh. (2026). </w:t>
      </w:r>
      <w:r>
        <w:rPr>
          <w:sz w:val="21"/>
          <w:szCs w:val="21"/>
          <w:highlight w:val="yellow"/>
          <w:highlightCs w:val="yellow"/>
        </w:rPr>
        <w:t xml:space="preserve">[Article title]</w:t>
      </w:r>
      <w:r>
        <w:rPr>
          <w:sz w:val="21"/>
          <w:szCs w:val="21"/>
        </w:rPr>
        <w:t xml:space="preserve">. </w:t>
      </w:r>
      <w:r>
        <w:rPr>
          <w:i/>
          <w:iCs/>
          <w:sz w:val="21"/>
          <w:szCs w:val="21"/>
        </w:rPr>
        <w:t xml:space="preserve">Russh</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Rydzek, </w:t>
      </w:r>
      <w:r>
        <w:rPr>
          <w:sz w:val="21"/>
          <w:szCs w:val="21"/>
          <w:highlight w:val="yellow"/>
          <w:highlightCs w:val="yellow"/>
        </w:rPr>
        <w:t xml:space="preserve">[Initial]</w:t>
      </w:r>
      <w:r>
        <w:rPr>
          <w:sz w:val="21"/>
          <w:szCs w:val="21"/>
        </w:rPr>
        <w:t xml:space="preserve">. (2026, June). Alo Yoga owners eye IPO or sale after offloading wholesale T-shirt business. </w:t>
      </w:r>
      <w:r>
        <w:rPr>
          <w:i/>
          <w:iCs/>
          <w:sz w:val="21"/>
          <w:szCs w:val="21"/>
          <w:highlight w:val="yellow"/>
          <w:highlightCs w:val="yellow"/>
        </w:rPr>
        <w:t xml:space="preserve">TheIndustry.fashion</w:t>
      </w:r>
      <w:r>
        <w:rPr>
          <w:sz w:val="21"/>
          <w:szCs w:val="21"/>
        </w:rPr>
        <w:t xml:space="preserve">. https://www.theindustry.fashion/alo-yoga-owners-eye-ipo-or-sale-after-offloading-wholesale-t-shirt-business/</w:t>
      </w:r>
    </w:p>
    <w:p>
      <w:pPr>
        <w:spacing w:after="120" w:line="276"/>
        <w:ind w:left="720" w:hanging="720"/>
      </w:pPr>
      <w:r>
        <w:rPr>
          <w:sz w:val="21"/>
          <w:szCs w:val="21"/>
        </w:rPr>
        <w:t xml:space="preserve">Salpini, C. (2025a). </w:t>
      </w:r>
      <w:r>
        <w:rPr>
          <w:sz w:val="21"/>
          <w:szCs w:val="21"/>
          <w:highlight w:val="yellow"/>
          <w:highlightCs w:val="yellow"/>
        </w:rPr>
        <w:t xml:space="preserve">[Article title]</w:t>
      </w:r>
      <w:r>
        <w:rPr>
          <w:sz w:val="21"/>
          <w:szCs w:val="21"/>
        </w:rPr>
        <w:t xml:space="preserve">. </w:t>
      </w:r>
      <w:r>
        <w:rPr>
          <w:i/>
          <w:iCs/>
          <w:sz w:val="21"/>
          <w:szCs w:val="21"/>
        </w:rPr>
        <w:t xml:space="preserve">Retail Dive</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Salpini, C. (2025b). </w:t>
      </w:r>
      <w:r>
        <w:rPr>
          <w:sz w:val="21"/>
          <w:szCs w:val="21"/>
          <w:highlight w:val="yellow"/>
          <w:highlightCs w:val="yellow"/>
        </w:rPr>
        <w:t xml:space="preserve">[Article title]</w:t>
      </w:r>
      <w:r>
        <w:rPr>
          <w:sz w:val="21"/>
          <w:szCs w:val="21"/>
        </w:rPr>
        <w:t xml:space="preserve">. </w:t>
      </w:r>
      <w:r>
        <w:rPr>
          <w:i/>
          <w:iCs/>
          <w:sz w:val="21"/>
          <w:szCs w:val="21"/>
        </w:rPr>
        <w:t xml:space="preserve">Retail Dive</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SGB Media. (2026). </w:t>
      </w:r>
      <w:r>
        <w:rPr>
          <w:i/>
          <w:iCs/>
          <w:sz w:val="21"/>
          <w:szCs w:val="21"/>
        </w:rPr>
        <w:t xml:space="preserve">Alo Yoga opens first store in Greater China</w:t>
      </w:r>
      <w:r>
        <w:rPr>
          <w:sz w:val="21"/>
          <w:szCs w:val="21"/>
        </w:rPr>
        <w:t xml:space="preserve">. https://sgbonline.com/alo-yoga-opens-first-store-in-greater-china/</w:t>
      </w:r>
    </w:p>
    <w:p>
      <w:pPr>
        <w:spacing w:after="120" w:line="276"/>
        <w:ind w:left="720" w:hanging="720"/>
      </w:pPr>
      <w:r>
        <w:rPr>
          <w:sz w:val="21"/>
          <w:szCs w:val="21"/>
        </w:rPr>
        <w:t xml:space="preserve">Sharp, B. (2010). </w:t>
      </w:r>
      <w:r>
        <w:rPr>
          <w:i/>
          <w:iCs/>
          <w:sz w:val="21"/>
          <w:szCs w:val="21"/>
        </w:rPr>
        <w:t xml:space="preserve">How brands grow: What marketers don't know</w:t>
      </w:r>
      <w:r>
        <w:rPr>
          <w:sz w:val="21"/>
          <w:szCs w:val="21"/>
        </w:rPr>
        <w:t xml:space="preserve">. Oxford University Press.</w:t>
      </w:r>
    </w:p>
    <w:p>
      <w:pPr>
        <w:spacing w:after="120" w:line="276"/>
        <w:ind w:left="720" w:hanging="720"/>
      </w:pPr>
      <w:r>
        <w:rPr>
          <w:sz w:val="21"/>
          <w:szCs w:val="21"/>
        </w:rPr>
        <w:t xml:space="preserve">Sichtmann, C., Davvetas, V., &amp; Diamantopoulos, A. (2019). The relational value of perceived brand globalness and localness. </w:t>
      </w:r>
      <w:r>
        <w:rPr>
          <w:i/>
          <w:iCs/>
          <w:sz w:val="21"/>
          <w:szCs w:val="21"/>
        </w:rPr>
        <w:t xml:space="preserve">Journal of Business Research, 104</w:t>
      </w:r>
      <w:r>
        <w:rPr>
          <w:sz w:val="21"/>
          <w:szCs w:val="21"/>
        </w:rPr>
        <w:t xml:space="preserve">, 597–613. https://doi.org/10.1016/j.jbusres.2018.10.025</w:t>
      </w:r>
    </w:p>
    <w:p>
      <w:pPr>
        <w:spacing w:after="120" w:line="276"/>
        <w:ind w:left="720" w:hanging="720"/>
      </w:pPr>
      <w:r>
        <w:rPr>
          <w:sz w:val="21"/>
          <w:szCs w:val="21"/>
        </w:rPr>
        <w:t xml:space="preserve">Sirgy, M. J. (1982). Self-concept in consumer behavior: A critical review. </w:t>
      </w:r>
      <w:r>
        <w:rPr>
          <w:i/>
          <w:iCs/>
          <w:sz w:val="21"/>
          <w:szCs w:val="21"/>
        </w:rPr>
        <w:t xml:space="preserve">Journal of Consumer Research, 9</w:t>
      </w:r>
      <w:r>
        <w:rPr>
          <w:sz w:val="21"/>
          <w:szCs w:val="21"/>
        </w:rPr>
        <w:t xml:space="preserve">(3), 287–300. https://doi.org/10.1086/208924</w:t>
      </w:r>
    </w:p>
    <w:p>
      <w:pPr>
        <w:spacing w:after="120" w:line="276"/>
        <w:ind w:left="720" w:hanging="720"/>
      </w:pPr>
      <w:r>
        <w:rPr>
          <w:sz w:val="21"/>
          <w:szCs w:val="21"/>
        </w:rPr>
        <w:t xml:space="preserve">Smith, R. E., &amp; Yang, X. (2004). Toward a general theory of creativity in advertising: Examining the role of divergence. </w:t>
      </w:r>
      <w:r>
        <w:rPr>
          <w:i/>
          <w:iCs/>
          <w:sz w:val="21"/>
          <w:szCs w:val="21"/>
        </w:rPr>
        <w:t xml:space="preserve">Marketing Theory, 4</w:t>
      </w:r>
      <w:r>
        <w:rPr>
          <w:sz w:val="21"/>
          <w:szCs w:val="21"/>
        </w:rPr>
        <w:t xml:space="preserve">(1–2), 31–58. https://doi.org/10.1177/1470593104044086</w:t>
      </w:r>
    </w:p>
    <w:p>
      <w:pPr>
        <w:spacing w:after="120" w:line="276"/>
        <w:ind w:left="720" w:hanging="720"/>
      </w:pPr>
      <w:r>
        <w:rPr>
          <w:sz w:val="21"/>
          <w:szCs w:val="21"/>
        </w:rPr>
        <w:t xml:space="preserve">Smith, W. R. (1956). Product differentiation and market segmentation as alternative marketing strategies. </w:t>
      </w:r>
      <w:r>
        <w:rPr>
          <w:i/>
          <w:iCs/>
          <w:sz w:val="21"/>
          <w:szCs w:val="21"/>
        </w:rPr>
        <w:t xml:space="preserve">Journal of Marketing, 21</w:t>
      </w:r>
      <w:r>
        <w:rPr>
          <w:sz w:val="21"/>
          <w:szCs w:val="21"/>
        </w:rPr>
        <w:t xml:space="preserve">(1), 3–8. https://doi.org/10.1177/002224295602100102</w:t>
      </w:r>
    </w:p>
    <w:p>
      <w:pPr>
        <w:spacing w:after="120" w:line="276"/>
        <w:ind w:left="720" w:hanging="720"/>
      </w:pPr>
      <w:r>
        <w:rPr>
          <w:sz w:val="21"/>
          <w:szCs w:val="21"/>
        </w:rPr>
        <w:t xml:space="preserve">Spatial.ai. (2024). </w:t>
      </w:r>
      <w:r>
        <w:rPr>
          <w:sz w:val="21"/>
          <w:szCs w:val="21"/>
          <w:highlight w:val="yellow"/>
          <w:highlightCs w:val="yellow"/>
        </w:rPr>
        <w:t xml:space="preserve">[Report or article title]</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Steenkamp, J.-B. E. M., Batra, R., &amp; Alden, D. L. (2003). How perceived brand globalness creates brand value. </w:t>
      </w:r>
      <w:r>
        <w:rPr>
          <w:i/>
          <w:iCs/>
          <w:sz w:val="21"/>
          <w:szCs w:val="21"/>
        </w:rPr>
        <w:t xml:space="preserve">Journal of International Business Studies, 34</w:t>
      </w:r>
      <w:r>
        <w:rPr>
          <w:sz w:val="21"/>
          <w:szCs w:val="21"/>
        </w:rPr>
        <w:t xml:space="preserve">(1), 53–65. https://doi.org/10.1057/palgrave.jibs.8400002</w:t>
      </w:r>
    </w:p>
    <w:p>
      <w:pPr>
        <w:spacing w:after="120" w:line="276"/>
        <w:ind w:left="720" w:hanging="720"/>
      </w:pPr>
      <w:r>
        <w:rPr>
          <w:sz w:val="21"/>
          <w:szCs w:val="21"/>
        </w:rPr>
        <w:t xml:space="preserve">Stephen, A. T., &amp; Galak, J. (2012). The effects of traditional and social earned media on sales: A study of a microlending marketplace. </w:t>
      </w:r>
      <w:r>
        <w:rPr>
          <w:i/>
          <w:iCs/>
          <w:sz w:val="21"/>
          <w:szCs w:val="21"/>
        </w:rPr>
        <w:t xml:space="preserve">Journal of Marketing Research, 49</w:t>
      </w:r>
      <w:r>
        <w:rPr>
          <w:sz w:val="21"/>
          <w:szCs w:val="21"/>
        </w:rPr>
        <w:t xml:space="preserve">(5), 624–639. https://doi.org/10.1509/jmr.09.0401</w:t>
      </w:r>
    </w:p>
    <w:p>
      <w:pPr>
        <w:spacing w:after="120" w:line="276"/>
        <w:ind w:left="720" w:hanging="720"/>
      </w:pPr>
      <w:r>
        <w:rPr>
          <w:sz w:val="21"/>
          <w:szCs w:val="21"/>
        </w:rPr>
        <w:t xml:space="preserve">36Kr. (2026). </w:t>
      </w:r>
      <w:r>
        <w:rPr>
          <w:sz w:val="21"/>
          <w:szCs w:val="21"/>
          <w:highlight w:val="yellow"/>
          <w:highlightCs w:val="yellow"/>
        </w:rPr>
        <w:t xml:space="preserve">[Article title]</w:t>
      </w:r>
      <w:r>
        <w:rPr>
          <w:sz w:val="21"/>
          <w:szCs w:val="21"/>
        </w:rPr>
        <w:t xml:space="preserve">. </w:t>
      </w:r>
      <w:r>
        <w:rPr>
          <w:i/>
          <w:iCs/>
          <w:sz w:val="21"/>
          <w:szCs w:val="21"/>
        </w:rPr>
        <w:t xml:space="preserve">36Kr</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Till, B. D., &amp; Baack, D. W. (2005). Recall and persuasion: Does creative advertising matter? </w:t>
      </w:r>
      <w:r>
        <w:rPr>
          <w:i/>
          <w:iCs/>
          <w:sz w:val="21"/>
          <w:szCs w:val="21"/>
        </w:rPr>
        <w:t xml:space="preserve">Journal of Advertising, 34</w:t>
      </w:r>
      <w:r>
        <w:rPr>
          <w:sz w:val="21"/>
          <w:szCs w:val="21"/>
        </w:rPr>
        <w:t xml:space="preserve">(3), 47–57. https://doi.org/10.1080/00913367.2005.10639201</w:t>
      </w:r>
    </w:p>
    <w:p>
      <w:pPr>
        <w:spacing w:after="120" w:line="276"/>
        <w:ind w:left="720" w:hanging="720"/>
      </w:pPr>
      <w:r>
        <w:rPr>
          <w:sz w:val="21"/>
          <w:szCs w:val="21"/>
        </w:rPr>
        <w:t xml:space="preserve">Vakratsas, D., &amp; Ambler, T. (1999). How advertising works: What do we really know? </w:t>
      </w:r>
      <w:r>
        <w:rPr>
          <w:i/>
          <w:iCs/>
          <w:sz w:val="21"/>
          <w:szCs w:val="21"/>
        </w:rPr>
        <w:t xml:space="preserve">Journal of Marketing, 63</w:t>
      </w:r>
      <w:r>
        <w:rPr>
          <w:sz w:val="21"/>
          <w:szCs w:val="21"/>
        </w:rPr>
        <w:t xml:space="preserve">(1), 26–43. https://doi.org/10.1177/002224299906300103</w:t>
      </w:r>
    </w:p>
    <w:p>
      <w:pPr>
        <w:spacing w:after="120" w:line="276"/>
        <w:ind w:left="720" w:hanging="720"/>
      </w:pPr>
      <w:r>
        <w:rPr>
          <w:sz w:val="21"/>
          <w:szCs w:val="21"/>
        </w:rPr>
        <w:t xml:space="preserve">Vaughn, R. (1980). How advertising works: A planning model. </w:t>
      </w:r>
      <w:r>
        <w:rPr>
          <w:i/>
          <w:iCs/>
          <w:sz w:val="21"/>
          <w:szCs w:val="21"/>
        </w:rPr>
        <w:t xml:space="preserve">Journal of Advertising Research, 20</w:t>
      </w:r>
      <w:r>
        <w:rPr>
          <w:sz w:val="21"/>
          <w:szCs w:val="21"/>
        </w:rPr>
        <w:t xml:space="preserve">(5), 27–33.</w:t>
      </w:r>
    </w:p>
    <w:p>
      <w:r>
        <w:br w:type="page"/>
      </w:r>
    </w:p>
    <w:p>
      <w:pPr>
        <w:pStyle w:val="Heading1"/>
      </w:pPr>
      <w:r>
        <w:t xml:space="preserve">Appendix A: Google Trends Search Interest, New South Wales, 2026</w:t>
      </w:r>
    </w:p>
    <w:p>
      <w:pPr>
        <w:keepNext/>
        <w:spacing w:after="40" w:before="200"/>
      </w:pPr>
      <w:r>
        <w:rPr>
          <w:b/>
          <w:bCs/>
        </w:rPr>
        <w:t xml:space="preserve">Figure A1</w:t>
      </w:r>
    </w:p>
    <w:p>
      <w:pPr>
        <w:keepNext/>
        <w:spacing w:after="100"/>
      </w:pPr>
      <w:r>
        <w:rPr>
          <w:i/>
          <w:iCs/>
        </w:rPr>
        <w:t xml:space="preserve">Search Interest Over Time for Lorna Jane, Lululemon and Alo Yoga (Topics), New South Wales, 1 January – October 2026</w:t>
      </w:r>
    </w:p>
    <w:p>
      <w:pPr>
        <w:keepNext/>
        <w:spacing w:after="80"/>
        <w:jc w:val="center"/>
      </w:pPr>
      <w:r>
        <w:drawing>
          <wp:inline distT="0" distB="0" distL="0" distR="0">
            <wp:extent cx="603504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35040" cy="22098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From Google Trends (2026). Values are indexed to 100 at the highest point for any term in the period; they show relative, not absolute, search volume.</w:t>
      </w:r>
    </w:p>
    <w:p>
      <w:pPr>
        <w:spacing w:after="160" w:line="288"/>
      </w:pPr>
      <w:r>
        <w:rPr>
          <w:b/>
          <w:bCs/>
        </w:rPr>
        <w:t xml:space="preserve">Interpretation.</w:t>
      </w:r>
    </w:p>
    <w:p>
      <w:pPr>
        <w:pStyle w:val="ListParagraph"/>
        <w:numPr>
          <w:ilvl w:val="0"/>
          <w:numId w:val="3"/>
        </w:numPr>
        <w:spacing w:after="100" w:line="288"/>
      </w:pPr>
      <w:r>
        <w:t xml:space="preserve">Average interest across 2026: Lululemon 55, Lorna Jane 21, Alo 20. Alo reached parity with Australia's best-known local brand within months of entry, but Lululemon's interest is almost three times Alo's.</w:t>
      </w:r>
    </w:p>
    <w:p>
      <w:pPr>
        <w:pStyle w:val="ListParagraph"/>
        <w:numPr>
          <w:ilvl w:val="0"/>
          <w:numId w:val="3"/>
        </w:numPr>
        <w:spacing w:after="100" w:line="288"/>
      </w:pPr>
      <w:r>
        <w:t xml:space="preserve">Alo's interest peaked at around 46 at the May opening. It then fluctuated (mid-30s in June, near 10 in late July, around 30 in August) before settling at about 11 from September onward, roughly its level before the store opened.</w:t>
      </w:r>
    </w:p>
    <w:p>
      <w:pPr>
        <w:pStyle w:val="ListParagraph"/>
        <w:numPr>
          <w:ilvl w:val="0"/>
          <w:numId w:val="3"/>
        </w:numPr>
        <w:spacing w:after="100" w:line="288"/>
      </w:pPr>
      <w:r>
        <w:t xml:space="preserve">The opening of The Galeries store on 11 September 2026 produced no visible lift, which supports Challenge 2: novelty-driven interest decays without sustained communication.</w:t>
      </w:r>
    </w:p>
    <w:p>
      <w:pPr>
        <w:pStyle w:val="ListParagraph"/>
        <w:numPr>
          <w:ilvl w:val="0"/>
          <w:numId w:val="3"/>
        </w:numPr>
        <w:spacing w:after="100" w:line="288"/>
      </w:pPr>
      <w:r>
        <w:t xml:space="preserve">Limitations: Google Trends is a relative index of search behaviour, not a measure of awareness or sales. Topic-level data may include searches unrelated to Australian retail (e.g., coverage of Alo's possible IPO), so it is used as a directional indicator alongside, not instead of, the survey measures in Section 6.</w:t>
      </w:r>
    </w:p>
    <w:p>
      <w:pPr>
        <w:spacing w:after="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770"/>
        <w:sz w:val="17"/>
        <w:szCs w:val="17"/>
      </w:rPr>
      <w:t xml:space="preserve">Alo · Mat to Moment · </w:t>
    </w:r>
    <w:r>
      <w:rPr>
        <w:color w:val="5B677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3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E2A32"/>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8C6D3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6ae2d5df61a1dc2126a20a95faa8263d13a5230.png"/><Relationship Id="rId9" Type="http://schemas.openxmlformats.org/officeDocument/2006/relationships/image" Target="media/aa49d250bf5e37ea8617edda0a7d42f44b60f48c.png"/><Relationship Id="rId10" Type="http://schemas.openxmlformats.org/officeDocument/2006/relationships/image" Target="media/70f4a6e6d5a67e3419aa8e0868eb7ffb53960b2a.png"/><Relationship Id="rId11" Type="http://schemas.openxmlformats.org/officeDocument/2006/relationships/image" Target="media/c8e43f670a124374a04e9ee2160d962b36cb5cce.png"/><Relationship Id="rId12" Type="http://schemas.openxmlformats.org/officeDocument/2006/relationships/image" Target="media/32113ec9e20c0b59f4691e961d1b66aa732a9a51.png"/><Relationship Id="rId13" Type="http://schemas.openxmlformats.org/officeDocument/2006/relationships/image" Target="media/ec6d9cce435c9f2a239ca584fbba341a40d852b0.png"/><Relationship Id="rId14" Type="http://schemas.openxmlformats.org/officeDocument/2006/relationships/image" Target="media/c04cec782615e8c822864ffb2c778e0956dbe3e7.png"/><Relationship Id="rId15" Type="http://schemas.openxmlformats.org/officeDocument/2006/relationships/image" Target="media/73f6f46fb946450664ae5217b239a1c5f3c2ba4b.png"/><Relationship Id="rId16" Type="http://schemas.openxmlformats.org/officeDocument/2006/relationships/image" Target="media/3aabf33ea7383cb661ff63649044764cde63b3b7.png"/><Relationship Id="rId17" Type="http://schemas.openxmlformats.org/officeDocument/2006/relationships/image" Target="media/5bd67e219640a97c7f9727e3ae4aaa1bc3b33732.png"/><Relationship Id="rId18" Type="http://schemas.openxmlformats.org/officeDocument/2006/relationships/image" Target="media/6122e472b4c8a2d796f4cda4ee950f2da8fc6e5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Alo in Australia: Mat to Moment IMC Brief</dc:title>
  <dc:creator>MKTG3112 Group</dc:creator>
  <cp:lastModifiedBy>Un-named</cp:lastModifiedBy>
  <cp:revision>1</cp:revision>
  <dcterms:created xsi:type="dcterms:W3CDTF">2026-10-28T22:06:17.057Z</dcterms:created>
  <dcterms:modified xsi:type="dcterms:W3CDTF">2026-10-28T22:06:17.057Z</dcterms:modified>
</cp:coreProperties>
</file>

<file path=docProps/custom.xml><?xml version="1.0" encoding="utf-8"?>
<Properties xmlns="http://schemas.openxmlformats.org/officeDocument/2006/custom-properties" xmlns:vt="http://schemas.openxmlformats.org/officeDocument/2006/docPropsVTypes"/>
</file>