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Its owners are reportedly weighing an IPO or sale (Rydzek, 2026), so performance in new markets is under scrutiny. Alo opened at Chatswood Chase, opposite Lululemon, in May 2026 (Inside Retail, 2026), and at The Galeries in the CBD in September, with Bondi Junction planned (Concrete Playground, 2026). Australian leggings and bras cost roughly A$100–200 (Concrete Playground, 2026). Its premium, fashion-led image was built on social media and celebrity visibility (Inside Retail, 2026). Brand equity depends on awareness and favourable associations (Keller, 1993), and IMC is what converts brand identity into local equity (Keller, 2001). In Sydney, that conversion has barely begun. Alo's strengths are a coherent brand image and control of its own retail experience; its weaknesses here are a small store base, no local heritage and prices above an established leader.</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Ambassador community model (lululemon athletica, n.d.);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losing US share to Alo (Salpini,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to A$21.3m (Inside Retail, 2025)</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labels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Smaller ranges and store networks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Adidas rose to #2 in global reputation (RepTrak,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to #50 (RepTrak, 2026); performance-led</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Lower price points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240" w:before="60"/>
      </w:pPr>
      <w:r>
        <w:rPr>
          <w:i/>
          <w:iCs/>
          <w:color w:val="5B6770"/>
          <w:sz w:val="19"/>
          <w:szCs w:val="19"/>
        </w:rPr>
        <w:t xml:space="preserve">Note. </w:t>
      </w:r>
      <w:r>
        <w:rPr>
          <w:color w:val="5B6770"/>
          <w:sz w:val="19"/>
          <w:szCs w:val="19"/>
        </w:rPr>
        <w:t xml:space="preserve">Unreferenced entries are agency assessments.</w:t>
      </w: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Competitor weaknesses cluster around dated, functional design or mid-market focus, which leaves premium, design-led, all-day wear unclaimed (see the positioning map in Appendix E). Fashion alone is not defensible, because P.E Nation sits nearby with local credentials. Fashion plus proven studio performance, made locally relevant, is. Lululemon's recent share losses to Alo are US evidence (Salpini, 2025), so the same shift cannot be assumed in Sydney. With young consumers under financial pressure (Deloitte, 2026), cheaper brands such as Gymshark become the fallback whenever Alo's premium is not justified.</w:t>
      </w:r>
    </w:p>
    <w:p>
      <w:pPr>
        <w:pStyle w:val="Heading2"/>
      </w:pPr>
      <w:r>
        <w:t xml:space="preserve">1.3 Target Audience</w:t>
      </w:r>
    </w:p>
    <w:p>
      <w:pPr>
        <w:spacing w:after="160" w:line="288"/>
      </w:pPr>
      <w:r>
        <w:t xml:space="preserve">Of three segments (Smith, 1956; see Appendix B),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Alo's appeal is built on exactly that social visibility (Inside Retail, 2026). The segment is substantial: Pilates alone has about 585,000 adult Australian participants, around 90% of them women (Sport Australia, 2019). It spans older Gen Z, who prize authenticity (Francis &amp; Hoefel, 2018), and younger Millennials, so the campaign pairs unpolished creator content with bookable experiences and audio. Consumers also build self-brand connections through the brands their reference groups use (Escalas &amp; Bettman, 2005), and the studio class is this segment's most visible reference group, which is where the campaign places its sources. Critically, more than half of Gen Z and Millennials have delayed major decisions because of financial pressure (Deloitte, 2026). The audience most drawn to Alo is also the most price-stretched, so price justification ranks first.</w:t>
      </w:r>
    </w:p>
    <w:p>
      <w:pPr>
        <w:pStyle w:val="Heading2"/>
      </w:pPr>
      <w:r>
        <w:t xml:space="preserve">1.4 Communication Challenges (Prioritised)</w:t>
      </w:r>
    </w:p>
    <w:p>
      <w:pPr>
        <w:spacing w:after="160" w:line="288"/>
      </w:pPr>
      <w:r>
        <w:t xml:space="preserve">Challenges are ranked by how directly each blocks a store visit.</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 so novelty alone will not sustain the brand.</w:t>
      </w:r>
    </w:p>
    <w:p>
      <w:pPr>
        <w:pStyle w:val="ListParagraph"/>
        <w:numPr>
          <w:ilvl w:val="0"/>
          <w:numId w:val="2"/>
        </w:numPr>
        <w:spacing w:after="100" w:line="288"/>
      </w:pPr>
      <w:r>
        <w:rPr>
          <w:b/>
          <w:bCs/>
        </w:rPr>
        <w:t xml:space="preserve">Limited reach</w:t>
      </w:r>
      <w:r>
        <w:t xml:space="preserve">: two stores (Concrete Playground, 2026)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through its ambassador model (lululemon athletica, n.d.);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spacing w:after="160" w:line="288"/>
      </w:pPr>
      <w:r>
        <w:t xml:space="preserve">The objectives follow DAGMAR (Colley, 1961). AIDA and the hierarchy of effects assume that consumers think, then feel, then do (Lavidge &amp; Steiner, 1961; Strong, 1925). Figure 1 shows why this campaign reverses the first two steps. Premium activewear is a high-involvement purchase worn in public, so attitude precedes information (Vaughn, 1980): until Segment A feels Alo is "for people like me", knowing a store's address is worthless. The hierarchy is a heuristic, not a law, so all four objectives are tracked simultaneously. O3 is ambitious but attainable because every paid asset carries the store line. Baselines are agency estimates to be confirmed by the pre-campaign survey. O3 starts at 25% because Alo's search interest matches Lorna Jane's, but store awareness should trail name awareness for a four-month-old entrant. O1 and O2 start low because few locals have tried the product. Visits rather than sales are targeted because price and stock sit outside communication's control (Belch &amp; Belch, 2021).</w:t>
      </w:r>
    </w:p>
    <w:p>
      <w:pPr>
        <w:keepNext/>
        <w:spacing w:after="40" w:before="200"/>
      </w:pPr>
      <w:r>
        <w:rPr>
          <w:b/>
          <w:bCs/>
        </w:rPr>
        <w:t xml:space="preserve">Figure 1</w:t>
      </w:r>
    </w:p>
    <w:p>
      <w:pPr>
        <w:keepNext/>
        <w:spacing w:after="100"/>
      </w:pPr>
      <w:r>
        <w:rPr>
          <w:i/>
          <w:iCs/>
        </w:rPr>
        <w:t xml:space="preserve">Response Hierarchy Applied to the Objectives</w:t>
      </w:r>
    </w:p>
    <w:p>
      <w:pPr>
        <w:keepNext/>
        <w:spacing w:after="80"/>
        <w:jc w:val="center"/>
      </w:pPr>
      <w:r>
        <w:drawing>
          <wp:inline distT="0" distB="0" distL="0" distR="0">
            <wp:extent cx="603504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12382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Strong (1925),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(Schramm, as cited in Belch &amp; Belch, 2021) explains why Alo has not yet capitalised on this (Figure 2).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The model also highlights noise from Lululemon's far larger share of search and a crowded influencer feed, which favours repeating one idea. The model's feedback loop is built in: comments, bookings and search interest are reviewed between bursts (Section 6).</w:t>
      </w:r>
    </w:p>
    <w:p>
      <w:pPr>
        <w:keepNext/>
        <w:spacing w:after="40" w:before="200"/>
      </w:pPr>
      <w:r>
        <w:rPr>
          <w:b/>
          <w:bCs/>
        </w:rPr>
        <w:t xml:space="preserve">Figure 2</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800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Schramm's model as presented in Belch and Belch (2021).</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Levitt (1983) argued that global brands should standardise, but standardised efficiency does not guarantee local relevance. Alo's identity, positioning and visual assets are therefore standardised to protect its global prestige (see Appendix C):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own global celebrity content keeps reaching Sydney feeds, so the local work must be distinctive enough to compete with Alo's global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Appendix F traces its three pillars from challenge to touchpoint. The pillars divide the persuasive work; they are not three campaigns. Each carries the same line, and the shared brand codes beneath them are what make the campaign integrated rather than merely multi-channel.</w:t>
      </w:r>
    </w:p>
    <w:p>
      <w:pPr>
        <w:spacing w:after="160" w:line="288"/>
      </w:pPr>
      <w:r>
        <w:t xml:space="preserve">Under the Elaboration Likelihood Model, the persuasion route depends on motivation and ability (Petty et al., 1983). Segment A is motivated but meets most messages while scrolling, when ability is low (Figure 3).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fade faster, hence the always-on base.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(Wright, 1973), and sessions reach hundreds rather than thousands, so every session is filmed to carry its proof further. Discounting was rejected because promotions increase price sensitivity over time (Mela et al., 1997).</w:t>
      </w:r>
    </w:p>
    <w:p>
      <w:pPr>
        <w:keepNext/>
        <w:spacing w:after="40" w:before="200"/>
      </w:pPr>
      <w:r>
        <w:rPr>
          <w:b/>
          <w:bCs/>
        </w:rPr>
        <w:t xml:space="preserve">Figure 3</w:t>
      </w:r>
    </w:p>
    <w:p>
      <w:pPr>
        <w:keepNext/>
        <w:spacing w:after="100"/>
      </w:pPr>
      <w:r>
        <w:rPr>
          <w:i/>
          <w:iCs/>
        </w:rPr>
        <w:t xml:space="preserve">Elaboration Likelihood Model Applied to the Pillars</w:t>
      </w:r>
    </w:p>
    <w:p>
      <w:pPr>
        <w:keepNext/>
        <w:spacing w:after="80"/>
        <w:jc w:val="center"/>
      </w:pPr>
      <w:r>
        <w:drawing>
          <wp:inline distT="0" distB="0" distL="0" distR="0">
            <wp:extent cx="603504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8098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w:t>
      </w:r>
    </w:p>
    <w:p>
      <w:pPr>
        <w:pStyle w:val="Heading2"/>
      </w:pPr>
      <w:r>
        <w:t xml:space="preserve">3.4 Source Selection</w:t>
      </w:r>
    </w:p>
    <w:p>
      <w:pPr>
        <w:spacing w:after="160" w:line="288"/>
      </w:pPr>
      <w:r>
        <w:t xml:space="preserve">Sources are judged on credibility, attractiveness (Ohanian, 1990) and fit with the claim (Kamins, 1990), across influencer tiers (Campbell &amp; Farrell, 2020; Figure 4).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(ACCC, 2023), so disclosure is mandatory in every brief.</w:t>
      </w:r>
    </w:p>
    <w:p>
      <w:pPr>
        <w:keepNext/>
        <w:spacing w:after="40" w:before="200"/>
      </w:pPr>
      <w:r>
        <w:rPr>
          <w:b/>
          <w:bCs/>
        </w:rPr>
        <w:t xml:space="preserve">Figure 4</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419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Dimensions from Ohanian (1990); tiers from Campbell and Farrell (2020).</w:t>
      </w:r>
    </w:p>
    <w:p>
      <w:pPr>
        <w:pStyle w:val="Heading2"/>
      </w:pPr>
      <w:r>
        <w:t xml:space="preserve">3.5 Integration Across the Journey</w:t>
      </w:r>
    </w:p>
    <w:p>
      <w:pPr>
        <w:spacing w:after="160" w:line="288"/>
      </w:pPr>
      <w:r>
        <w:t xml:space="preserve">IMC exists because fragmented messages weaken brand equity and trust (Belch &amp; Belch, 2021; Keller, 2001). Figure 5 maps the campaign onto the consumer decision journey, extended for social influence (Court et al., 2009; Stephen, 2016): each stage has a different job, but all six tell the same story, and advocates' #MatToMoment posts become discovery content for the next customer at no media cost. Figure 6 shows the cost of this approach. About 45% of the budget goes to creators, sessions and PR, which carry higher impact but lower control (Duncan, as cited in Belch &amp; Belch, 2021). Customer posts, reviews and creator controversies cannot be scripted. Shared brand codes, tight creator briefs and weekly social listening protect consistency. This is the campaign's central bet: an advertising-led plan would be more controllable but less believable, which is the opposite of what Challenges 1 and 5 need. Because the journey is non-linear, attribution across touchpoints will remain imperfect (Lemon &amp; Verhoef, 2016), which Section 6 acknowledges.</w:t>
      </w:r>
    </w:p>
    <w:p>
      <w:pPr>
        <w:keepNext/>
        <w:spacing w:after="40" w:before="200"/>
      </w:pPr>
      <w:r>
        <w:rPr>
          <w:b/>
          <w:bCs/>
        </w:rPr>
        <w:t xml:space="preserve">Figure 5</w:t>
      </w:r>
    </w:p>
    <w:p>
      <w:pPr>
        <w:keepNext/>
        <w:spacing w:after="100"/>
      </w:pPr>
      <w:r>
        <w:rPr>
          <w:i/>
          <w:iCs/>
        </w:rPr>
        <w:t xml:space="preserve">Consumer Decision Journey With Social Influence</w:t>
      </w:r>
    </w:p>
    <w:p>
      <w:pPr>
        <w:keepNext/>
        <w:spacing w:after="80"/>
        <w:jc w:val="center"/>
      </w:pPr>
      <w:r>
        <w:drawing>
          <wp:inline distT="0" distB="0" distL="0" distR="0">
            <wp:extent cx="603504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383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and Stephen (2016).</w:t>
      </w:r>
    </w:p>
    <w:p>
      <w:pPr>
        <w:keepNext/>
        <w:spacing w:after="40" w:before="200"/>
      </w:pPr>
      <w:r>
        <w:rPr>
          <w:b/>
          <w:bCs/>
        </w:rPr>
        <w:t xml:space="preserve">Figure 6</w:t>
      </w:r>
    </w:p>
    <w:p>
      <w:pPr>
        <w:keepNext/>
        <w:spacing w:after="100"/>
      </w:pPr>
      <w:r>
        <w:rPr>
          <w:i/>
          <w:iCs/>
        </w:rPr>
        <w:t xml:space="preserve">Campaign Touchpoints by Impact and Control</w:t>
      </w:r>
    </w:p>
    <w:p>
      <w:pPr>
        <w:keepNext/>
        <w:spacing w:after="80"/>
        <w:jc w:val="center"/>
      </w:pPr>
      <w:r>
        <w:drawing>
          <wp:inline distT="0" distB="0" distL="0" distR="0">
            <wp:extent cx="603504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9146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Touchpoint types from Duncan (as cited in Belch &amp; Belch, 2021).</w:t>
      </w:r>
    </w:p>
    <w:p>
      <w:pPr>
        <w:pStyle w:val="Heading1"/>
      </w:pPr>
      <w:r>
        <w:t xml:space="preserve">4. Creative Strategy</w:t>
      </w:r>
    </w:p>
    <w:p>
      <w:pPr>
        <w:pStyle w:val="Heading2"/>
      </w:pPr>
      <w:r>
        <w:t xml:space="preserve">4.1 Creative Brief and Concept</w:t>
      </w:r>
    </w:p>
    <w:p>
      <w:pPr>
        <w:keepNext/>
        <w:spacing w:after="40" w:before="200"/>
      </w:pPr>
      <w:r>
        <w:rPr>
          <w:b/>
          <w:bCs/>
        </w:rPr>
        <w:t xml:space="preserve">Table 3</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bl>
    <w:p>
      <w:pPr>
        <w:spacing w:after="240" w:before="60"/>
      </w:pPr>
      <w:r>
        <w:rPr>
          <w:i/>
          <w:iCs/>
          <w:color w:val="5B6770"/>
          <w:sz w:val="19"/>
          <w:szCs w:val="19"/>
        </w:rPr>
        <w:t xml:space="preserve">Note. </w:t>
      </w:r>
      <w:r>
        <w:rPr>
          <w:color w:val="5B6770"/>
          <w:sz w:val="19"/>
          <w:szCs w:val="19"/>
        </w:rPr>
        <w:t xml:space="preserve">Elements from Belch and Belch (2021).</w:t>
      </w:r>
    </w:p>
    <w:p>
      <w:pPr>
        <w:spacing w:after="160" w:line="288"/>
      </w:pPr>
      <w:r>
        <w:rPr>
          <w:b/>
          <w:bCs/>
        </w:rPr>
        <w:t xml:space="preserve">One Set, One Day</w:t>
      </w:r>
      <w:r>
        <w:t xml:space="preserve"> follows a single Alo set through a real Sydney day.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Memorable experiences create value that advertising alone cannot (Pine &amp; Gilmore, 1998), and the sessions add something Lululemon's run clubs do not: the community continues into the "moment" after class, which is the half of the proposition Lululemon does not own.</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(Smith &amp; Yang, 2004). On Smith et al.'s (2007) divergence dimensions, it scores on originality, synthesis and flexibility (Appendix D). The risk is that divergent work is remembered without the brand, so the logo, palette and "Mat to Moment" sign-off appear in every execution. The lead appeals are aspirational and social approval (Belch &amp; Belch, 2021). Social approval is the riskiest choice here, because visibility drives appearance pressure (Camacho-Miñano et al., 2019), and exploiting that insecurity would cross from persuasion into manipulation. Executions therefore show diverse bodies and use no retouching. A rational appeal reframes price as cost per wear, presenting value as longevity rather than low price. Slice-of-life storytelling carries the emotion, and demonstration carries the proof.</w:t>
      </w:r>
    </w:p>
    <w:p>
      <w:pPr>
        <w:pStyle w:val="Heading2"/>
      </w:pPr>
      <w:r>
        <w:t xml:space="preserve">4.3 One Idea Across Every Channel</w:t>
      </w:r>
    </w:p>
    <w:p>
      <w:pPr>
        <w:spacing w:after="160" w:line="288"/>
      </w:pPr>
      <w:r>
        <w:t xml:space="preserve">In Appendix G, each channel adapts the hook and call to action to suit its medium, but all share one story and one sign-off, which gives consistent meaning without identical executions (Batra &amp; Keller, 2016). Because IMC builds recall through repetition and consistency (Keller, 2001), a viewer who hears the audio, passes a bus shelter and then sees a creator's post meets one idea three times, not three different ideas once. Claims must be substantiated under the Australian Consumer Law, as Lorna Jane's A$5 million penalty shows (ACCC, 2021), and creator posts must be clearly identifiable as advertising (Australian Association of National Advertisers [AANA], 2021). The music also needs sync licences.</w:t>
      </w:r>
    </w:p>
    <w:p>
      <w:pPr>
        <w:pStyle w:val="Heading1"/>
      </w:pPr>
      <w:r>
        <w:t xml:space="preserve">5. Media Strategy and Budget</w:t>
      </w:r>
    </w:p>
    <w:p>
      <w:pPr>
        <w:spacing w:after="160" w:line="288"/>
      </w:pPr>
      <w:r>
        <w:t xml:space="preserve">Media planning balances reach for awareness against frequency for persuasion (Belch &amp; Belch, 2021),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If Bondi Junction opens late, its weight moves to the CBD. Vehicles are Instagram Reels and Stories, TikTok in-feed ads with boosted creator posts, Spotify audio ads, and bus-side panels on routes serving the three stores. Television and print were excluded because the budget cannot buy competitive television frequency in Sydney, and print reaches this audience less efficiently than social. Filmed sessions and styling guides form the content-marketing layer on owned channels. Outdoor has low audience selectivity (Belch &amp; Belch, 2021), so it carries only the store line, near the stores. Spotify reaches commuting and workout moments but cannot show the set, so it uses sound cues. Retargeting then follows anyone exposed, and it works best once consumers have formed preferences (Lambrecht &amp; Tucker, 2013). Publicity depends on newsworthiness (Belch &amp; Belch, 2021), and a branded class is not news, so the hook is a free Bondi-to-Bronte walk series. Sessions also act as a free trial, which reduces purchase risk without a price cut (Belch &amp; Belch, 2021). Booking and store emails are personalised direct marketing, sent only with recorded consent.</w:t>
      </w:r>
    </w:p>
    <w:p>
      <w:pPr>
        <w:keepNext/>
        <w:spacing w:after="40" w:before="200"/>
      </w:pPr>
      <w:r>
        <w:rPr>
          <w:b/>
          <w:bCs/>
        </w:rPr>
        <w:t xml:space="preserve">Table 4</w:t>
      </w:r>
    </w:p>
    <w:p>
      <w:pPr>
        <w:keepNext/>
        <w:spacing w:after="100"/>
      </w:pPr>
      <w:r>
        <w:rPr>
          <w:i/>
          <w:iCs/>
        </w:rPr>
        <w:t xml:space="preserve">Media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313"/>
        <w:gridCol w:w="1542"/>
        <w:gridCol w:w="2892"/>
      </w:tblGrid>
      <w:tr>
        <w:trPr>
          <w:tblHeader/>
        </w:trPr>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89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Role</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near stores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store cue</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retargeting</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PR</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Trial, credibility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Owned social, emails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Conversion</w:t>
            </w:r>
          </w:p>
        </w:tc>
      </w:tr>
    </w:tbl>
    <w:p>
      <w:pPr>
        <w:spacing w:after="160"/>
      </w:pPr>
    </w:p>
    <w:p>
      <w:pPr>
        <w:spacing w:after="160" w:line="288"/>
      </w:pPr>
      <w:r>
        <w:t xml:space="preserve">Interest decays after each novelty spike (Appendix A), so scheduling uses </w:t>
      </w:r>
      <w:r>
        <w:rPr>
          <w:b/>
          <w:bCs/>
        </w:rPr>
        <w:t xml:space="preserve">pulsing</w:t>
      </w:r>
      <w:r>
        <w:t xml:space="preserve">: an always-on base with three bursts (Belch &amp; Belch, 2021; Figure 7). Burst 1 (weeks 1–3) builds awareness, Burst 2 (weeks 6–8) builds consideration, and Burst 3 (weeks 11–12) drives visits and advocacy. Flighting would leave gaps in which interest decays, and full continuous weight is unaffordable.</w:t>
      </w:r>
    </w:p>
    <w:p>
      <w:pPr>
        <w:keepNext/>
        <w:spacing w:after="40" w:before="200"/>
      </w:pPr>
      <w:r>
        <w:rPr>
          <w:b/>
          <w:bCs/>
        </w:rPr>
        <w:t xml:space="preserve">Figure 7</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media plan. Pre- and post-campaign surveys run in December 2026 and April 2027.</w:t>
      </w:r>
    </w:p>
    <w:p>
      <w:pPr>
        <w:spacing w:after="160" w:line="288"/>
      </w:pPr>
      <w:r>
        <w:t xml:space="preserve">The budget uses the objective-and-task method (Belch &amp; Belch, 2021). Partnerships receive 42% because they span paid, owned and earned media (Stephen &amp; Galak, 2012): a creator partnership is paid, its content is reused on Alo's owned channels, and audiences share it as earned media. Costs follow published benchmarks. Australian micro-creators charge roughly A$150–750 per post (Wise, 2025), so A$50,000 funds about 40 micro posts plus the lead and macro creators. Sydney bus-side panels start at about A$150 per week plus A$375 production (GoTransit, n.d.), so outdoor buys about 40 panels for three weeks with beach-side posters. At Instagram CPMs of about US$8 (Admetrics, 2025), paid social delivers several million impressions, enough for the Burst 1 reach target. The weakness is that only 40% buys traditional reach, so if Burst 1 misses its reach target, the contingency moves into paid social. The 5% contingency also covers rate rises and a delayed Bondi Junction opening.</w:t>
      </w:r>
    </w:p>
    <w:p>
      <w:pPr>
        <w:keepNext/>
        <w:spacing w:after="40" w:before="200"/>
      </w:pPr>
      <w:r>
        <w:rPr>
          <w:b/>
          <w:bCs/>
        </w:rPr>
        <w:t xml:space="preserve">Table 5</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D: research (pre/post surveys)</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E: contingency</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240" w:before="60"/>
      </w:pPr>
      <w:r>
        <w:rPr>
          <w:i/>
          <w:iCs/>
          <w:color w:val="5B6770"/>
          <w:sz w:val="19"/>
          <w:szCs w:val="19"/>
        </w:rPr>
        <w:t xml:space="preserve">Note. </w:t>
      </w:r>
      <w:r>
        <w:rPr>
          <w:color w:val="5B6770"/>
          <w:sz w:val="19"/>
          <w:szCs w:val="19"/>
        </w:rPr>
        <w:t xml:space="preserve">Costs informed by Wise (2025), GoTransit (n.d.) and Admetrics (2025); to be confirmed with quotes.</w:t>
      </w:r>
    </w:p>
    <w:p>
      <w:pPr>
        <w:pStyle w:val="Heading1"/>
      </w:pPr>
      <w:r>
        <w:t xml:space="preserve">6. Campaign Evaluation</w:t>
      </w:r>
    </w:p>
    <w:p>
      <w:pPr>
        <w:spacing w:after="160" w:line="288"/>
      </w:pPr>
      <w:r>
        <w:t xml:space="preserve">Effectiveness means achieving the intended outcomes, not likes (Belch &amp; Belch, 2021). Pre-testing in December 2026 uses concept tests, A/B comparisons of edits and the baseline survey to check comprehension, brand attribution, relevance and the call to action. Because test viewers are made to watch, results are used to choose between executions rather than forecast outcomes. In-flight digital metrics guide reallocation between bursts. Creators are judged on audience fit, credibility, brand lift and tracked action, not followers (Campbell &amp; Farrell, 2020). Each measure in Table 6 maps to one objective, so the evaluation tests the same feel → learn → do logic that built the campaign. Each survey wave samples about 400 Segment A respondents and 150 Melbourne controls. Post-testing in April 2027 repeats the survey, uses social listening, checks self-reported visits against store traffic and web analytics, and compares results with a Melbourne control sample. Observational attribution can overstate advertising effects compared with experiments (Gordon et al., 2019), so results will be reported as indicative rather than proven.</w:t>
      </w:r>
    </w:p>
    <w:p>
      <w:pPr>
        <w:keepNext/>
        <w:spacing w:after="40" w:before="200"/>
      </w:pPr>
      <w:r>
        <w:rPr>
          <w:b/>
          <w:bCs/>
        </w:rPr>
        <w:t xml:space="preserve">Table 6</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Pre-test</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Brand attribution; comprehension</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 attribute to Alo</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retargeting pool</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70% reach, frequency 4; 20% retargeted</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 ≥25%</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pStyle w:val="Heading1"/>
      </w:pPr>
      <w:r>
        <w:t xml:space="preserve">7. Conclusion</w:t>
      </w:r>
    </w:p>
    <w:p>
      <w:pPr>
        <w:spacing w:after="160" w:line="288"/>
      </w:pPr>
      <w:r>
        <w:t xml:space="preserve">Every pillar, source, channel and burst answers a diagnosed challenge, with one message adapted to every channel but never changed: one set, made for the whole Sydney day. AI use in preparing this report is disclosed in Appendix H.</w:t>
      </w:r>
    </w:p>
    <w:p>
      <w:r>
        <w:br w:type="page"/>
      </w:r>
    </w:p>
    <w:p>
      <w:pPr>
        <w:pStyle w:val="Heading1"/>
      </w:pPr>
      <w:r>
        <w:t xml:space="preserve">References</w:t>
      </w:r>
    </w:p>
    <w:p>
      <w:pPr>
        <w:spacing w:after="120" w:line="276"/>
        <w:ind w:left="720" w:hanging="720"/>
      </w:pPr>
      <w:r>
        <w:rPr>
          <w:sz w:val="21"/>
          <w:szCs w:val="21"/>
        </w:rPr>
        <w:t xml:space="preserve">Admetrics. (2025). </w:t>
      </w:r>
      <w:r>
        <w:rPr>
          <w:i/>
          <w:iCs/>
          <w:sz w:val="21"/>
          <w:szCs w:val="21"/>
        </w:rPr>
        <w:t xml:space="preserve">Instagram ads costs: Complete 2025 pricing guide</w:t>
      </w:r>
      <w:r>
        <w:rPr>
          <w:sz w:val="21"/>
          <w:szCs w:val="21"/>
        </w:rPr>
        <w:t xml:space="preserve">. https://admetrics.io/en/post/instagram-ads-costs-complete-2025-pricing-guide</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Australian Competition and Consumer Commission. (2023, December). </w:t>
      </w:r>
      <w:r>
        <w:rPr>
          <w:i/>
          <w:iCs/>
          <w:sz w:val="21"/>
          <w:szCs w:val="21"/>
        </w:rPr>
        <w:t xml:space="preserve">Scrutiny of influencers and businesses for misleading advertising and online reviews continues</w:t>
      </w:r>
      <w:r>
        <w:rPr>
          <w:sz w:val="21"/>
          <w:szCs w:val="21"/>
        </w:rPr>
        <w:t xml:space="preserve"> [Media release]. https://www.accc.gov.au/media-release/scrutiny-of-influencers-and-businesses-for-misleading-advertising-and-online-reviews-continues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Campbell, C., &amp; Farrell, J. R. (2020). More than meets the eye: The functional components underlying influencer marketing. </w:t>
      </w:r>
      <w:r>
        <w:rPr>
          <w:i/>
          <w:iCs/>
          <w:sz w:val="21"/>
          <w:szCs w:val="21"/>
        </w:rPr>
        <w:t xml:space="preserve">Business Horizons, 63</w:t>
      </w:r>
      <w:r>
        <w:rPr>
          <w:sz w:val="21"/>
          <w:szCs w:val="21"/>
        </w:rPr>
        <w:t xml:space="preserve">(4), 469–479. https://doi.org/10.1016/j.bushor.2020.03.003</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Deloitte. (2026). </w:t>
      </w:r>
      <w:r>
        <w:rPr>
          <w:i/>
          <w:iCs/>
          <w:sz w:val="21"/>
          <w:szCs w:val="21"/>
        </w:rPr>
        <w:t xml:space="preserve">2026 Gen Z and millennial survey</w:t>
      </w:r>
      <w:r>
        <w:rPr>
          <w:sz w:val="21"/>
          <w:szCs w:val="21"/>
        </w:rPr>
        <w:t xml:space="preserve">. https://www.deloitte.com/global/en/issues/work/genz-millennial-survey.html</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Francis, T., &amp; Hoefel, F. (2018, November 12). </w:t>
      </w:r>
      <w:r>
        <w:rPr>
          <w:i/>
          <w:iCs/>
          <w:sz w:val="21"/>
          <w:szCs w:val="21"/>
        </w:rPr>
        <w:t xml:space="preserve">'True Gen': Generation Z and its implications for companies</w:t>
      </w:r>
      <w:r>
        <w:rPr>
          <w:sz w:val="21"/>
          <w:szCs w:val="21"/>
        </w:rPr>
        <w:t xml:space="preserve">. McKinsey &amp; Company. https://www.mckinsey.com/industries/consumer-packaged-goods/our-insights/true-gen-generation-z-and-its-implications-for-companies</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Gordon, B. R., Zettelmeyer, F., Bhargava, N., &amp; Chapsky, D. (2019). A comparison of approaches to advertising measurement: Evidence from big field experiments at Facebook. </w:t>
      </w:r>
      <w:r>
        <w:rPr>
          <w:i/>
          <w:iCs/>
          <w:sz w:val="21"/>
          <w:szCs w:val="21"/>
        </w:rPr>
        <w:t xml:space="preserve">Marketing Science, 38</w:t>
      </w:r>
      <w:r>
        <w:rPr>
          <w:sz w:val="21"/>
          <w:szCs w:val="21"/>
        </w:rPr>
        <w:t xml:space="preserve">(2), 193–225. https://doi.org/10.1287/mksc.2018.1135</w:t>
      </w:r>
    </w:p>
    <w:p>
      <w:pPr>
        <w:spacing w:after="120" w:line="276"/>
        <w:ind w:left="720" w:hanging="720"/>
      </w:pPr>
      <w:r>
        <w:rPr>
          <w:sz w:val="21"/>
          <w:szCs w:val="21"/>
        </w:rPr>
        <w:t xml:space="preserve">GoTransit. (n.d.). </w:t>
      </w:r>
      <w:r>
        <w:rPr>
          <w:i/>
          <w:iCs/>
          <w:sz w:val="21"/>
          <w:szCs w:val="21"/>
        </w:rPr>
        <w:t xml:space="preserve">Bus advertising</w:t>
      </w:r>
      <w:r>
        <w:rPr>
          <w:sz w:val="21"/>
          <w:szCs w:val="21"/>
        </w:rPr>
        <w:t xml:space="preserve">. Retrieved October 28, 2026, from https://gotransit.com.au/</w:t>
      </w:r>
    </w:p>
    <w:p>
      <w:pPr>
        <w:spacing w:after="120" w:line="276"/>
        <w:ind w:left="720" w:hanging="720"/>
      </w:pPr>
      <w:r>
        <w:rPr>
          <w:sz w:val="21"/>
          <w:szCs w:val="21"/>
        </w:rPr>
        <w:t xml:space="preserve">Inside Retail. (2025, January). </w:t>
      </w:r>
      <w:r>
        <w:rPr>
          <w:i/>
          <w:iCs/>
          <w:sz w:val="21"/>
          <w:szCs w:val="21"/>
        </w:rPr>
        <w:t xml:space="preserve">Lorna Jane's profit doubles thanks to strong demand for athletic clothing</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Mastering the marketing communications mix: Micro and macro perspectives on integrated marketing communication programs. </w:t>
      </w:r>
      <w:r>
        <w:rPr>
          <w:i/>
          <w:iCs/>
          <w:sz w:val="21"/>
          <w:szCs w:val="21"/>
        </w:rPr>
        <w:t xml:space="preserve">Journal of Marketing Management, 17</w:t>
      </w:r>
      <w:r>
        <w:rPr>
          <w:sz w:val="21"/>
          <w:szCs w:val="21"/>
        </w:rPr>
        <w:t xml:space="preserve">(7–8), 819–847. https://doi.org/10.1362/026725701323366836</w:t>
      </w:r>
    </w:p>
    <w:p>
      <w:pPr>
        <w:spacing w:after="120" w:line="276"/>
        <w:ind w:left="720" w:hanging="720"/>
      </w:pPr>
      <w:r>
        <w:rPr>
          <w:sz w:val="21"/>
          <w:szCs w:val="21"/>
        </w:rPr>
        <w:t xml:space="preserve">Lambrecht, A., &amp; Tucker, C. (2013). When does retargeting work? Information specificity in online advertising. </w:t>
      </w:r>
      <w:r>
        <w:rPr>
          <w:i/>
          <w:iCs/>
          <w:sz w:val="21"/>
          <w:szCs w:val="21"/>
        </w:rPr>
        <w:t xml:space="preserve">Journal of Marketing Research, 50</w:t>
      </w:r>
      <w:r>
        <w:rPr>
          <w:sz w:val="21"/>
          <w:szCs w:val="21"/>
        </w:rPr>
        <w:t xml:space="preserve">(5), 561–576. https://doi.org/10.1509/jmr.11.0503</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Lemon, K. N., &amp; Verhoef, P. C. (2016). Understanding customer experience throughout the customer journey. </w:t>
      </w:r>
      <w:r>
        <w:rPr>
          <w:i/>
          <w:iCs/>
          <w:sz w:val="21"/>
          <w:szCs w:val="21"/>
        </w:rPr>
        <w:t xml:space="preserve">Journal of Marketing, 80</w:t>
      </w:r>
      <w:r>
        <w:rPr>
          <w:sz w:val="21"/>
          <w:szCs w:val="21"/>
        </w:rPr>
        <w:t xml:space="preserve">(6), 69–96. https://doi.org/10.1509/jm.15.0420</w:t>
      </w:r>
    </w:p>
    <w:p>
      <w:pPr>
        <w:spacing w:after="120" w:line="276"/>
        <w:ind w:left="720" w:hanging="720"/>
      </w:pPr>
      <w:r>
        <w:rPr>
          <w:sz w:val="21"/>
          <w:szCs w:val="21"/>
        </w:rPr>
        <w:t xml:space="preserve">Levitt, T. (1983). The globalization of markets. </w:t>
      </w:r>
      <w:r>
        <w:rPr>
          <w:i/>
          <w:iCs/>
          <w:sz w:val="21"/>
          <w:szCs w:val="21"/>
        </w:rPr>
        <w:t xml:space="preserve">Harvard Business Review, 61</w:t>
      </w:r>
      <w:r>
        <w:rPr>
          <w:sz w:val="21"/>
          <w:szCs w:val="21"/>
        </w:rPr>
        <w:t xml:space="preserve">(3), 92–102.</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lululemon athletica. (n.d.). </w:t>
      </w:r>
      <w:r>
        <w:rPr>
          <w:i/>
          <w:iCs/>
          <w:sz w:val="21"/>
          <w:szCs w:val="21"/>
        </w:rPr>
        <w:t xml:space="preserve">Community engagement</w:t>
      </w:r>
      <w:r>
        <w:rPr>
          <w:sz w:val="21"/>
          <w:szCs w:val="21"/>
        </w:rPr>
        <w:t xml:space="preserve">. Retrieved October 28, 2026, from https://corporate.lululemon.com/our-business/innovation/community-engagement</w:t>
      </w:r>
    </w:p>
    <w:p>
      <w:pPr>
        <w:spacing w:after="120" w:line="276"/>
        <w:ind w:left="720" w:hanging="720"/>
      </w:pPr>
      <w:r>
        <w:rPr>
          <w:sz w:val="21"/>
          <w:szCs w:val="21"/>
        </w:rPr>
        <w:t xml:space="preserve">Mela, C. F., Gupta, S., &amp; Lehmann, D. R. (1997). The long-term impact of promotion and advertising on consumer brand choice. </w:t>
      </w:r>
      <w:r>
        <w:rPr>
          <w:i/>
          <w:iCs/>
          <w:sz w:val="21"/>
          <w:szCs w:val="21"/>
        </w:rPr>
        <w:t xml:space="preserve">Journal of Marketing Research, 34</w:t>
      </w:r>
      <w:r>
        <w:rPr>
          <w:sz w:val="21"/>
          <w:szCs w:val="21"/>
        </w:rPr>
        <w:t xml:space="preserve">(2), 248–261. https://doi.org/10.1177/002224379703400205</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RepTrak. (2026, April). </w:t>
      </w:r>
      <w:r>
        <w:rPr>
          <w:i/>
          <w:iCs/>
          <w:sz w:val="21"/>
          <w:szCs w:val="21"/>
        </w:rPr>
        <w:t xml:space="preserve">Inside the GRT100: A case study on adidas and Nike</w:t>
      </w:r>
      <w:r>
        <w:rPr>
          <w:sz w:val="21"/>
          <w:szCs w:val="21"/>
        </w:rPr>
        <w:t xml:space="preserve">. https://www.reptrak.com/blog/inside-the-grt100-a-case-study-on-adidas-and-nike/</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Rydzek, C. (2026, June 24). Alo Yoga owners eye IPO or sale after offloading wholesale T-shirt business. </w:t>
      </w:r>
      <w:r>
        <w:rPr>
          <w:i/>
          <w:iCs/>
          <w:sz w:val="21"/>
          <w:szCs w:val="21"/>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 September 22). Lululemon's 'downward spiral' — and how the brand plans to break out of it. </w:t>
      </w:r>
      <w:r>
        <w:rPr>
          <w:i/>
          <w:iCs/>
          <w:sz w:val="21"/>
          <w:szCs w:val="21"/>
        </w:rPr>
        <w:t xml:space="preserve">Retail Dive</w:t>
      </w:r>
      <w:r>
        <w:rPr>
          <w:sz w:val="21"/>
          <w:szCs w:val="21"/>
        </w:rPr>
        <w:t xml:space="preserve">. https://www.retaildive.com/news/lululemon-athleisure-downward-spiral-innovation-turnaround/760318/</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MacKenzie, S. B., Yang, X., Buchholz, L. M., &amp; Darley, W. K. (2007). Modeling the determinants and effects of creativity in advertising. </w:t>
      </w:r>
      <w:r>
        <w:rPr>
          <w:i/>
          <w:iCs/>
          <w:sz w:val="21"/>
          <w:szCs w:val="21"/>
        </w:rPr>
        <w:t xml:space="preserve">Marketing Science, 26</w:t>
      </w:r>
      <w:r>
        <w:rPr>
          <w:sz w:val="21"/>
          <w:szCs w:val="21"/>
        </w:rPr>
        <w:t xml:space="preserve">(6), 819–833. https://doi.org/10.1287/mksc.1070.0272</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Sport Australia. (2019, April 30). </w:t>
      </w:r>
      <w:r>
        <w:rPr>
          <w:i/>
          <w:iCs/>
          <w:sz w:val="21"/>
          <w:szCs w:val="21"/>
        </w:rPr>
        <w:t xml:space="preserve">Australia's top 20 sports and physical activities revealed</w:t>
      </w:r>
      <w:r>
        <w:rPr>
          <w:sz w:val="21"/>
          <w:szCs w:val="21"/>
        </w:rPr>
        <w:t xml:space="preserve"> [Media release]. https://sportaus.gov.au/media_centre/news/previous-news-items/australias_top_20_sports_and_physical_activities_revealed</w:t>
      </w:r>
    </w:p>
    <w:p>
      <w:pPr>
        <w:spacing w:after="120" w:line="276"/>
        <w:ind w:left="720" w:hanging="720"/>
      </w:pPr>
      <w:r>
        <w:rPr>
          <w:sz w:val="21"/>
          <w:szCs w:val="21"/>
        </w:rPr>
        <w:t xml:space="preserve">Stephen, A. T. (2016). The role of digital and social media marketing in consumer behavior. </w:t>
      </w:r>
      <w:r>
        <w:rPr>
          <w:i/>
          <w:iCs/>
          <w:sz w:val="21"/>
          <w:szCs w:val="21"/>
        </w:rPr>
        <w:t xml:space="preserve">Current Opinion in Psychology, 10</w:t>
      </w:r>
      <w:r>
        <w:rPr>
          <w:sz w:val="21"/>
          <w:szCs w:val="21"/>
        </w:rPr>
        <w:t xml:space="preserve">, 17–21. https://doi.org/10.1016/j.copsyc.2015.10.016</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Strong, E. K., Jr. (1925). </w:t>
      </w:r>
      <w:r>
        <w:rPr>
          <w:i/>
          <w:iCs/>
          <w:sz w:val="21"/>
          <w:szCs w:val="21"/>
        </w:rPr>
        <w:t xml:space="preserve">The psychology of selling and advertising</w:t>
      </w:r>
      <w:r>
        <w:rPr>
          <w:sz w:val="21"/>
          <w:szCs w:val="21"/>
        </w:rPr>
        <w:t xml:space="preserve">. McGraw-Hill.</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pPr>
        <w:spacing w:after="120" w:line="276"/>
        <w:ind w:left="720" w:hanging="720"/>
      </w:pPr>
      <w:r>
        <w:rPr>
          <w:sz w:val="21"/>
          <w:szCs w:val="21"/>
        </w:rPr>
        <w:t xml:space="preserve">Wise. (2025). </w:t>
      </w:r>
      <w:r>
        <w:rPr>
          <w:i/>
          <w:iCs/>
          <w:sz w:val="21"/>
          <w:szCs w:val="21"/>
        </w:rPr>
        <w:t xml:space="preserve">Influencer marketing in 2025: Complete guide for Australian businesses</w:t>
      </w:r>
      <w:r>
        <w:rPr>
          <w:sz w:val="21"/>
          <w:szCs w:val="21"/>
        </w:rPr>
        <w:t xml:space="preserve">. https://wise.com/au/blog/influencer-marketing</w:t>
      </w:r>
    </w:p>
    <w:p>
      <w:pPr>
        <w:spacing w:after="120" w:line="276"/>
        <w:ind w:left="720" w:hanging="720"/>
      </w:pPr>
      <w:r>
        <w:rPr>
          <w:sz w:val="21"/>
          <w:szCs w:val="21"/>
        </w:rPr>
        <w:t xml:space="preserve">Wright, P. L. (1973). The cognitive processes mediating acceptance of advertising. </w:t>
      </w:r>
      <w:r>
        <w:rPr>
          <w:i/>
          <w:iCs/>
          <w:sz w:val="21"/>
          <w:szCs w:val="21"/>
        </w:rPr>
        <w:t xml:space="preserve">Journal of Marketing Research, 10</w:t>
      </w:r>
      <w:r>
        <w:rPr>
          <w:sz w:val="21"/>
          <w:szCs w:val="21"/>
        </w:rPr>
        <w:t xml:space="preserve">(1), 53–62. https://doi.org/10.1177/002224377301000108</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p>
      <w:r>
        <w:br w:type="page"/>
      </w:r>
    </w:p>
    <w:p>
      <w:pPr>
        <w:pStyle w:val="Heading1"/>
      </w:pPr>
      <w:r>
        <w:t xml:space="preserve">Appendix B: Segment Evaluation</w:t>
      </w:r>
    </w:p>
    <w:p>
      <w:pPr>
        <w:keepNext/>
        <w:spacing w:after="40" w:before="200"/>
      </w:pPr>
      <w:r>
        <w:rPr>
          <w:b/>
          <w:bCs/>
        </w:rPr>
        <w:t xml:space="preserve">Table B1</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(Francis &amp; Hoefel, 2018)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(Inside Retail,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(Deloitte, 2026)</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r>
        <w:br w:type="page"/>
      </w:r>
    </w:p>
    <w:p>
      <w:pPr>
        <w:pStyle w:val="Heading1"/>
      </w:pPr>
      <w:r>
        <w:t xml:space="preserve">Appendix C: Standardisation Versus Localisation</w:t>
      </w:r>
    </w:p>
    <w:p>
      <w:pPr>
        <w:keepNext/>
        <w:spacing w:after="40" w:before="200"/>
      </w:pPr>
      <w:r>
        <w:rPr>
          <w:b/>
          <w:bCs/>
        </w:rPr>
        <w:t xml:space="preserve">Table C1</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Agency governance split informed by Levitt (1983) and Sichtmann et al. (2019).</w:t>
      </w:r>
    </w:p>
    <w:p>
      <w:r>
        <w:br w:type="page"/>
      </w:r>
    </w:p>
    <w:p>
      <w:pPr>
        <w:pStyle w:val="Heading1"/>
      </w:pPr>
      <w:r>
        <w:t xml:space="preserve">Appendix D: Divergence and Relevance Assessment</w:t>
      </w:r>
    </w:p>
    <w:p>
      <w:pPr>
        <w:keepNext/>
        <w:spacing w:after="40" w:before="200"/>
      </w:pPr>
      <w:r>
        <w:rPr>
          <w:b/>
          <w:bCs/>
        </w:rPr>
        <w:t xml:space="preserve">Table D1</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from Smith et al. (2007) and Smith and Yang (2004).</w:t>
      </w:r>
    </w:p>
    <w:p>
      <w:r>
        <w:br w:type="page"/>
      </w:r>
    </w:p>
    <w:p>
      <w:pPr>
        <w:pStyle w:val="Heading1"/>
      </w:pPr>
      <w:r>
        <w:t xml:space="preserve">Appendix E: Perceptual Positioning Map</w:t>
      </w:r>
    </w:p>
    <w:p>
      <w:pPr>
        <w:keepNext/>
        <w:spacing w:after="40" w:before="200"/>
      </w:pPr>
      <w:r>
        <w:rPr>
          <w:b/>
          <w:bCs/>
        </w:rPr>
        <w:t xml:space="preserve">Figure E1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r>
        <w:br w:type="page"/>
      </w:r>
    </w:p>
    <w:p>
      <w:pPr>
        <w:pStyle w:val="Heading1"/>
      </w:pPr>
      <w:r>
        <w:t xml:space="preserve">Appendix F: Integration Architecture</w:t>
      </w:r>
    </w:p>
    <w:p>
      <w:pPr>
        <w:keepNext/>
        <w:spacing w:after="40" w:before="200"/>
      </w:pPr>
      <w:r>
        <w:rPr>
          <w:b/>
          <w:bCs/>
        </w:rPr>
        <w:t xml:space="preserve">Figure F1</w:t>
      </w:r>
    </w:p>
    <w:p>
      <w:pPr>
        <w:keepNext/>
        <w:spacing w:after="100"/>
      </w:pPr>
      <w:r>
        <w:rPr>
          <w:i/>
          <w:iCs/>
        </w:rPr>
        <w:t xml:space="preserve">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r>
        <w:br w:type="page"/>
      </w:r>
    </w:p>
    <w:p>
      <w:pPr>
        <w:pStyle w:val="Heading1"/>
      </w:pPr>
      <w:r>
        <w:t xml:space="preserve">Appendix G: Creative Tactics by Channel</w:t>
      </w:r>
    </w:p>
    <w:p>
      <w:pPr>
        <w:keepNext/>
        <w:spacing w:after="40" w:before="200"/>
      </w:pPr>
      <w:r>
        <w:rPr>
          <w:b/>
          <w:bCs/>
        </w:rPr>
        <w:t xml:space="preserve">Figure G1</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creative framework.</w:t>
      </w:r>
    </w:p>
    <w:p>
      <w:r>
        <w:br w:type="page"/>
      </w:r>
    </w:p>
    <w:p>
      <w:pPr>
        <w:pStyle w:val="Heading1"/>
      </w:pPr>
      <w:r>
        <w:t xml:space="preserve">Appendix H: Disclosure of AI Use</w:t>
      </w:r>
    </w:p>
    <w:p>
      <w:pPr>
        <w:spacing w:after="160" w:line="288"/>
      </w:pPr>
      <w:r>
        <w:rPr>
          <w:b/>
          <w:bCs/>
        </w:rPr>
        <w:t xml:space="preserve">Tool:</w:t>
      </w:r>
      <w:r>
        <w:t xml:space="preserve"> Claude (Anthropic), used through Claude Code in October 2026. </w:t>
      </w:r>
      <w:r>
        <w:rPr>
          <w:b/>
          <w:bCs/>
        </w:rPr>
        <w:t xml:space="preserve">Used for:</w:t>
      </w:r>
      <w:r>
        <w:t xml:space="preserve"> restructuring and editing our draft against the rubric, suggesting and applying theory, checking facts and sources, formatting APA references, and generating the diagrams in Figures 1–7 and E1–G1 from our specifications. </w:t>
      </w:r>
      <w:r>
        <w:rPr>
          <w:b/>
          <w:bCs/>
        </w:rPr>
        <w:t xml:space="preserve">Not used for:</w:t>
      </w:r>
      <w:r>
        <w:t xml:space="preserve"> the campaign mock-ups, which our group produced separately. </w:t>
      </w:r>
      <w:r>
        <w:rPr>
          <w:highlight w:val="yellow"/>
          <w:highlightCs w:val="yellow"/>
        </w:rPr>
        <w:t xml:space="preserve">[If any AI tool was used for the mock-ups, add its name and prompts here.]</w:t>
      </w:r>
      <w:r>
        <w:t xml:space="preserve"> All AI output was reviewed, edited and verified by the group, which remains responsible for the content.</w:t>
      </w:r>
    </w:p>
    <w:p>
      <w:pPr>
        <w:pStyle w:val="Heading2"/>
      </w:pPr>
      <w:r>
        <w:t xml:space="preserve">H1. Prompts Used (Verbatim)</w:t>
      </w:r>
    </w:p>
    <w:p>
      <w:pPr>
        <w:pStyle w:val="ListParagraph"/>
        <w:numPr>
          <w:ilvl w:val="0"/>
          <w:numId w:val="3"/>
        </w:numPr>
        <w:spacing w:after="100" w:line="288"/>
      </w:pPr>
      <w:r>
        <w:t xml:space="preserve">"If this is my current essay and those are the lecture slides and transcripts and this is the brief [assessment brief pasted] And this is the rubric improve my essay but keep the main ideas and strategy but basically just improve how it is written and include lots of theories and models and do not just describe the models and theories really show how they apply in this situation. Be critical. Also include visuals of the models and theories being applied. Everything needs to be in APA 7th referencing" [Attached: our draft essay and notes, the marking rubric (PDF) and the Google Trends screenshot in Appendix A.]</w:t>
      </w:r>
    </w:p>
    <w:p>
      <w:pPr>
        <w:pStyle w:val="ListParagraph"/>
        <w:numPr>
          <w:ilvl w:val="0"/>
          <w:numId w:val="3"/>
        </w:numPr>
        <w:spacing w:after="100" w:line="288"/>
      </w:pPr>
      <w:r>
        <w:t xml:space="preserve">"It can only be 3.5K +- 10% and do all the theories and models come from lecture slides/transcripts"</w:t>
      </w:r>
    </w:p>
    <w:p>
      <w:pPr>
        <w:pStyle w:val="ListParagraph"/>
        <w:numPr>
          <w:ilvl w:val="0"/>
          <w:numId w:val="3"/>
        </w:numPr>
        <w:spacing w:after="100" w:line="288"/>
      </w:pPr>
      <w:r>
        <w:t xml:space="preserve">"Sorry I forgot to commit changes in teh repository. They are committed now so you should be able to see all the slides and transcripts. Tell me if you cannot. If you can cut down to the 3.5k word limit ish and use models and theories from the lecture slides be critical and really show how it is an IMC and how they all work together to deliver a single unified message"</w:t>
      </w:r>
    </w:p>
    <w:p>
      <w:pPr>
        <w:pStyle w:val="ListParagraph"/>
        <w:numPr>
          <w:ilvl w:val="0"/>
          <w:numId w:val="3"/>
        </w:numPr>
        <w:spacing w:after="100" w:line="288"/>
      </w:pPr>
      <w:r>
        <w:t xml:space="preserve">"These are the lecture slides from which you need to choose models and theories from. Keep it to 3.5K words +-10%. Make it really critical and do not just apply the models, really show how they apply and how the IMC delivers 1 unified message across all platforms. Remember the visual application of the models and theories and needs to be APA 7th" [Attached: MKTG3112 lecture slides, Weeks 1–3 and 5–13.]</w:t>
      </w:r>
    </w:p>
    <w:p>
      <w:pPr>
        <w:pStyle w:val="ListParagraph"/>
        <w:numPr>
          <w:ilvl w:val="0"/>
          <w:numId w:val="3"/>
        </w:numPr>
        <w:spacing w:after="100" w:line="288"/>
      </w:pPr>
      <w:r>
        <w:t xml:space="preserve">"Yes tables and figures do count"</w:t>
      </w:r>
    </w:p>
    <w:p>
      <w:pPr>
        <w:pStyle w:val="ListParagraph"/>
        <w:numPr>
          <w:ilvl w:val="0"/>
          <w:numId w:val="3"/>
        </w:numPr>
        <w:spacing w:after="100" w:line="288"/>
      </w:pPr>
      <w:r>
        <w:t xml:space="preserve">"Are all the tables and figures you removed now in the appendix"</w:t>
      </w:r>
    </w:p>
    <w:p>
      <w:pPr>
        <w:pStyle w:val="ListParagraph"/>
        <w:numPr>
          <w:ilvl w:val="0"/>
          <w:numId w:val="3"/>
        </w:numPr>
        <w:spacing w:after="100" w:line="288"/>
      </w:pPr>
      <w:r>
        <w:t xml:space="preserve">"Yes put it in the appendix as tehy do not count. But still obvs make sure the main message is still in the body text"</w:t>
      </w:r>
    </w:p>
    <w:p>
      <w:pPr>
        <w:pStyle w:val="ListParagraph"/>
        <w:numPr>
          <w:ilvl w:val="0"/>
          <w:numId w:val="3"/>
        </w:numPr>
        <w:spacing w:after="100" w:line="288"/>
      </w:pPr>
      <w:r>
        <w:t xml:space="preserve">"Does that word count incldue the words in the figures"</w:t>
      </w:r>
    </w:p>
    <w:p>
      <w:pPr>
        <w:pStyle w:val="ListParagraph"/>
        <w:numPr>
          <w:ilvl w:val="0"/>
          <w:numId w:val="3"/>
        </w:numPr>
        <w:spacing w:after="100" w:line="288"/>
      </w:pPr>
      <w:r>
        <w:t xml:space="preserve">"It does count so maybe for the ones that are not as important and which are not applying models / theories move those to the appendix but keep the core idea message in the text. Also Bryant is our lecturer so do not quote him, if you use things he said find a reputable secondary source that aligns with what we said."</w:t>
      </w:r>
    </w:p>
    <w:p>
      <w:pPr>
        <w:pStyle w:val="ListParagraph"/>
        <w:numPr>
          <w:ilvl w:val="0"/>
          <w:numId w:val="3"/>
        </w:numPr>
        <w:spacing w:after="100" w:line="288"/>
      </w:pPr>
      <w:r>
        <w:t xml:space="preserve">"Ok now critically evaluate it against the rubric"</w:t>
      </w:r>
    </w:p>
    <w:p>
      <w:pPr>
        <w:pStyle w:val="ListParagraph"/>
        <w:numPr>
          <w:ilvl w:val="0"/>
          <w:numId w:val="3"/>
        </w:numPr>
        <w:spacing w:after="100" w:line="288"/>
      </w:pPr>
      <w:r>
        <w:t xml:space="preserve">"We have our own mock ups but do everything else"</w:t>
      </w:r>
    </w:p>
    <w:p>
      <w:pPr>
        <w:spacing w:after="60"/>
      </w:pPr>
    </w:p>
    <w:p>
      <w:pPr>
        <w:pStyle w:val="Heading2"/>
      </w:pPr>
      <w:r>
        <w:t xml:space="preserve">H2. Critical Reflection</w:t>
      </w:r>
    </w:p>
    <w:p>
      <w:pPr>
        <w:spacing w:after="160" w:line="288"/>
      </w:pPr>
      <w:r>
        <w:rPr>
          <w:b/>
          <w:bCs/>
        </w:rPr>
        <w:t xml:space="preserve">Strengths.</w:t>
      </w:r>
      <w:r>
        <w:t xml:space="preserve"> The tool was effective at restructuring our draft against each rubric criterion, applying theory consistently and building diagrams that show models applied to Alo rather than described. It also caught factual errors in our draft, such as the location of Alo's second store.</w:t>
      </w:r>
    </w:p>
    <w:p>
      <w:pPr>
        <w:spacing w:after="160" w:line="288"/>
      </w:pPr>
      <w:r>
        <w:rPr>
          <w:b/>
          <w:bCs/>
        </w:rPr>
        <w:t xml:space="preserve">Accuracy and referencing.</w:t>
      </w:r>
      <w:r>
        <w:t xml:space="preserve"> Early outputs cited our lecture slides directly, left placeholder references and relied on some US data. We replaced lecture citations with published sources, checked each reference, removed claims we could not verify, and flagged US evidence as such. AI output cannot be treated as a source in itself.</w:t>
      </w:r>
    </w:p>
    <w:p>
      <w:pPr>
        <w:spacing w:after="160" w:line="288"/>
      </w:pPr>
      <w:r>
        <w:rPr>
          <w:b/>
          <w:bCs/>
        </w:rPr>
        <w:t xml:space="preserve">Authenticity and creativity.</w:t>
      </w:r>
      <w:r>
        <w:t xml:space="preserve"> AI-edited prose tends towards polished, generic phrasing, and the tool converged on established frameworks. The strategy, insight, "Mat to Moment" concept and mock-ups came from our group; the tool reorganised and sharpened them rather than originating them.</w:t>
      </w:r>
    </w:p>
    <w:p>
      <w:pPr>
        <w:spacing w:after="160" w:line="288"/>
      </w:pPr>
      <w:r>
        <w:rPr>
          <w:b/>
          <w:bCs/>
        </w:rPr>
        <w:t xml:space="preserve">Audience relevance and cultural appropriateness.</w:t>
      </w:r>
      <w:r>
        <w:t xml:space="preserve"> The tool has no lived knowledge of Sydney studio culture. Local details, such as the Bondi-to-Bronte walk and our choice of lead creator, came from the group and were checked against local sources. We kept the body-image guardrails in Section 4.2 because AI-generated fitness imagery tends to idealise bodies.</w:t>
      </w:r>
    </w:p>
    <w:p>
      <w:pPr>
        <w:spacing w:after="160" w:line="288"/>
      </w:pPr>
      <w:r>
        <w:rPr>
          <w:b/>
          <w:bCs/>
        </w:rPr>
        <w:t xml:space="preserve">Brand fit.</w:t>
      </w:r>
      <w:r>
        <w:t xml:space="preserve"> Diagrams follow Alo's neutral palette, but they are explanatory visuals, not brand assets; all customer-facing materials are our own mock-ups.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aeb673a16ab82800d5971931bd7c1c85d5087.png"/><Relationship Id="rId9" Type="http://schemas.openxmlformats.org/officeDocument/2006/relationships/image" Target="media/d8c9c399f0e2f9cf2490fd8c5f4573851d743518.png"/><Relationship Id="rId10" Type="http://schemas.openxmlformats.org/officeDocument/2006/relationships/image" Target="media/7a96742d818e5fba57cb6e0223a89c34e1624f45.png"/><Relationship Id="rId11" Type="http://schemas.openxmlformats.org/officeDocument/2006/relationships/image" Target="media/97d0647f285406dc1ab2e52eea1c42856c1becfa.png"/><Relationship Id="rId12" Type="http://schemas.openxmlformats.org/officeDocument/2006/relationships/image" Target="media/4d497f5fdf89ef23dff42cfd43fe8060370a8cbb.png"/><Relationship Id="rId13" Type="http://schemas.openxmlformats.org/officeDocument/2006/relationships/image" Target="media/247893be9be15fc12f4a3291cba91f4841e25af3.png"/><Relationship Id="rId14" Type="http://schemas.openxmlformats.org/officeDocument/2006/relationships/image" Target="media/9db1a48376bf9904873f9a9dd61fbbf68831376d.png"/><Relationship Id="rId15" Type="http://schemas.openxmlformats.org/officeDocument/2006/relationships/image" Target="media/6122e472b4c8a2d796f4cda4ee950f2da8fc6e53.png"/><Relationship Id="rId16" Type="http://schemas.openxmlformats.org/officeDocument/2006/relationships/image" Target="media/aa49d250bf5e37ea8617edda0a7d42f44b60f48c.png"/><Relationship Id="rId17" Type="http://schemas.openxmlformats.org/officeDocument/2006/relationships/image" Target="media/8400321a5b1f402763dcc1205b98ca74ed8c893a.png"/><Relationship Id="rId18" Type="http://schemas.openxmlformats.org/officeDocument/2006/relationships/image" Target="media/5d332805e50cc95923ec6202bcce8c9e83d5d46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2026-10-28T23:20:07.004Z</dcterms:created>
  <dcterms:modified xsi:type="dcterms:W3CDTF">2026-10-28T23:20:07.004Z</dcterms:modified>
</cp:coreProperties>
</file>

<file path=docProps/custom.xml><?xml version="1.0" encoding="utf-8"?>
<Properties xmlns="http://schemas.openxmlformats.org/officeDocument/2006/custom-properties" xmlns:vt="http://schemas.openxmlformats.org/officeDocument/2006/docPropsVTypes"/>
</file>