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line="288"/>
      </w:pPr>
      <w:r>
        <w:t xml:space="preserve">Alo opened in Sydney in 2026 to strong curiosity that has since faded (Appendix A). Sydney women know the name but do not yet see Alo as worth its price, as a brand for them, or as easy to find. </w:t>
      </w:r>
      <w:r>
        <w:rPr>
          <w:b/>
          <w:bCs/>
        </w:rPr>
        <w:t xml:space="preserve">Mat to Moment</w:t>
      </w:r>
      <w:r>
        <w:t xml:space="preserve"> is a 12-week, A$250,000 integrated campaign for style-conscious women aged 22–34. It delivers one message, that one Alo set is made for the whole Sydney day, through every touchpoint, from Bondi Pilates studios to CBD bus shelters.</w:t>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Its owners are reportedly weighing an IPO or sale (Rydzek, 2026), so performance in new markets is under scrutiny. Alo opened at Chatswood Chase, opposite Lululemon, in May 2026 (Inside Retail, 2026), and at The Galeries in the CBD in September, with Bondi Junction planned (Concrete Playground, 2026). Beyond leggings and tops, it sells footwear, luxury handbags (Alo Atelier) and online classes (Alo Moves), with Australian leggings and bras priced at roughly A$100–200 (Concrete Playground, 2026). Its premium, fashion-led image was built on social media and celebrity visibility (Inside Retail, 2026). Brand equity depends on awareness and favourable associations (Keller, 1993), and IMC is what converts brand identity into local equity (Bryant, 2026f). In Sydney, that conversion has barely begun.</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Community model; fabric technology (Salpini, 2025b);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(Salpini, 2025b); losing share to Alo (Salpini, 2025a)</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(Chadwick, 2025a); well known (Russh,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credentials (Chadwick, 2025b)</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Activewear one of several lines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(OpenPR, 2026); Adidas reputation rising (Danziger,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Performance-led, not premium lifestyle</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Cheaper (Lanoue, 2025; Pedestrian, 2026)</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160"/>
      </w:pPr>
    </w:p>
    <w:p>
      <w:pPr>
        <w:keepNext/>
        <w:spacing w:after="40" w:before="200"/>
      </w:pPr>
      <w:r>
        <w:rPr>
          <w:b/>
          <w:bCs/>
        </w:rPr>
        <w:t xml:space="preserve">Figure 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Lorna Jane's penalty for unsupported claims (ACCC, 2021) shows that trust is fragile in this category, and that overclaiming is a risk for Alo too. Competitor weaknesses cluster around dated, functional design or mid-market focus, which leaves premium, design-led, all-day wear unclaimed (Figure 1). Fashion alone is not defensible, because P.E Nation sits nearby with local credentials. Fashion plus proven studio performance, made locally relevant, is. Under financial pressure consumers trade down (Bryant, 2026d), so cheaper brands such as Gymshark become the fallback whenever Alo's premium is not justified. Adidas's rise through community-led marketing (Danziger, 2026) confirms that community works in this category, but also that the space is crowded; Alo needs a community with a distinct purpose.</w:t>
      </w:r>
    </w:p>
    <w:p>
      <w:pPr>
        <w:pStyle w:val="Heading2"/>
      </w:pPr>
      <w:r>
        <w:t xml:space="preserve">1.3 Target Audience</w:t>
      </w:r>
    </w:p>
    <w:p>
      <w:pPr>
        <w:spacing w:after="160" w:line="288"/>
      </w:pPr>
      <w:r>
        <w:t xml:space="preserve">Of three segments (Smith, 1956),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 turns a healthy lifestyle into a visible identity (36Kr, 2026). It spans older Gen Z, who value authenticity, and younger Millennials, who value experiences and use streaming and podcasts (Bryant, 2026a), so the campaign pairs creator content with bookable experiences and audio. Social dynamics matter as well: messages aligned with a group's norms spread further by word of mouth (Bryant, 2026a), and the studio class is this segment's most visible reference group, which is where the campaign places its sources. Critically, more than half of Gen Z and Millennials have delayed major decisions because of financial pressure (Bryant, 2026a). The audience most drawn to Alo is also the most price-stretched, which is why price justification ranks first below and why value is framed as longevity rather than discount.</w:t>
      </w:r>
    </w:p>
    <w:p>
      <w:pPr>
        <w:pStyle w:val="Heading2"/>
      </w:pPr>
      <w:r>
        <w:t xml:space="preserve">1.4 Communication Challenges (Prioritised)</w:t>
      </w:r>
    </w:p>
    <w:p>
      <w:pPr>
        <w:spacing w:after="160" w:line="288"/>
      </w:pPr>
      <w:r>
        <w:t xml:space="preserve">Challenges are ranked by how directly each blocks a store visit. The first two block the feel and learn stages of Section 2; the last three explain why generic advertising would not solve them.</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 so novelty alone will not sustain the brand.</w:t>
      </w:r>
    </w:p>
    <w:p>
      <w:pPr>
        <w:pStyle w:val="ListParagraph"/>
        <w:numPr>
          <w:ilvl w:val="0"/>
          <w:numId w:val="2"/>
        </w:numPr>
        <w:spacing w:after="100" w:line="288"/>
      </w:pPr>
      <w:r>
        <w:rPr>
          <w:b/>
          <w:bCs/>
        </w:rPr>
        <w:t xml:space="preserve">Limited reach</w:t>
      </w:r>
      <w:r>
        <w:t xml:space="preserve">: two stores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(Salpini, 2025b);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spacing w:after="160" w:line="288"/>
      </w:pPr>
      <w:r>
        <w:t xml:space="preserve">The objectives follow DAGMAR (Colley, 1961). AIDA and the hierarchy of effects assume that consumers think, then feel, then do (Bryant, 2026k; Lavidge &amp; Steiner, 1961). Figure 2 shows why this campaign reverses the first two steps. Premium activewear is a high-involvement purchase worn in public, so attitude precedes information (Vaughn, 1980): until Segment A feels Alo is "for people like me", knowing a store's address is worthless. The hierarchy is a heuristic, not a law, so all four objectives are tracked simultaneously. Each objective is specific and measurable. O3 (doubling store awareness) is the most ambitious, but it is attainable because every paid asset carries the store line, and it links directly to the reach objective in Section 5. Baselines are estimates to be confirmed by the pre-campaign survey, and visits rather than sales are targeted because price and stock sit outside communication's control (Belch &amp; Belch, 2021).</w:t>
      </w:r>
    </w:p>
    <w:p>
      <w:pPr>
        <w:keepNext/>
        <w:spacing w:after="40" w:before="200"/>
      </w:pPr>
      <w:r>
        <w:rPr>
          <w:b/>
          <w:bCs/>
        </w:rPr>
        <w:t xml:space="preserve">Figure 2</w:t>
      </w:r>
    </w:p>
    <w:p>
      <w:pPr>
        <w:keepNext/>
        <w:spacing w:after="100"/>
      </w:pPr>
      <w:r>
        <w:rPr>
          <w:i/>
          <w:iCs/>
        </w:rPr>
        <w:t xml:space="preserve">Response Hierarchy Applied to the Objectives</w:t>
      </w:r>
    </w:p>
    <w:p>
      <w:pPr>
        <w:keepNext/>
        <w:spacing w:after="80"/>
        <w:jc w:val="center"/>
      </w:pPr>
      <w:r>
        <w:drawing>
          <wp:inline distT="0" distB="0" distL="0" distR="0">
            <wp:extent cx="603504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4668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(2026k),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(Bryant, 2026k) explains why Alo has not yet capitalised on this (Figure 3).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The model also highlights noise from Lululemon's far larger share of search and a crowded influencer feed, which favours repeating one idea. The model's feedback loop is built into the plan: creator comments, bookings and search interest are reviewed between bursts so the encoding can be adjusted (Section 6).</w:t>
      </w:r>
    </w:p>
    <w:p>
      <w:pPr>
        <w:keepNext/>
        <w:spacing w:after="40" w:before="200"/>
      </w:pPr>
      <w:r>
        <w:rPr>
          <w:b/>
          <w:bCs/>
        </w:rPr>
        <w:t xml:space="preserve">Figure 3</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5050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(2026k).</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Global IMC warns that efficiency for the company is not relevance for the consumer (Bryant, 2026l). Following the governance split in Bryant (2026l), Alo's identity, positioning and visual assets are standardised to protect its global prestige: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own global celebrity content keeps reaching Sydney feeds, so the local work must be distinctive enough to compete with Alo's global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Figure 4 traces its three pillars from challenge to touchpoint. The pillars divide the persuasive work; they are not three campaigns. Each carries the same line, and the shared brand codes beneath them are what make the campaign integrated rather than merely multi-channel.</w:t>
      </w:r>
    </w:p>
    <w:p>
      <w:pPr>
        <w:keepNext/>
        <w:spacing w:after="40" w:before="200"/>
      </w:pPr>
      <w:r>
        <w:rPr>
          <w:b/>
          <w:bCs/>
        </w:rPr>
        <w:t xml:space="preserve">Figure 4</w:t>
      </w:r>
    </w:p>
    <w:p>
      <w:pPr>
        <w:keepNext/>
        <w:spacing w:after="100"/>
      </w:pPr>
      <w:r>
        <w:rPr>
          <w:i/>
          <w:iCs/>
        </w:rPr>
        <w:t xml:space="preserve">Integration Architecture: 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pPr>
        <w:spacing w:after="160" w:line="288"/>
      </w:pPr>
      <w:r>
        <w:t xml:space="preserve">Under the Elaboration Likelihood Model, the persuasion route depends on motivation and ability (Bryant, 2026k; Petty et al., 1983). Segment A is motivated but meets most messages while scrolling, when ability is low (Figure 5).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are weaker and fade faster, which is why the schedule keeps an always-on base rather than relying on bursts alone.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(Bryant, 2026k), and sessions reach hundreds rather than thousands, so every session is filmed to carry its proof further. Discounting was rejected because it weakens brand equity (Bryant, 2026d).</w:t>
      </w:r>
    </w:p>
    <w:p>
      <w:pPr>
        <w:keepNext/>
        <w:spacing w:after="40" w:before="200"/>
      </w:pPr>
      <w:r>
        <w:rPr>
          <w:b/>
          <w:bCs/>
        </w:rPr>
        <w:t xml:space="preserve">Figure 5</w:t>
      </w:r>
    </w:p>
    <w:p>
      <w:pPr>
        <w:keepNext/>
        <w:spacing w:after="100"/>
      </w:pPr>
      <w:r>
        <w:rPr>
          <w:i/>
          <w:iCs/>
        </w:rPr>
        <w:t xml:space="preserve">Elaboration Likelihood Model Applied to the Pillars</w:t>
      </w:r>
    </w:p>
    <w:p>
      <w:pPr>
        <w:keepNext/>
        <w:spacing w:after="80"/>
        <w:jc w:val="center"/>
      </w:pPr>
      <w:r>
        <w:drawing>
          <wp:inline distT="0" distB="0" distL="0" distR="0">
            <wp:extent cx="603504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36004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(2026k) and Petty et al. (1983).</w:t>
      </w:r>
    </w:p>
    <w:p>
      <w:pPr>
        <w:pStyle w:val="Heading2"/>
      </w:pPr>
      <w:r>
        <w:t xml:space="preserve">3.4 Source Selection</w:t>
      </w:r>
    </w:p>
    <w:p>
      <w:pPr>
        <w:spacing w:after="160" w:line="288"/>
      </w:pPr>
      <w:r>
        <w:t xml:space="preserve">Sources are judged on credibility, attractiveness (Bryant, 2026k; Ohanian, 1990) and fit with the claim (Kamins, 1990), across the influencer tiers in Bryant (2026e) (Figure 6).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(Bryant, 2026g), so disclosure is mandatory in every brief. Virtual and AI-generated influencers were excluded, because attractiveness loses its persuasive power when audiences doubt a source is real (Bryant, 2026k).</w:t>
      </w:r>
    </w:p>
    <w:p>
      <w:pPr>
        <w:keepNext/>
        <w:spacing w:after="40" w:before="200"/>
      </w:pPr>
      <w:r>
        <w:rPr>
          <w:b/>
          <w:bCs/>
        </w:rPr>
        <w:t xml:space="preserve">Figure 6</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16954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(2026e, 2026k).</w:t>
      </w:r>
    </w:p>
    <w:p>
      <w:pPr>
        <w:pStyle w:val="Heading2"/>
      </w:pPr>
      <w:r>
        <w:t xml:space="preserve">3.5 Integration Across the Journey</w:t>
      </w:r>
    </w:p>
    <w:p>
      <w:pPr>
        <w:spacing w:after="160" w:line="288"/>
      </w:pPr>
      <w:r>
        <w:t xml:space="preserve">IMC exists because fragmented messages weaken brand equity and trust (Bryant, 2026f). Figure 7 maps the campaign onto the social consumer decision journey (Bryant, 2026k): each stage has a different job, but all six tell the same story, and advocates' #MatToMoment posts become discovery content for the next customer at no media cost. Figure 8 shows the cost of this approach. About 45% of the budget goes to creators, sessions and PR, which carry higher impact but lower control (Bryant, 2026f), Company-created touchpoints such as outdoor are controllable but persuade least. Customer-initiated and unexpected ones, such as a #MatToMoment post, a critical review or a creator controversy, persuade most but cannot be scripted. Shared brand codes, tight creator briefs and weekly social listening protect consistency. This is the campaign's central bet: an advertising-led plan would be more controllable but less believable, which is the opposite of what Challenges 1 and 5 need. Because the journey is non-linear, attribution across touchpoints will remain imperfect (Bryant, 2026d), which Section 6 acknowledges.</w:t>
      </w:r>
    </w:p>
    <w:p>
      <w:pPr>
        <w:keepNext/>
        <w:spacing w:after="40" w:before="200"/>
      </w:pPr>
      <w:r>
        <w:rPr>
          <w:b/>
          <w:bCs/>
        </w:rPr>
        <w:t xml:space="preserve">Figure 7</w:t>
      </w:r>
    </w:p>
    <w:p>
      <w:pPr>
        <w:keepNext/>
        <w:spacing w:after="100"/>
      </w:pPr>
      <w:r>
        <w:rPr>
          <w:i/>
          <w:iCs/>
        </w:rPr>
        <w:t xml:space="preserve">Social Consumer Decision Journey Applied to the Campaign</w:t>
      </w:r>
    </w:p>
    <w:p>
      <w:pPr>
        <w:keepNext/>
        <w:spacing w:after="80"/>
        <w:jc w:val="center"/>
      </w:pPr>
      <w:r>
        <w:drawing>
          <wp:inline distT="0" distB="0" distL="0" distR="0">
            <wp:extent cx="603504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18859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(2026k).</w:t>
      </w:r>
    </w:p>
    <w:p>
      <w:pPr>
        <w:keepNext/>
        <w:spacing w:after="40" w:before="200"/>
      </w:pPr>
      <w:r>
        <w:rPr>
          <w:b/>
          <w:bCs/>
        </w:rPr>
        <w:t xml:space="preserve">Figure 8</w:t>
      </w:r>
    </w:p>
    <w:p>
      <w:pPr>
        <w:keepNext/>
        <w:spacing w:after="100"/>
      </w:pPr>
      <w:r>
        <w:rPr>
          <w:i/>
          <w:iCs/>
        </w:rPr>
        <w:t xml:space="preserve">Campaign Touchpoints by Impact and Control</w:t>
      </w:r>
    </w:p>
    <w:p>
      <w:pPr>
        <w:keepNext/>
        <w:spacing w:after="80"/>
        <w:jc w:val="center"/>
      </w:pPr>
      <w:r>
        <w:drawing>
          <wp:inline distT="0" distB="0" distL="0" distR="0">
            <wp:extent cx="603504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35337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(2026f).</w:t>
      </w:r>
    </w:p>
    <w:p>
      <w:pPr>
        <w:pStyle w:val="Heading1"/>
      </w:pPr>
      <w:r>
        <w:t xml:space="preserve">4. Creative Strategy</w:t>
      </w:r>
    </w:p>
    <w:p>
      <w:pPr>
        <w:pStyle w:val="Heading2"/>
      </w:pPr>
      <w:r>
        <w:t xml:space="preserve">4.1 Creative Brief and Concept</w:t>
      </w:r>
    </w:p>
    <w:p>
      <w:pPr>
        <w:keepNext/>
        <w:spacing w:after="40" w:before="200"/>
      </w:pPr>
      <w:r>
        <w:rPr>
          <w:b/>
          <w:bCs/>
        </w:rPr>
        <w:t xml:space="preserve">Table 3</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Mandatories</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#ad disclosure, substantiated claims, sync licences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Deliverables</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Hero film, cut-downs, audio, outdoor, creator toolkits</w:t>
            </w:r>
          </w:p>
        </w:tc>
      </w:tr>
    </w:tbl>
    <w:p>
      <w:pPr>
        <w:spacing w:after="240" w:before="60"/>
      </w:pPr>
      <w:r>
        <w:rPr>
          <w:i/>
          <w:iCs/>
          <w:color w:val="5B6770"/>
          <w:sz w:val="19"/>
          <w:szCs w:val="19"/>
        </w:rPr>
        <w:t xml:space="preserve">Note. </w:t>
      </w:r>
      <w:r>
        <w:rPr>
          <w:color w:val="5B6770"/>
          <w:sz w:val="19"/>
          <w:szCs w:val="19"/>
        </w:rPr>
        <w:t xml:space="preserve">Elements from Bryant (2026h).</w:t>
      </w:r>
    </w:p>
    <w:p>
      <w:pPr>
        <w:spacing w:after="160" w:line="288"/>
      </w:pPr>
      <w:r>
        <w:rPr>
          <w:b/>
          <w:bCs/>
        </w:rPr>
        <w:t xml:space="preserve">One Set, One Day</w:t>
      </w:r>
      <w:r>
        <w:t xml:space="preserve"> follows a single Alo set through a real Sydney day.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Event marketing creates immersive experiences that strengthen brand recall (Bryant, 2026f), and the sessions add something Lululemon's run clubs do not: the community continues into the "moment" after class, which is the half of the proposition Lululemon does not own.</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(Bryant, 2026h; Smith &amp; Yang, 2004). On the divergence dimensions, it shows originality (quiet moments), synthesis (linking the reformer and the café through one garment) and flexibility (it works as film, still, audio and live session). The risk is that divergent work is remembered without the brand, so the logo, palette and "Mat to Moment" sign-off appear in every execution. The lead appeals are aspirational and social approval (Bryant, 2026h). Social approval is the riskiest choice here, because visibility drives appearance pressure (Camacho-Miñano et al., 2019), and persuasion becomes manipulation when it exploits vulnerability (Bryant, 2026g). Executions therefore show diverse bodies and use no retouching. A rational appeal reframes price as cost per wear, reflecting that value now means longevity (Bryant, 2026d). Slice-of-life storytelling carries the emotion, and demonstration carries the proof. Together they meet the execution criteria in Bryant (2026h) of message clarity, storytelling, brand integration and credibility, so neither appeal has to work alone.</w:t>
      </w:r>
    </w:p>
    <w:p>
      <w:pPr>
        <w:pStyle w:val="Heading2"/>
      </w:pPr>
      <w:r>
        <w:t xml:space="preserve">4.3 One Idea Across Every Channel</w:t>
      </w:r>
    </w:p>
    <w:p>
      <w:pPr>
        <w:spacing w:after="160" w:line="288"/>
      </w:pPr>
      <w:r>
        <w:t xml:space="preserve">The Burberry case shows that strong campaigns use many tactics in service of one idea (Bryant, 2026h). In Figure 9, each channel adapts the hook and call to action to suit its medium, but all share one story and one sign-off, which gives consistent meaning without identical executions (Bryant, 2026d). Because IMC builds recall through repetition and consistency (Bryant, 2026f), a viewer who hears the audio, passes a bus shelter and then sees a creator's post meets one idea three times, not three different ideas once. Weaker formats compress the idea rather than abandon it: outdoor shows three moments in a single frame, and audio replaces visuals with spoken timestamps, the sounds of waves and a coffee machine, and a sonic sign-off. Claims must also meet section 18 of the Australian Consumer Law, a risk Lorna Jane's A$5 million penalty illustrates (ACCC, 2021). Creator posts carry #ad labels, emails need Spam Act consent, and the music needs sync licences (Bryant, 2026g).</w:t>
      </w:r>
    </w:p>
    <w:p>
      <w:pPr>
        <w:keepNext/>
        <w:spacing w:after="40" w:before="200"/>
      </w:pPr>
      <w:r>
        <w:rPr>
          <w:b/>
          <w:bCs/>
        </w:rPr>
        <w:t xml:space="preserve">Figure 9</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(2026h).</w:t>
      </w:r>
    </w:p>
    <w:p>
      <w:pPr>
        <w:pStyle w:val="Heading1"/>
      </w:pPr>
      <w:r>
        <w:t xml:space="preserve">5. Media Strategy and Budget</w:t>
      </w:r>
    </w:p>
    <w:p>
      <w:pPr>
        <w:spacing w:after="160" w:line="288"/>
      </w:pPr>
      <w:r>
        <w:t xml:space="preserve">Media planning balances reach for awareness against frequency for persuasion (Bryant, 2026i),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If Bondi Junction opens late, its weight moves to the CBD. Outdoor has low selectivity (Bryant, 2026e), so it carries only the store line, near the stores. Spotify suits Millennial listening (Bryant, 2026a) but cannot show the set, so it uses sound cues, and retargeting follows anyone exposed (Bryant, 2026c). PR must pass the publicity test (Bryant, 2026j). A branded class fails it, so the hook is a free Bondi-to-Bronte walk series. Sessions also act as a free trial, which reduces purchase risk without a price cut (Bryant, 2026j). Booking and store emails are personalised direct marketing that converts interest into visits, so they are sent only with recorded consent (Bryant, 2026e, 2026g).</w:t>
      </w:r>
    </w:p>
    <w:p>
      <w:pPr>
        <w:keepNext/>
        <w:spacing w:after="40" w:before="200"/>
      </w:pPr>
      <w:r>
        <w:rPr>
          <w:b/>
          <w:bCs/>
        </w:rPr>
        <w:t xml:space="preserve">Table 4</w:t>
      </w:r>
    </w:p>
    <w:p>
      <w:pPr>
        <w:keepNext/>
        <w:spacing w:after="100"/>
      </w:pPr>
      <w:r>
        <w:rPr>
          <w:i/>
          <w:iCs/>
        </w:rPr>
        <w:t xml:space="preserve">Media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313"/>
        <w:gridCol w:w="1542"/>
        <w:gridCol w:w="2892"/>
      </w:tblGrid>
      <w:tr>
        <w:trPr>
          <w:tblHeader/>
        </w:trPr>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89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Role</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near stores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store cue</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retargeting</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PR</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Trial, credibility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Owned social, emails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Conversion</w:t>
            </w:r>
          </w:p>
        </w:tc>
      </w:tr>
    </w:tbl>
    <w:p>
      <w:pPr>
        <w:spacing w:after="160"/>
      </w:pPr>
    </w:p>
    <w:p>
      <w:pPr>
        <w:spacing w:after="160" w:line="288"/>
      </w:pPr>
      <w:r>
        <w:t xml:space="preserve">Interest decays after each novelty spike (Appendix A), so scheduling uses </w:t>
      </w:r>
      <w:r>
        <w:rPr>
          <w:b/>
          <w:bCs/>
        </w:rPr>
        <w:t xml:space="preserve">pulsing</w:t>
      </w:r>
      <w:r>
        <w:t xml:space="preserve">: an always-on base with three bursts (Bryant, 2026i; Figure 10). Burst 1 (weeks 1–3) builds awareness, Burst 2 (weeks 6–8) builds consideration in February, when many people resume fitness routines, and Burst 3 (weeks 11–12) drives visits and advocacy. Flighting would leave gaps in which interest decays, and full continuous weight is unaffordable.</w:t>
      </w:r>
    </w:p>
    <w:p>
      <w:pPr>
        <w:keepNext/>
        <w:spacing w:after="40" w:before="200"/>
      </w:pPr>
      <w:r>
        <w:rPr>
          <w:b/>
          <w:bCs/>
        </w:rPr>
        <w:t xml:space="preserve">Figure 10</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(2026i).</w:t>
      </w:r>
    </w:p>
    <w:p>
      <w:pPr>
        <w:spacing w:after="160" w:line="288"/>
      </w:pPr>
      <w:r>
        <w:t xml:space="preserve">The budget uses the objective-and-task method (Belch &amp; Belch, 2021). Partnerships receive 42% because they span paid, owned and earned media (Bryant, 2026c): a creator partnership is paid, its content is reused on Alo's owned channels, and audiences share it as earned media. Discounting and celebrity fees are excluded because both would weaken Alo's premium, local position. The weakness is that only 40% buys traditional reach, so if Burst 1 misses its reach target, the contingency moves into paid social. Figures are planning estimates to be confirmed with media quotes and creator rate cards, and the 5% contingency also covers rate rises and a delayed Bondi Junction opening.</w:t>
      </w:r>
    </w:p>
    <w:p>
      <w:pPr>
        <w:keepNext/>
        <w:spacing w:after="40" w:before="200"/>
      </w:pPr>
      <w:r>
        <w:rPr>
          <w:b/>
          <w:bCs/>
        </w:rPr>
        <w:t xml:space="preserve">Table 5</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Subtotal</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Research (pre/post surveys)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Contingency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160"/>
      </w:pPr>
    </w:p>
    <w:p>
      <w:pPr>
        <w:pStyle w:val="Heading1"/>
      </w:pPr>
      <w:r>
        <w:t xml:space="preserve">6. Campaign Evaluation</w:t>
      </w:r>
    </w:p>
    <w:p>
      <w:pPr>
        <w:spacing w:after="160" w:line="288"/>
      </w:pPr>
      <w:r>
        <w:t xml:space="preserve">Effectiveness means achieving the intended outcomes, not likes (Bryant, 2026b). Pre-testing in December 2026 uses concept tests, A/B comparisons of edits and the baseline survey to check comprehension, brand attribution, relevance and the call to action (Bryant, 2026b). Because test viewers are made to watch, results are used to choose between executions rather than forecast outcomes. In-flight digital metrics guide reallocation between bursts (Bryant, 2026c), Creators are judged on audience fit, credibility, brand lift and tracked action, not followers (Bryant, 2026b). Each measure in Table 6 maps to one objective, so the evaluation tests the same feel → learn → do logic that built the campaign. Post-testing in April 2027 repeats the survey, uses social listening, checks self-reported visits against store traffic and web analytics, and compares results with a Melbourne control sample. Because correlation is not causation, results will be reported as indicative rather than proven (Bryant, 2026b). AI tools can speed up this analysis, but their outputs still need human judgement. Unexpected audiences, such as older shoppers responding to outdoor, will be reported as learning rather than noise.</w:t>
      </w:r>
    </w:p>
    <w:p>
      <w:pPr>
        <w:keepNext/>
        <w:spacing w:after="40" w:before="200"/>
      </w:pPr>
      <w:r>
        <w:rPr>
          <w:b/>
          <w:bCs/>
        </w:rPr>
        <w:t xml:space="preserve">Table 6</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 ≥25%</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pStyle w:val="Heading1"/>
      </w:pPr>
      <w:r>
        <w:t xml:space="preserve">7. Conclusion</w:t>
      </w:r>
    </w:p>
    <w:p>
      <w:pPr>
        <w:spacing w:after="160" w:line="288"/>
      </w:pPr>
      <w:r>
        <w:t xml:space="preserve">Alo arrived in Sydney with a famous name but little local meaning. Every pillar, source, channel and burst in this brief answers a diagnosed challenge, with one message adapted to every channel but never changed: one set, made for the whole Sydney day.</w:t>
      </w:r>
    </w:p>
    <w:p>
      <w:r>
        <w:br w:type="page"/>
      </w:r>
    </w:p>
    <w:p>
      <w:pPr>
        <w:pStyle w:val="Heading1"/>
      </w:pPr>
      <w:r>
        <w:t xml:space="preserve">References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Bryant, P. (2026a). </w:t>
      </w:r>
      <w:r>
        <w:rPr>
          <w:i/>
          <w:iCs/>
          <w:sz w:val="21"/>
          <w:szCs w:val="21"/>
        </w:rPr>
        <w:t xml:space="preserve">The audience: Consumers and marketing communications</w:t>
      </w:r>
      <w:r>
        <w:rPr>
          <w:sz w:val="21"/>
          <w:szCs w:val="21"/>
        </w:rPr>
        <w:t xml:space="preserve"> [Lecture slides, Week 2]. MKTG3112 Marketing Communications, The University of Sydney.</w:t>
      </w:r>
    </w:p>
    <w:p>
      <w:pPr>
        <w:spacing w:after="120" w:line="276"/>
        <w:ind w:left="720" w:hanging="720"/>
      </w:pPr>
      <w:r>
        <w:rPr>
          <w:sz w:val="21"/>
          <w:szCs w:val="21"/>
        </w:rPr>
        <w:t xml:space="preserve">Bryant, P. (2026b). </w:t>
      </w:r>
      <w:r>
        <w:rPr>
          <w:i/>
          <w:iCs/>
          <w:sz w:val="21"/>
          <w:szCs w:val="21"/>
        </w:rPr>
        <w:t xml:space="preserve">Did it work? Measuring the effectiveness of the campaign</w:t>
      </w:r>
      <w:r>
        <w:rPr>
          <w:sz w:val="21"/>
          <w:szCs w:val="21"/>
        </w:rPr>
        <w:t xml:space="preserve"> [Lecture slides, Week 10]. MKTG3112 Marketing Communications, The University of Sydney.</w:t>
      </w:r>
    </w:p>
    <w:p>
      <w:pPr>
        <w:spacing w:after="120" w:line="276"/>
        <w:ind w:left="720" w:hanging="720"/>
      </w:pPr>
      <w:r>
        <w:rPr>
          <w:sz w:val="21"/>
          <w:szCs w:val="21"/>
        </w:rPr>
        <w:t xml:space="preserve">Bryant, P. (2026c). </w:t>
      </w:r>
      <w:r>
        <w:rPr>
          <w:i/>
          <w:iCs/>
          <w:sz w:val="21"/>
          <w:szCs w:val="21"/>
        </w:rPr>
        <w:t xml:space="preserve">Digital media</w:t>
      </w:r>
      <w:r>
        <w:rPr>
          <w:sz w:val="21"/>
          <w:szCs w:val="21"/>
        </w:rPr>
        <w:t xml:space="preserve"> [Lecture slides, Week 8]. MKTG3112 Marketing Communications, The University of Sydney.</w:t>
      </w:r>
    </w:p>
    <w:p>
      <w:pPr>
        <w:spacing w:after="120" w:line="276"/>
        <w:ind w:left="720" w:hanging="720"/>
      </w:pPr>
      <w:r>
        <w:rPr>
          <w:sz w:val="21"/>
          <w:szCs w:val="21"/>
        </w:rPr>
        <w:t xml:space="preserve">Bryant, P. (2026d). </w:t>
      </w:r>
      <w:r>
        <w:rPr>
          <w:i/>
          <w:iCs/>
          <w:sz w:val="21"/>
          <w:szCs w:val="21"/>
        </w:rPr>
        <w:t xml:space="preserve">The future of IMC in a polycrisis world</w:t>
      </w:r>
      <w:r>
        <w:rPr>
          <w:sz w:val="21"/>
          <w:szCs w:val="21"/>
        </w:rPr>
        <w:t xml:space="preserve"> [Lecture slides, Week 13]. MKTG3112 Marketing Communications, The University of Sydney.</w:t>
      </w:r>
    </w:p>
    <w:p>
      <w:pPr>
        <w:spacing w:after="120" w:line="276"/>
        <w:ind w:left="720" w:hanging="720"/>
      </w:pPr>
      <w:r>
        <w:rPr>
          <w:sz w:val="21"/>
          <w:szCs w:val="21"/>
        </w:rPr>
        <w:t xml:space="preserve">Bryant, P. (2026e). </w:t>
      </w:r>
      <w:r>
        <w:rPr>
          <w:i/>
          <w:iCs/>
          <w:sz w:val="21"/>
          <w:szCs w:val="21"/>
        </w:rPr>
        <w:t xml:space="preserve">IMC tools II: Support media, direct marketing and influencer marketing</w:t>
      </w:r>
      <w:r>
        <w:rPr>
          <w:sz w:val="21"/>
          <w:szCs w:val="21"/>
        </w:rPr>
        <w:t xml:space="preserve"> [Lecture slides, Week 7]. MKTG3112 Marketing Communications, The University of Sydney.</w:t>
      </w:r>
    </w:p>
    <w:p>
      <w:pPr>
        <w:spacing w:after="120" w:line="276"/>
        <w:ind w:left="720" w:hanging="720"/>
      </w:pPr>
      <w:r>
        <w:rPr>
          <w:sz w:val="21"/>
          <w:szCs w:val="21"/>
        </w:rPr>
        <w:t xml:space="preserve">Bryant, P. (2026f). </w:t>
      </w:r>
      <w:r>
        <w:rPr>
          <w:i/>
          <w:iCs/>
          <w:sz w:val="21"/>
          <w:szCs w:val="21"/>
        </w:rPr>
        <w:t xml:space="preserve">Introduction to marketing communications: Message, story and strategy</w:t>
      </w:r>
      <w:r>
        <w:rPr>
          <w:sz w:val="21"/>
          <w:szCs w:val="21"/>
        </w:rPr>
        <w:t xml:space="preserve"> [Lecture slides, Week 1]. MKTG3112 Marketing Communications, The University of Sydney.</w:t>
      </w:r>
    </w:p>
    <w:p>
      <w:pPr>
        <w:spacing w:after="120" w:line="276"/>
        <w:ind w:left="720" w:hanging="720"/>
      </w:pPr>
      <w:r>
        <w:rPr>
          <w:sz w:val="21"/>
          <w:szCs w:val="21"/>
        </w:rPr>
        <w:t xml:space="preserve">Bryant, P. (2026g). </w:t>
      </w:r>
      <w:r>
        <w:rPr>
          <w:i/>
          <w:iCs/>
          <w:sz w:val="21"/>
          <w:szCs w:val="21"/>
        </w:rPr>
        <w:t xml:space="preserve">Legal, ethical and misleading: IMC and the law</w:t>
      </w:r>
      <w:r>
        <w:rPr>
          <w:sz w:val="21"/>
          <w:szCs w:val="21"/>
        </w:rPr>
        <w:t xml:space="preserve"> [Lecture slides, Week 11]. MKTG3112 Marketing Communications, The University of Sydney.</w:t>
      </w:r>
    </w:p>
    <w:p>
      <w:pPr>
        <w:spacing w:after="120" w:line="276"/>
        <w:ind w:left="720" w:hanging="720"/>
      </w:pPr>
      <w:r>
        <w:rPr>
          <w:sz w:val="21"/>
          <w:szCs w:val="21"/>
        </w:rPr>
        <w:t xml:space="preserve">Bryant, P. (2026h). </w:t>
      </w:r>
      <w:r>
        <w:rPr>
          <w:i/>
          <w:iCs/>
          <w:sz w:val="21"/>
          <w:szCs w:val="21"/>
        </w:rPr>
        <w:t xml:space="preserve">Making a plan 2: The creative brief and creative strategy implementation and development</w:t>
      </w:r>
      <w:r>
        <w:rPr>
          <w:sz w:val="21"/>
          <w:szCs w:val="21"/>
        </w:rPr>
        <w:t xml:space="preserve"> [Lecture slides, Week 5]. MKTG3112 Marketing Communications, The University of Sydney.</w:t>
      </w:r>
    </w:p>
    <w:p>
      <w:pPr>
        <w:spacing w:after="120" w:line="276"/>
        <w:ind w:left="720" w:hanging="720"/>
      </w:pPr>
      <w:r>
        <w:rPr>
          <w:sz w:val="21"/>
          <w:szCs w:val="21"/>
        </w:rPr>
        <w:t xml:space="preserve">Bryant, P. (2026i). </w:t>
      </w:r>
      <w:r>
        <w:rPr>
          <w:i/>
          <w:iCs/>
          <w:sz w:val="21"/>
          <w:szCs w:val="21"/>
        </w:rPr>
        <w:t xml:space="preserve">Media strategy and IMC tools I: Traditional media planning</w:t>
      </w:r>
      <w:r>
        <w:rPr>
          <w:sz w:val="21"/>
          <w:szCs w:val="21"/>
        </w:rPr>
        <w:t xml:space="preserve"> [Lecture slides, Week 6]. MKTG3112 Marketing Communications, The University of Sydney.</w:t>
      </w:r>
    </w:p>
    <w:p>
      <w:pPr>
        <w:spacing w:after="120" w:line="276"/>
        <w:ind w:left="720" w:hanging="720"/>
      </w:pPr>
      <w:r>
        <w:rPr>
          <w:sz w:val="21"/>
          <w:szCs w:val="21"/>
        </w:rPr>
        <w:t xml:space="preserve">Bryant, P. (2026j). </w:t>
      </w:r>
      <w:r>
        <w:rPr>
          <w:i/>
          <w:iCs/>
          <w:sz w:val="21"/>
          <w:szCs w:val="21"/>
        </w:rPr>
        <w:t xml:space="preserve">Media strategy and IMC tools IV: The personal touch of sales promotion, public relations and publicity</w:t>
      </w:r>
      <w:r>
        <w:rPr>
          <w:sz w:val="21"/>
          <w:szCs w:val="21"/>
        </w:rPr>
        <w:t xml:space="preserve"> [Lecture slides, Week 9]. MKTG3112 Marketing Communications, The University of Sydney.</w:t>
      </w:r>
    </w:p>
    <w:p>
      <w:pPr>
        <w:spacing w:after="120" w:line="276"/>
        <w:ind w:left="720" w:hanging="720"/>
      </w:pPr>
      <w:r>
        <w:rPr>
          <w:sz w:val="21"/>
          <w:szCs w:val="21"/>
        </w:rPr>
        <w:t xml:space="preserve">Bryant, P. (2026k). </w:t>
      </w:r>
      <w:r>
        <w:rPr>
          <w:i/>
          <w:iCs/>
          <w:sz w:val="21"/>
          <w:szCs w:val="21"/>
        </w:rPr>
        <w:t xml:space="preserve">Talking about a…: The communication process</w:t>
      </w:r>
      <w:r>
        <w:rPr>
          <w:sz w:val="21"/>
          <w:szCs w:val="21"/>
        </w:rPr>
        <w:t xml:space="preserve"> [Lecture slides, Week 3]. MKTG3112 Marketing Communications, The University of Sydney.</w:t>
      </w:r>
    </w:p>
    <w:p>
      <w:pPr>
        <w:spacing w:after="120" w:line="276"/>
        <w:ind w:left="720" w:hanging="720"/>
      </w:pPr>
      <w:r>
        <w:rPr>
          <w:sz w:val="21"/>
          <w:szCs w:val="21"/>
        </w:rPr>
        <w:t xml:space="preserve">Bryant, P. (2026l). </w:t>
      </w:r>
      <w:r>
        <w:rPr>
          <w:i/>
          <w:iCs/>
          <w:sz w:val="21"/>
          <w:szCs w:val="21"/>
        </w:rPr>
        <w:t xml:space="preserve">Top of the world: Global IMC strategy</w:t>
      </w:r>
      <w:r>
        <w:rPr>
          <w:sz w:val="21"/>
          <w:szCs w:val="21"/>
        </w:rPr>
        <w:t xml:space="preserve"> [Lecture slides, Week 12]. MKTG3112 Marketing Communications, The University of Sydney.</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(2025a). Lorna Jane's profit doubles thanks to strong demand for athletic clothing. </w:t>
      </w:r>
      <w:r>
        <w:rPr>
          <w:i/>
          <w:iCs/>
          <w:sz w:val="21"/>
          <w:szCs w:val="21"/>
        </w:rPr>
        <w:t xml:space="preserve">Inside Retail</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(2025b). </w:t>
      </w:r>
      <w:r>
        <w:rPr>
          <w:sz w:val="21"/>
          <w:szCs w:val="21"/>
          <w:highlight w:val="yellow"/>
          <w:highlightCs w:val="yellow"/>
        </w:rPr>
        <w:t xml:space="preserve">[Article title]</w:t>
      </w:r>
      <w:r>
        <w:rPr>
          <w:sz w:val="21"/>
          <w:szCs w:val="21"/>
        </w:rPr>
        <w:t xml:space="preserve">. </w:t>
      </w:r>
      <w:r>
        <w:rPr>
          <w:i/>
          <w:iCs/>
          <w:sz w:val="21"/>
          <w:szCs w:val="21"/>
          <w:highlight w:val="yellow"/>
          <w:highlightCs w:val="yellow"/>
        </w:rPr>
        <w:t xml:space="preserve">[Publication]</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Danziger, P. N. (2026). </w:t>
      </w:r>
      <w:r>
        <w:rPr>
          <w:sz w:val="21"/>
          <w:szCs w:val="21"/>
          <w:highlight w:val="yellow"/>
          <w:highlightCs w:val="yellow"/>
        </w:rPr>
        <w:t xml:space="preserve">[Article title]</w:t>
      </w:r>
      <w:r>
        <w:rPr>
          <w:sz w:val="21"/>
          <w:szCs w:val="21"/>
        </w:rPr>
        <w:t xml:space="preserve">. </w:t>
      </w:r>
      <w:r>
        <w:rPr>
          <w:i/>
          <w:iCs/>
          <w:sz w:val="21"/>
          <w:szCs w:val="21"/>
        </w:rPr>
        <w:t xml:space="preserve">Forbes</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Lanoue, S. (2025, December 6). </w:t>
      </w:r>
      <w:r>
        <w:rPr>
          <w:sz w:val="21"/>
          <w:szCs w:val="21"/>
          <w:highlight w:val="yellow"/>
          <w:highlightCs w:val="yellow"/>
        </w:rPr>
        <w:t xml:space="preserve">[Article title]</w:t>
      </w:r>
      <w:r>
        <w:rPr>
          <w:sz w:val="21"/>
          <w:szCs w:val="21"/>
        </w:rPr>
        <w:t xml:space="preserve">. </w:t>
      </w:r>
      <w:r>
        <w:rPr>
          <w:i/>
          <w:iCs/>
          <w:sz w:val="21"/>
          <w:szCs w:val="21"/>
        </w:rPr>
        <w:t xml:space="preserve">Apart Style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OpenPR. (2026). </w:t>
      </w:r>
      <w:r>
        <w:rPr>
          <w:sz w:val="21"/>
          <w:szCs w:val="21"/>
          <w:highlight w:val="yellow"/>
          <w:highlightCs w:val="yellow"/>
        </w:rPr>
        <w:t xml:space="preserve">[Article title]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Pedestrian. (2026). </w:t>
      </w:r>
      <w:r>
        <w:rPr>
          <w:sz w:val="21"/>
          <w:szCs w:val="21"/>
          <w:highlight w:val="yellow"/>
          <w:highlightCs w:val="yellow"/>
        </w:rPr>
        <w:t xml:space="preserve">[Article title]</w:t>
      </w:r>
      <w:r>
        <w:rPr>
          <w:sz w:val="21"/>
          <w:szCs w:val="21"/>
        </w:rPr>
        <w:t xml:space="preserve">. </w:t>
      </w:r>
      <w:r>
        <w:rPr>
          <w:i/>
          <w:iCs/>
          <w:sz w:val="21"/>
          <w:szCs w:val="21"/>
        </w:rPr>
        <w:t xml:space="preserve">Pedestrian.TV</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Russh. (2026). </w:t>
      </w:r>
      <w:r>
        <w:rPr>
          <w:sz w:val="21"/>
          <w:szCs w:val="21"/>
          <w:highlight w:val="yellow"/>
          <w:highlightCs w:val="yellow"/>
        </w:rPr>
        <w:t xml:space="preserve">[Article title]</w:t>
      </w:r>
      <w:r>
        <w:rPr>
          <w:sz w:val="21"/>
          <w:szCs w:val="21"/>
        </w:rPr>
        <w:t xml:space="preserve">. </w:t>
      </w:r>
      <w:r>
        <w:rPr>
          <w:i/>
          <w:iCs/>
          <w:sz w:val="21"/>
          <w:szCs w:val="21"/>
        </w:rPr>
        <w:t xml:space="preserve">Russh</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Rydzek, </w:t>
      </w:r>
      <w:r>
        <w:rPr>
          <w:sz w:val="21"/>
          <w:szCs w:val="21"/>
          <w:highlight w:val="yellow"/>
          <w:highlightCs w:val="yellow"/>
        </w:rPr>
        <w:t xml:space="preserve">[Initial]</w:t>
      </w:r>
      <w:r>
        <w:rPr>
          <w:sz w:val="21"/>
          <w:szCs w:val="21"/>
        </w:rPr>
        <w:t xml:space="preserve">. (2026, June). Alo Yoga owners eye IPO or sale after offloading wholesale T-shirt business. </w:t>
      </w:r>
      <w:r>
        <w:rPr>
          <w:i/>
          <w:iCs/>
          <w:sz w:val="21"/>
          <w:szCs w:val="21"/>
          <w:highlight w:val="yellow"/>
          <w:highlightCs w:val="yellow"/>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(2025a).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Salpini, C. (2025b).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36Kr. (2026). </w:t>
      </w:r>
      <w:r>
        <w:rPr>
          <w:sz w:val="21"/>
          <w:szCs w:val="21"/>
          <w:highlight w:val="yellow"/>
          <w:highlightCs w:val="yellow"/>
        </w:rPr>
        <w:t xml:space="preserve">[Article title]</w:t>
      </w:r>
      <w:r>
        <w:rPr>
          <w:sz w:val="21"/>
          <w:szCs w:val="21"/>
        </w:rPr>
        <w:t xml:space="preserve">. </w:t>
      </w:r>
      <w:r>
        <w:rPr>
          <w:i/>
          <w:iCs/>
          <w:sz w:val="21"/>
          <w:szCs w:val="21"/>
        </w:rPr>
        <w:t xml:space="preserve">36Kr</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a49d250bf5e37ea8617edda0a7d42f44b60f48c.png"/><Relationship Id="rId9" Type="http://schemas.openxmlformats.org/officeDocument/2006/relationships/image" Target="media/b9e24170045a114b5f6ae9b9f510f07f7138d613.png"/><Relationship Id="rId10" Type="http://schemas.openxmlformats.org/officeDocument/2006/relationships/image" Target="media/251cf7cf691502cade827197777420f5e30e5edb.png"/><Relationship Id="rId11" Type="http://schemas.openxmlformats.org/officeDocument/2006/relationships/image" Target="media/8400321a5b1f402763dcc1205b98ca74ed8c893a.png"/><Relationship Id="rId12" Type="http://schemas.openxmlformats.org/officeDocument/2006/relationships/image" Target="media/32113ec9e20c0b59f4691e961d1b66aa732a9a51.png"/><Relationship Id="rId13" Type="http://schemas.openxmlformats.org/officeDocument/2006/relationships/image" Target="media/c922961b636046e7b5f4fc7277013986773dc119.png"/><Relationship Id="rId14" Type="http://schemas.openxmlformats.org/officeDocument/2006/relationships/image" Target="media/bf173d681432b9138363e20922b83ff472f3d283.png"/><Relationship Id="rId15" Type="http://schemas.openxmlformats.org/officeDocument/2006/relationships/image" Target="media/5c43a8448e43bca6e7d45d9eba06824600bd3d9a.png"/><Relationship Id="rId16" Type="http://schemas.openxmlformats.org/officeDocument/2006/relationships/image" Target="media/5d332805e50cc95923ec6202bcce8c9e83d5d468.png"/><Relationship Id="rId17" Type="http://schemas.openxmlformats.org/officeDocument/2006/relationships/image" Target="media/3aabf33ea7383cb661ff63649044764cde63b3b7.png"/><Relationship Id="rId18" Type="http://schemas.openxmlformats.org/officeDocument/2006/relationships/image" Target="media/6122e472b4c8a2d796f4cda4ee950f2da8fc6e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2026-10-28T22:46:45.291Z</dcterms:created>
  <dcterms:modified xsi:type="dcterms:W3CDTF">2026-10-28T22:46:45.295Z</dcterms:modified>
</cp:coreProperties>
</file>

<file path=docProps/custom.xml><?xml version="1.0" encoding="utf-8"?>
<Properties xmlns="http://schemas.openxmlformats.org/officeDocument/2006/custom-properties" xmlns:vt="http://schemas.openxmlformats.org/officeDocument/2006/docPropsVTypes"/>
</file>