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4.3.0.0 -->
  <w:body>
    <w:p>
      <w:pPr>
        <w:pStyle w:val="likeheader"/>
        <w:bidi w:val="0"/>
        <w:jc w:val="right"/>
      </w:pPr>
      <w:r>
        <w:rPr>
          <w:rStyle w:val="DefaultParagraphFont"/>
          <w:sz w:val="16"/>
          <w:szCs w:val="16"/>
          <w:bdr w:val="nil"/>
          <w:rtl w:val="0"/>
        </w:rPr>
        <w:t xml:space="preserve">OMB No. 0925-0001 and 0925-0002 (Rev. 10/2021 Approved Through 09/30/2024) </w:t>
      </w:r>
      <w:r>
        <w:pict>
          <v:rect id="_x0000_i1025" style="height:0.75pt;width:6in" o:hrpct="1000" o:hralign="center" o:hrstd="t" o:hr="t" filled="t" fillcolor="gray" stroked="f">
            <v:path strokeok="f"/>
          </v:rect>
        </w:pict>
      </w:r>
    </w:p>
    <w:p>
      <w:pPr>
        <w:pStyle w:val="h3center"/>
        <w:bidi w:val="0"/>
        <w:spacing w:before="220" w:beforeAutospacing="0" w:after="30" w:afterAutospacing="0"/>
        <w:jc w:val="center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BIOGRAPHICAL SKETCH</w:t>
      </w:r>
    </w:p>
    <w:p>
      <w:pPr>
        <w:bidi w:val="0"/>
        <w:jc w:val="center"/>
      </w:pPr>
      <w:r>
        <w:rPr>
          <w:rStyle w:val="DefaultParagraphFont"/>
          <w:sz w:val="16"/>
          <w:szCs w:val="16"/>
          <w:bdr w:val="nil"/>
          <w:rtl w:val="0"/>
        </w:rPr>
        <w:t>Provide the following information for the Senior/key personnel and other significant contributors.</w:t>
      </w:r>
    </w:p>
    <w:p>
      <w:pPr>
        <w:bidi w:val="0"/>
        <w:spacing w:after="75"/>
        <w:jc w:val="center"/>
      </w:pPr>
      <w:r>
        <w:rPr>
          <w:rStyle w:val="DefaultParagraphFont"/>
          <w:sz w:val="16"/>
          <w:szCs w:val="16"/>
          <w:bdr w:val="nil"/>
          <w:rtl w:val="0"/>
        </w:rPr>
        <w:t>Follow this format for each person. DO NOT EXCEED FIVE PAGES.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5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30" w:type="dxa"/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NAME: Desmarais, John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eRA COMMONS USER NAME (credential, e.g., agency login): jdesmarais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POSITION TITLE: Computational Postdoctoral Fellow</w:t>
            </w:r>
          </w:p>
        </w:tc>
      </w:tr>
    </w:tbl>
    <w:p>
      <w:pPr>
        <w:pStyle w:val="sectionEducationsectionHeader"/>
        <w:pBdr>
          <w:top w:val="nil"/>
          <w:left w:val="nil"/>
          <w:bottom w:val="nil"/>
          <w:right w:val="nil"/>
        </w:pBdr>
        <w:bidi w:val="0"/>
      </w:pPr>
      <w:r>
        <w:rPr>
          <w:rStyle w:val="DefaultParagraphFont"/>
          <w:sz w:val="22"/>
          <w:szCs w:val="22"/>
          <w:bdr w:val="nil"/>
          <w:rtl w:val="0"/>
        </w:rPr>
        <w:t xml:space="preserve">EDUCATION/TRAINING </w:t>
      </w:r>
      <w:r>
        <w:rPr>
          <w:rStyle w:val="DefaultParagraphFont"/>
          <w:i/>
          <w:iCs/>
          <w:sz w:val="22"/>
          <w:szCs w:val="22"/>
          <w:bdr w:val="nil"/>
          <w:rtl w:val="0"/>
        </w:rPr>
        <w:t xml:space="preserve">(Begin with baccalaureate or other initial professional education, such as nursing, include postdoctoral training and residency training if applicable. Add/delete rows as necessary.) 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6"/>
        <w:gridCol w:w="1283"/>
        <w:gridCol w:w="1075"/>
        <w:gridCol w:w="1515"/>
        <w:gridCol w:w="1707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INSTITUTION AND LOCATION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DEGREE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(if applicable)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START DATE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MM/YYYY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COMPLETION DATE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MM/YYYY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FIELD OF STUDY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Middlebury College, Molecular Biology and Biochemistry, Middlebury, VT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B.A.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09/2012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05/2016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Molecular Biology and Biochemistry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University of California Berkeley, Molecular and Cell Biology, Berkeley, CA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PHD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08/2016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08/2022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Molecular and Cell Biology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University of California, Berkeley, Berkeley, CA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10/2022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12/2022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 in the Savage lab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Cold Spring Harbor Laboratory, Cold Spring Harbor, NY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01/2023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present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Computational Postdoctoral Fellow in the Kinney Lab</w:t>
            </w:r>
          </w:p>
        </w:tc>
      </w:tr>
    </w:tbl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A. Personal Statement</w:t>
      </w:r>
    </w:p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B. Positions and Honors</w:t>
      </w:r>
    </w:p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Positions and Scientific Appointments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065"/>
      </w:tblGrid>
      <w:tr>
        <w:tblPrEx>
          <w:tblW w:w="5000" w:type="pct"/>
          <w:tblInd w:w="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2023 -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Computational Postdoctoral Fellow, Cold Spring Harbor Laboratory, Kinney Lab, Cold Spring Harbor, NY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2022 - 2022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Fellow, University of California, Berkeley, Savage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2017 - 2019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Graduate student instructor, University of California, Berkeley,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2016 -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Member, Phi Beta Kappa honor society,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2016 - 2022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Graduate student researcher, University of California, Berkeley, Savage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2015 - 2015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Amgen Scholar, University of California, Berkeley, Joint Bioenergy Institute, Keasling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2014 - 2016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Researcher, Middlebury College, Ward Lab,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2014 - 2014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Stowers Summer Scholar, Stowers Institute for Medical Research, Matt Gibson Lab, Kansas City, MO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2013 - 2013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Researcher, Middlebury College, 2013 STEM Innovation Program,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2011 - 2012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Intern, University of Washington Medical School, Neitz Color Vision Lab, Seattle, WA</w:t>
            </w:r>
          </w:p>
        </w:tc>
      </w:tr>
    </w:tbl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Honors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065"/>
      </w:tblGrid>
      <w:tr>
        <w:tblPrEx>
          <w:tblW w:w="5000" w:type="pct"/>
          <w:tblInd w:w="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2013 - 2016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College Scholar, 6 semesters,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The 27th Annual Western Photosynthesis Conference travel award , Western Photosynthesis conference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Elbert C. Cole ’15 Memorial Fund Prize, Middlebury College, Department of Biology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Summa cum laude,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High Honors, Middlebury College Department of Molecular Biology and Biochemistry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Inducted Phi Beta Kappa honor society,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Dean’s List, spring semester, Middlebury College</w:t>
            </w:r>
          </w:p>
        </w:tc>
      </w:tr>
    </w:tbl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C. Contribution to Science</w:t>
      </w:r>
    </w:p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D. Scholastic Performance</w:t>
      </w:r>
    </w:p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Scholastic Performance</w:t>
      </w:r>
    </w:p>
    <w:tbl>
      <w:tblPr>
        <w:tblStyle w:val="sectionCoursework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657"/>
        <w:gridCol w:w="1568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YEAR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COURSE TITLE</w:t>
            </w:r>
          </w:p>
        </w:tc>
        <w:tc>
          <w:tcPr>
            <w:tcW w:w="1538" w:type="dxa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caps/>
                <w:smallCaps w:val="0"/>
                <w:sz w:val="22"/>
                <w:szCs w:val="22"/>
                <w:bdr w:val="nil"/>
                <w:rtl w:val="0"/>
              </w:rPr>
              <w:t>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caps/>
                <w:smallCaps w:val="0"/>
                <w:sz w:val="22"/>
                <w:szCs w:val="22"/>
                <w:bdr w:val="nil"/>
                <w:rtl w:val="0"/>
              </w:rPr>
              <w:t>University of California Berkeley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200A - Fundamentals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200B - Fundamentals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291A - Introduction to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206 - Physical Biochemistry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C212A - Chemical Biology I - Structure, Synthesis and Function of Biomolecules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C212B - Chemical Biology II - Enzyme Reaction Mechanisms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C212C - Chemical Biology III - Contemporary Topics in Chemical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291B - Introduction to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292 - Research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SEM A02 -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SEM D01 -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290 - Graduate Seminar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292 - Research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</w:tbl>
    <w:p>
      <w:pPr>
        <w:bidi w:val="0"/>
        <w:spacing w:before="220" w:after="220"/>
      </w:pPr>
      <w:r>
        <w:rPr>
          <w:rStyle w:val="DefaultParagraphFont"/>
          <w:sz w:val="22"/>
          <w:szCs w:val="22"/>
          <w:bdr w:val="nil"/>
          <w:rtl w:val="0"/>
        </w:rPr>
        <w:t>For all University of California Berkeley graduate level courses, the scale is from A to F (A+ is awarded as a mark of achievement but both A+ and A are counted as 4.0 for GPA calculations) and passing grades are B- or higher. In this scale A+ is a 4.0, A is also 4.0, and an A- is a 3.7. S indicates a passing grade (B- or higher) in a course graded on a Satisfactory/Not Satisfactory grading scheme, courses graded on this scheme are not included in GPA calculations.</w:t>
      </w:r>
    </w:p>
    <w:p>
      <w:pPr>
        <w:bidi w:val="0"/>
      </w:pPr>
    </w:p>
    <w:sectPr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beforeAutospacing="0" w:after="30" w:afterAutospacing="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paragraph" w:customStyle="1" w:styleId="likeheader">
    <w:name w:val="likeheader"/>
    <w:basedOn w:val="Normal"/>
    <w:pPr>
      <w:jc w:val="right"/>
    </w:pPr>
    <w:rPr>
      <w:sz w:val="16"/>
      <w:szCs w:val="16"/>
      <w:bdr w:val="nil"/>
    </w:rPr>
  </w:style>
  <w:style w:type="paragraph" w:customStyle="1" w:styleId="h3center">
    <w:name w:val="h3_center"/>
    <w:basedOn w:val="Heading3"/>
    <w:pPr>
      <w:jc w:val="center"/>
    </w:pPr>
    <w:rPr>
      <w:bdr w:val="nil"/>
    </w:rPr>
  </w:style>
  <w:style w:type="paragraph" w:customStyle="1" w:styleId="sectionDescription">
    <w:name w:val="sectionDescription"/>
    <w:basedOn w:val="Normal"/>
    <w:pPr>
      <w:spacing w:after="75" w:afterAutospacing="0"/>
    </w:pPr>
    <w:rPr>
      <w:sz w:val="16"/>
      <w:szCs w:val="16"/>
      <w:bdr w:val="nil"/>
    </w:rPr>
  </w:style>
  <w:style w:type="table" w:customStyle="1" w:styleId="table">
    <w:name w:val="table"/>
    <w:tblPr/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  <w:rPr>
      <w:bdr w:val="nil"/>
    </w:rPr>
  </w:style>
  <w:style w:type="paragraph" w:customStyle="1" w:styleId="annotation">
    <w:name w:val="annotation"/>
    <w:basedOn w:val="Normal"/>
    <w:pPr/>
    <w:rPr>
      <w:bdr w:val="nil"/>
    </w:rPr>
  </w:style>
  <w:style w:type="paragraph" w:customStyle="1" w:styleId="h3underline">
    <w:name w:val="h3_underline"/>
    <w:basedOn w:val="Heading3"/>
    <w:pPr/>
    <w:rPr>
      <w:u w:val="single"/>
      <w:bdr w:val="nil"/>
    </w:rPr>
  </w:style>
  <w:style w:type="table" w:customStyle="1" w:styleId="sectionCourseworktable">
    <w:name w:val="sectionCoursework_table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cp:revision>0</cp:revision>
</cp:coreProperties>
</file>