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contributions-to-science"/>
    <w:p>
      <w:pPr>
        <w:pStyle w:val="Heading1"/>
      </w:pPr>
      <w:r>
        <w:t xml:space="preserve">Contributions to Science:</w:t>
      </w:r>
    </w:p>
    <w:bookmarkStart w:id="24" w:name="Xec6b8e0db5719c80b52f432c59a8e7df1f879c8"/>
    <w:p>
      <w:pPr>
        <w:pStyle w:val="Heading2"/>
      </w:pPr>
      <w:r>
        <w:t xml:space="preserve">A new type of inorganic carbon pump that drives CO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concentration:</w:t>
      </w:r>
    </w:p>
    <w:bookmarkStart w:id="20" w:name="historical-background"/>
    <w:p>
      <w:pPr>
        <w:pStyle w:val="Heading3"/>
      </w:pPr>
      <w:r>
        <w:t xml:space="preserve">Historical background</w:t>
      </w:r>
    </w:p>
    <w:p>
      <w:pPr>
        <w:pStyle w:val="FirstParagraph"/>
      </w:pPr>
      <w:r>
        <w:t xml:space="preserve">The enzyme rubisco fixes</w:t>
      </w:r>
      <w:r>
        <w:t xml:space="preserve"> </w:t>
      </w:r>
      <m:oMath>
        <m:r>
          <m:rPr>
            <m:sty m:val="p"/>
          </m:rPr>
          <m:t>&gt;</m:t>
        </m:r>
      </m:oMath>
      <w:r>
        <w:t xml:space="preserve">99.5% of the CO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entering the biosphere each year and is essential in plants, algae, and most autotrophic bacteria.</w:t>
      </w:r>
      <w:r>
        <w:t xml:space="preserve"> </w:t>
      </w:r>
      <w:r>
        <w:t xml:space="preserve">However, Rubisco is inhibited by O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, a problem in the the modern atmosphere with its 20% O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and only 0.04% CO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Many bacteria overcome this using an</w:t>
      </w:r>
      <w:r>
        <w:t xml:space="preserve"> </w:t>
      </w:r>
      <m:oMath>
        <m:r>
          <m:t>α</m:t>
        </m:r>
      </m:oMath>
      <w:r>
        <w:t xml:space="preserve">-carboxysome based CO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concentrating mechanism (</w:t>
      </w:r>
      <m:oMath>
        <m:r>
          <m:t>α</m:t>
        </m:r>
      </m:oMath>
      <w:r>
        <w:t xml:space="preserve">-CCM).</w:t>
      </w:r>
      <w:r>
        <w:t xml:space="preserve"> </w:t>
      </w:r>
      <w:r>
        <w:t xml:space="preserve">These systems rely on HCO</w:t>
      </w:r>
      <m:oMath>
        <m:sSubSup>
          <m:e>
            <m:r>
              <m:t>​</m:t>
            </m:r>
          </m:e>
          <m:sub>
            <m:r>
              <m:t>3</m:t>
            </m:r>
          </m:sub>
          <m:sup>
            <m:r>
              <m:rPr>
                <m:sty m:val="p"/>
              </m:rPr>
              <m:t>−</m:t>
            </m:r>
          </m:sup>
        </m:sSubSup>
      </m:oMath>
      <w:r>
        <w:t xml:space="preserve"> </w:t>
      </w:r>
      <w:r>
        <w:t xml:space="preserve">pumping, however, the mechanism of HCO</w:t>
      </w:r>
      <m:oMath>
        <m:sSubSup>
          <m:e>
            <m:r>
              <m:t>​</m:t>
            </m:r>
          </m:e>
          <m:sub>
            <m:r>
              <m:t>3</m:t>
            </m:r>
          </m:sub>
          <m:sup>
            <m:r>
              <m:rPr>
                <m:sty m:val="p"/>
              </m:rPr>
              <m:t>−</m:t>
            </m:r>
          </m:sup>
        </m:sSubSup>
      </m:oMath>
      <w:r>
        <w:t xml:space="preserve"> </w:t>
      </w:r>
      <w:r>
        <w:t xml:space="preserve">pumping was unknown in chemotrophs.</w:t>
      </w:r>
    </w:p>
    <w:bookmarkEnd w:id="20"/>
    <w:bookmarkStart w:id="21" w:name="central-finding"/>
    <w:p>
      <w:pPr>
        <w:pStyle w:val="Heading3"/>
      </w:pPr>
      <w:r>
        <w:t xml:space="preserve">Central finding</w:t>
      </w:r>
    </w:p>
    <w:p>
      <w:pPr>
        <w:pStyle w:val="FirstParagraph"/>
      </w:pPr>
      <w:r>
        <w:t xml:space="preserve">To identify HCO</w:t>
      </w:r>
      <m:oMath>
        <m:sSubSup>
          <m:e>
            <m:r>
              <m:t>​</m:t>
            </m:r>
          </m:e>
          <m:sub>
            <m:r>
              <m:t>3</m:t>
            </m:r>
          </m:sub>
          <m:sup>
            <m:r>
              <m:rPr>
                <m:sty m:val="p"/>
              </m:rPr>
              <m:t>−</m:t>
            </m:r>
          </m:sup>
        </m:sSubSup>
      </m:oMath>
      <w:r>
        <w:t xml:space="preserve"> </w:t>
      </w:r>
      <w:r>
        <w:t xml:space="preserve">pumps, I screened for</w:t>
      </w:r>
      <w:r>
        <w:t xml:space="preserve"> </w:t>
      </w:r>
      <m:oMath>
        <m:r>
          <m:t>α</m:t>
        </m:r>
      </m:oMath>
      <w:r>
        <w:t xml:space="preserve">-CCM genes in the model chemotroph</w:t>
      </w:r>
      <w:r>
        <w:t xml:space="preserve"> </w:t>
      </w:r>
      <w:r>
        <w:rPr>
          <w:iCs/>
          <w:i/>
        </w:rPr>
        <w:t xml:space="preserve">H. neapolitanus</w:t>
      </w:r>
      <w:r>
        <w:t xml:space="preserve">.</w:t>
      </w:r>
      <w:r>
        <w:t xml:space="preserve"> </w:t>
      </w:r>
      <w:r>
        <w:t xml:space="preserve">I identified two putative transporter operons, then showed sufficiency for pumping in</w:t>
      </w:r>
      <w:r>
        <w:t xml:space="preserve"> </w:t>
      </w:r>
      <w:r>
        <w:rPr>
          <w:iCs/>
          <w:i/>
        </w:rPr>
        <w:t xml:space="preserve">E. coli</w:t>
      </w:r>
      <w:r>
        <w:t xml:space="preserve">.</w:t>
      </w:r>
      <w:r>
        <w:t xml:space="preserve"> </w:t>
      </w:r>
      <w:r>
        <w:t xml:space="preserve">Unexpectedly, the data were consistent with energy coupled carbonic anhydrase (CA) activity not direct pumping.</w:t>
      </w:r>
      <w:r>
        <w:t xml:space="preserve"> </w:t>
      </w:r>
      <w:r>
        <w:t xml:space="preserve">This causes HCO</w:t>
      </w:r>
      <m:oMath>
        <m:sSubSup>
          <m:e>
            <m:r>
              <m:t>​</m:t>
            </m:r>
          </m:e>
          <m:sub>
            <m:r>
              <m:t>3</m:t>
            </m:r>
          </m:sub>
          <m:sup>
            <m:r>
              <m:rPr>
                <m:sty m:val="p"/>
              </m:rPr>
              <m:t>−</m:t>
            </m:r>
          </m:sup>
        </m:sSubSup>
      </m:oMath>
      <w:r>
        <w:t xml:space="preserve"> </w:t>
      </w:r>
      <w:r>
        <w:t xml:space="preserve">flux by converting membrane permeable CO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into membrane impermeable HCO</w:t>
      </w:r>
      <m:oMath>
        <m:sSubSup>
          <m:e>
            <m:r>
              <m:t>​</m:t>
            </m:r>
          </m:e>
          <m:sub>
            <m:r>
              <m:t>3</m:t>
            </m:r>
          </m:sub>
          <m:sup>
            <m:r>
              <m:rPr>
                <m:sty m:val="p"/>
              </m:rPr>
              <m:t>−</m:t>
            </m:r>
          </m:sup>
        </m:sSubSup>
      </m:oMath>
      <w:r>
        <w:t xml:space="preserve"> </w:t>
      </w:r>
      <w:r>
        <w:t xml:space="preserve">trapping it in the cell.</w:t>
      </w:r>
      <w:r>
        <w:t xml:space="preserve"> </w:t>
      </w:r>
      <w:r>
        <w:t xml:space="preserve">I showed homologs in the pathogens</w:t>
      </w:r>
      <w:r>
        <w:t xml:space="preserve"> </w:t>
      </w:r>
      <w:r>
        <w:rPr>
          <w:iCs/>
          <w:i/>
        </w:rPr>
        <w:t xml:space="preserve">V. Cholera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B. anthracis</w:t>
      </w:r>
      <w:r>
        <w:t xml:space="preserve"> </w:t>
      </w:r>
      <w:r>
        <w:t xml:space="preserve">had the same activity.</w:t>
      </w:r>
    </w:p>
    <w:bookmarkEnd w:id="21"/>
    <w:bookmarkStart w:id="22" w:name="my-role"/>
    <w:p>
      <w:pPr>
        <w:pStyle w:val="Heading3"/>
      </w:pPr>
      <w:r>
        <w:t xml:space="preserve">My role</w:t>
      </w:r>
    </w:p>
    <w:p>
      <w:pPr>
        <w:pStyle w:val="FirstParagraph"/>
      </w:pPr>
      <w:r>
        <w:t xml:space="preserve">I conceived and designed the experiments, performed the genetic screens, analyzed sequencing data, performed the mechanistic experiments, and purified protein.</w:t>
      </w:r>
    </w:p>
    <w:bookmarkEnd w:id="22"/>
    <w:bookmarkStart w:id="23" w:name="influenceapplication"/>
    <w:p>
      <w:pPr>
        <w:pStyle w:val="Heading3"/>
      </w:pPr>
      <w:r>
        <w:t xml:space="preserve">Influence/Application</w:t>
      </w:r>
    </w:p>
    <w:p>
      <w:pPr>
        <w:pStyle w:val="FirstParagraph"/>
      </w:pPr>
      <w:r>
        <w:t xml:space="preserve">This work identified a new family of energy coupled CAs, only the second such family known.</w:t>
      </w:r>
      <w:r>
        <w:t xml:space="preserve"> </w:t>
      </w:r>
      <w:r>
        <w:t xml:space="preserve">This work enabled reconstitution of a functional</w:t>
      </w:r>
      <w:r>
        <w:t xml:space="preserve"> </w:t>
      </w:r>
      <m:oMath>
        <m:r>
          <m:t>α</m:t>
        </m:r>
      </m:oMath>
      <w:r>
        <w:t xml:space="preserve">-CCM in</w:t>
      </w:r>
      <w:r>
        <w:t xml:space="preserve"> </w:t>
      </w:r>
      <w:r>
        <w:rPr>
          <w:iCs/>
          <w:i/>
        </w:rPr>
        <w:t xml:space="preserve">E. coli</w:t>
      </w:r>
      <w:r>
        <w:t xml:space="preserve">.</w:t>
      </w:r>
      <w:r>
        <w:t xml:space="preserve"> </w:t>
      </w:r>
      <w:r>
        <w:t xml:space="preserve">A homolog found in</w:t>
      </w:r>
      <w:r>
        <w:t xml:space="preserve"> </w:t>
      </w:r>
      <w:r>
        <w:rPr>
          <w:iCs/>
          <w:i/>
        </w:rPr>
        <w:t xml:space="preserve">S. aureus</w:t>
      </w:r>
      <w:r>
        <w:t xml:space="preserve"> </w:t>
      </w:r>
      <w:r>
        <w:t xml:space="preserve">has the same function and is essential for growth in air.</w:t>
      </w:r>
      <w:r>
        <w:t xml:space="preserve"> </w:t>
      </w:r>
      <w:r>
        <w:t xml:space="preserve">Factoring in energy coupled CAs aided interpretation of carbon isotope fractionation in rock strata.</w:t>
      </w:r>
      <w:r>
        <w:t xml:space="preserve"> </w:t>
      </w:r>
      <w:r>
        <w:t xml:space="preserve">There are proposed applications of these pumps in engineering crop plants and autotrophic bio-fuel production hosts.</w:t>
      </w:r>
    </w:p>
    <w:bookmarkEnd w:id="23"/>
    <w:bookmarkEnd w:id="24"/>
    <w:bookmarkStart w:id="29" w:name="CCM_EVO"/>
    <w:p>
      <w:pPr>
        <w:pStyle w:val="Heading2"/>
      </w:pPr>
      <w:r>
        <w:t xml:space="preserve">Potential evolutionary paths of carbon dioxide concentrating mechanisms:</w:t>
      </w:r>
    </w:p>
    <w:bookmarkStart w:id="25" w:name="historical-background-1"/>
    <w:p>
      <w:pPr>
        <w:pStyle w:val="Heading3"/>
      </w:pPr>
      <w:r>
        <w:t xml:space="preserve">Historical background</w:t>
      </w:r>
    </w:p>
    <w:p>
      <w:pPr>
        <w:pStyle w:val="FirstParagraph"/>
      </w:pPr>
      <w:r>
        <w:t xml:space="preserve">The</w:t>
      </w:r>
      <w:r>
        <w:t xml:space="preserve"> </w:t>
      </w:r>
      <m:oMath>
        <m:r>
          <m:t>α</m:t>
        </m:r>
      </m:oMath>
      <w:r>
        <w:t xml:space="preserve">-carboxysome based CO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concentrating mechanism (</w:t>
      </w:r>
      <m:oMath>
        <m:r>
          <m:t>α</m:t>
        </m:r>
      </m:oMath>
      <w:r>
        <w:t xml:space="preserve">-CCM) required several major evolutionary steps to evolve.</w:t>
      </w:r>
      <w:r>
        <w:t xml:space="preserve"> </w:t>
      </w:r>
      <w:r>
        <w:t xml:space="preserve">However, none of the potential intermediates are expected to provide a fitness benefit in modern conditions so it is not clear how it evolved.</w:t>
      </w:r>
      <w:r>
        <w:t xml:space="preserve"> </w:t>
      </w:r>
      <w:r>
        <w:t xml:space="preserve">The atmosphere was very different when the</w:t>
      </w:r>
      <w:r>
        <w:t xml:space="preserve"> </w:t>
      </w:r>
      <m:oMath>
        <m:r>
          <m:t>α</m:t>
        </m:r>
      </m:oMath>
      <w:r>
        <w:t xml:space="preserve">-CCM evolved, with much higher levels of CO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and much lower levels of O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This lead us to hypothesize that evolutionary intermediates of the CCM may have provided fitness benefits at intermediate atmospheric compositions.</w:t>
      </w:r>
    </w:p>
    <w:bookmarkEnd w:id="25"/>
    <w:bookmarkStart w:id="26" w:name="central-finding-1"/>
    <w:p>
      <w:pPr>
        <w:pStyle w:val="Heading3"/>
      </w:pPr>
      <w:r>
        <w:t xml:space="preserve">Central finding</w:t>
      </w:r>
    </w:p>
    <w:p>
      <w:pPr>
        <w:pStyle w:val="FirstParagraph"/>
      </w:pPr>
      <w:r>
        <w:t xml:space="preserve">Evolving an</w:t>
      </w:r>
      <w:r>
        <w:t xml:space="preserve"> </w:t>
      </w:r>
      <m:oMath>
        <m:r>
          <m:t>α</m:t>
        </m:r>
      </m:oMath>
      <w:r>
        <w:t xml:space="preserve">-CCM required acquiring a CA, gaining a HCO</w:t>
      </w:r>
      <m:oMath>
        <m:sSubSup>
          <m:e>
            <m:r>
              <m:t>​</m:t>
            </m:r>
          </m:e>
          <m:sub>
            <m:r>
              <m:t>3</m:t>
            </m:r>
          </m:sub>
          <m:sup>
            <m:r>
              <m:rPr>
                <m:sty m:val="p"/>
              </m:rPr>
              <m:t>−</m:t>
            </m:r>
          </m:sup>
        </m:sSubSup>
      </m:oMath>
      <w:r>
        <w:t xml:space="preserve"> </w:t>
      </w:r>
      <w:r>
        <w:t xml:space="preserve">pump, and co-encapsulating CA and rubisco.</w:t>
      </w:r>
      <w:r>
        <w:t xml:space="preserve"> </w:t>
      </w:r>
      <w:r>
        <w:t xml:space="preserve">Removing any of these stops</w:t>
      </w:r>
      <w:r>
        <w:t xml:space="preserve"> </w:t>
      </w:r>
      <m:oMath>
        <m:r>
          <m:t>α</m:t>
        </m:r>
      </m:oMath>
      <w:r>
        <w:t xml:space="preserve">-CCM function in normal atmosphere.</w:t>
      </w:r>
      <w:r>
        <w:t xml:space="preserve"> </w:t>
      </w:r>
      <w:r>
        <w:t xml:space="preserve">We measured the effect of</w:t>
      </w:r>
      <w:r>
        <w:t xml:space="preserve"> </w:t>
      </w:r>
      <m:oMath>
        <m:r>
          <m:t>α</m:t>
        </m:r>
      </m:oMath>
      <w:r>
        <w:t xml:space="preserve">-CCM gene knockouts in</w:t>
      </w:r>
      <w:r>
        <w:t xml:space="preserve"> </w:t>
      </w:r>
      <w:r>
        <w:rPr>
          <w:iCs/>
          <w:i/>
        </w:rPr>
        <w:t xml:space="preserve">H. neapolitanus</w:t>
      </w:r>
      <w:r>
        <w:t xml:space="preserve"> </w:t>
      </w:r>
      <w:r>
        <w:t xml:space="preserve">across different CO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concentrations.</w:t>
      </w:r>
      <w:r>
        <w:t xml:space="preserve"> </w:t>
      </w:r>
      <w:r>
        <w:t xml:space="preserve">We also measured the CO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dependent phenotypes of potential evolutionary intermediates in reporter strains of</w:t>
      </w:r>
      <w:r>
        <w:t xml:space="preserve"> </w:t>
      </w:r>
      <w:r>
        <w:rPr>
          <w:iCs/>
          <w:i/>
        </w:rPr>
        <w:t xml:space="preserve">E. coli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C. necator</w:t>
      </w:r>
      <w:r>
        <w:t xml:space="preserve"> </w:t>
      </w:r>
      <w:r>
        <w:t xml:space="preserve">that we constructed.</w:t>
      </w:r>
      <w:r>
        <w:t xml:space="preserve"> </w:t>
      </w:r>
      <w:r>
        <w:t xml:space="preserve">We modeled carbon fluxes as a function of growth rate and CO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concentration.</w:t>
      </w:r>
      <w:r>
        <w:t xml:space="preserve"> </w:t>
      </w:r>
      <w:r>
        <w:t xml:space="preserve">This data suggested that as CO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concentrations fall, HCO</w:t>
      </w:r>
      <m:oMath>
        <m:sSubSup>
          <m:e>
            <m:r>
              <m:t>​</m:t>
            </m:r>
          </m:e>
          <m:sub>
            <m:r>
              <m:t>3</m:t>
            </m:r>
          </m:sub>
          <m:sup>
            <m:r>
              <m:rPr>
                <m:sty m:val="p"/>
              </m:rPr>
              <m:t>−</m:t>
            </m:r>
          </m:sup>
        </m:sSubSup>
      </m:oMath>
      <w:r>
        <w:t xml:space="preserve"> </w:t>
      </w:r>
      <w:r>
        <w:t xml:space="preserve">becomes limiting before CO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This suggested that as CO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started to fall either a pump or CA can help.</w:t>
      </w:r>
      <w:r>
        <w:t xml:space="preserve"> </w:t>
      </w:r>
      <w:r>
        <w:t xml:space="preserve">As levels fall further CO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and HCO</w:t>
      </w:r>
      <m:oMath>
        <m:sSubSup>
          <m:e>
            <m:r>
              <m:t>​</m:t>
            </m:r>
          </m:e>
          <m:sub>
            <m:r>
              <m:t>3</m:t>
            </m:r>
          </m:sub>
          <m:sup>
            <m:r>
              <m:rPr>
                <m:sty m:val="p"/>
              </m:rPr>
              <m:t>−</m:t>
            </m:r>
          </m:sup>
        </m:sSubSup>
      </m:oMath>
      <w:r>
        <w:t xml:space="preserve"> </w:t>
      </w:r>
      <w:r>
        <w:t xml:space="preserve">become co-limiting and having both a CA and a pump provides a benefit despite the potential for producing a futile cycle</w:t>
      </w:r>
      <w:r>
        <w:t xml:space="preserve"> </w:t>
      </w:r>
      <w:r>
        <w:t xml:space="preserve">Eventually, only a full</w:t>
      </w:r>
      <w:r>
        <w:t xml:space="preserve"> </w:t>
      </w:r>
      <m:oMath>
        <m:r>
          <m:t>α</m:t>
        </m:r>
      </m:oMath>
      <w:r>
        <w:t xml:space="preserve">-CCM will work.</w:t>
      </w:r>
      <w:r>
        <w:t xml:space="preserve"> </w:t>
      </w:r>
      <w:r>
        <w:t xml:space="preserve">This provides a potential path for the evolution of a</w:t>
      </w:r>
      <w:r>
        <w:t xml:space="preserve"> </w:t>
      </w:r>
      <m:oMath>
        <m:r>
          <m:t>α</m:t>
        </m:r>
      </m:oMath>
      <w:r>
        <w:t xml:space="preserve">-CCM.</w:t>
      </w:r>
    </w:p>
    <w:bookmarkEnd w:id="26"/>
    <w:bookmarkStart w:id="27" w:name="my-role-1"/>
    <w:p>
      <w:pPr>
        <w:pStyle w:val="Heading3"/>
      </w:pPr>
      <w:r>
        <w:t xml:space="preserve">My role</w:t>
      </w:r>
    </w:p>
    <w:p>
      <w:pPr>
        <w:pStyle w:val="FirstParagraph"/>
      </w:pPr>
      <w:r>
        <w:t xml:space="preserve">I performed a massively parallel growth assay of gene knockouts in</w:t>
      </w:r>
      <w:r>
        <w:t xml:space="preserve"> </w:t>
      </w:r>
      <w:r>
        <w:rPr>
          <w:iCs/>
          <w:i/>
        </w:rPr>
        <w:t xml:space="preserve">H. neapolitanus</w:t>
      </w:r>
      <w:r>
        <w:t xml:space="preserve"> </w:t>
      </w:r>
      <w:r>
        <w:t xml:space="preserve">across intermediate CO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concentrations to identify CCM genes needed at intermediate CO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concentrations.</w:t>
      </w:r>
    </w:p>
    <w:bookmarkEnd w:id="27"/>
    <w:bookmarkStart w:id="28" w:name="influenceapplication-1"/>
    <w:p>
      <w:pPr>
        <w:pStyle w:val="Heading3"/>
      </w:pPr>
      <w:r>
        <w:t xml:space="preserve">Influence/Application</w:t>
      </w:r>
    </w:p>
    <w:p>
      <w:pPr>
        <w:pStyle w:val="FirstParagraph"/>
      </w:pPr>
      <w:r>
        <w:t xml:space="preserve">This work provides insight into the evolution of the</w:t>
      </w:r>
      <w:r>
        <w:t xml:space="preserve"> </w:t>
      </w:r>
      <m:oMath>
        <m:r>
          <m:t>α</m:t>
        </m:r>
      </m:oMath>
      <w:r>
        <w:t xml:space="preserve">-CCM and into possible life strategies of modern organisms living in high CO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environments.</w:t>
      </w:r>
      <w:r>
        <w:t xml:space="preserve"> </w:t>
      </w:r>
      <w:r>
        <w:t xml:space="preserve">These advances might also be useful for improving the growth of industrial autotrophs.</w:t>
      </w:r>
      <w:r>
        <w:t xml:space="preserve"> </w:t>
      </w:r>
      <w:r>
        <w:t xml:space="preserve">Further, showing expression of the pumps in</w:t>
      </w:r>
      <w:r>
        <w:t xml:space="preserve"> </w:t>
      </w:r>
      <w:r>
        <w:rPr>
          <w:iCs/>
          <w:i/>
        </w:rPr>
        <w:t xml:space="preserve">C. necator</w:t>
      </w:r>
      <w:r>
        <w:t xml:space="preserve"> </w:t>
      </w:r>
      <w:r>
        <w:t xml:space="preserve">offers the potential to improve bio-plastics production.</w:t>
      </w:r>
    </w:p>
    <w:bookmarkEnd w:id="28"/>
    <w:bookmarkEnd w:id="29"/>
    <w:bookmarkStart w:id="34" w:name="X9d2a46df5982094a2909bc03b71f592d852c306"/>
    <w:p>
      <w:pPr>
        <w:pStyle w:val="Heading2"/>
      </w:pPr>
      <w:r>
        <w:t xml:space="preserve">General epistasis protein fitness landscape mapping and design:</w:t>
      </w:r>
    </w:p>
    <w:bookmarkStart w:id="30" w:name="historical-background-2"/>
    <w:p>
      <w:pPr>
        <w:pStyle w:val="Heading3"/>
      </w:pPr>
      <w:r>
        <w:t xml:space="preserve">Historical background</w:t>
      </w:r>
    </w:p>
    <w:p>
      <w:pPr>
        <w:pStyle w:val="FirstParagraph"/>
      </w:pPr>
      <w:r>
        <w:t xml:space="preserve">Mutational scanning maps a protein’s fitness landscape by measuring the fitness of all single mutants.</w:t>
      </w:r>
      <w:r>
        <w:t xml:space="preserve"> </w:t>
      </w:r>
      <w:r>
        <w:t xml:space="preserve">This information is used for variant effect prediction and design.</w:t>
      </w:r>
      <w:r>
        <w:t xml:space="preserve"> </w:t>
      </w:r>
      <w:r>
        <w:t xml:space="preserve">However, mutational scanning experiments require production of all single mutants and only provide information on fitness in the protein’s local context, limiting their utility for divergent proteins.</w:t>
      </w:r>
      <w:r>
        <w:t xml:space="preserve"> </w:t>
      </w:r>
      <w:r>
        <w:t xml:space="preserve">Being able to learn from data sets that are easier to generate and provide information over a wider area would be greatly beneficial.</w:t>
      </w:r>
      <w:r>
        <w:t xml:space="preserve"> </w:t>
      </w:r>
      <w:r>
        <w:t xml:space="preserve">Current efforts to learn from random mutagenesis have relied on neural networks or linear methods.</w:t>
      </w:r>
      <w:r>
        <w:t xml:space="preserve"> </w:t>
      </w:r>
      <w:r>
        <w:t xml:space="preserve">However, linear methods miss nonlinearities in the data’s true structure and neural networks cannot be inspected to gain insight into function.</w:t>
      </w:r>
      <w:r>
        <w:t xml:space="preserve"> </w:t>
      </w:r>
      <w:r>
        <w:t xml:space="preserve">General epistatic models capture nonlinear genotype-phenotype relationships without sacrificing interpretability but have not been applied to protein design.</w:t>
      </w:r>
      <w:r>
        <w:t xml:space="preserve"> </w:t>
      </w:r>
      <w:r>
        <w:t xml:space="preserve">Phylogentic data also provide insight into fitness landscapes but inspectable models that are able to leverage both phylogenetic and experimental data have been rare.</w:t>
      </w:r>
    </w:p>
    <w:bookmarkEnd w:id="30"/>
    <w:bookmarkStart w:id="31" w:name="central-finding-2"/>
    <w:p>
      <w:pPr>
        <w:pStyle w:val="Heading3"/>
      </w:pPr>
      <w:r>
        <w:t xml:space="preserve">Central finding</w:t>
      </w:r>
    </w:p>
    <w:p>
      <w:pPr>
        <w:pStyle w:val="FirstParagraph"/>
      </w:pPr>
      <w:r>
        <w:t xml:space="preserve">We performed random mutagenesis on dihydrofolate reductase and measured enzyme activity in a massively parallel growth assay.</w:t>
      </w:r>
      <w:r>
        <w:t xml:space="preserve"> </w:t>
      </w:r>
      <w:r>
        <w:t xml:space="preserve">I trained models including linear models, general epistatic models, and large neural nets with and without access to phylogenetic data.</w:t>
      </w:r>
      <w:r>
        <w:t xml:space="preserve"> </w:t>
      </w:r>
      <w:r>
        <w:t xml:space="preserve">I showed that the general epistatic models had simmilar performance to the neural net on held out test data.</w:t>
      </w:r>
      <w:r>
        <w:t xml:space="preserve"> </w:t>
      </w:r>
      <w:r>
        <w:t xml:space="preserve">Both these models showed improvement when provided with phylogenetic data but out performed the phylogenetic data alone or with the linear model.</w:t>
      </w:r>
      <w:r>
        <w:t xml:space="preserve"> </w:t>
      </w:r>
      <w:r>
        <w:t xml:space="preserve">I also used each model to design new variants while systematically varying both number of mutations and optimization strategy to evaluate how well each model is able to extrapolate.</w:t>
      </w:r>
      <w:r>
        <w:t xml:space="preserve"> </w:t>
      </w:r>
      <w:r>
        <w:t xml:space="preserve">I used a massively parallel growth assay to validate 12,000 designed proteins.</w:t>
      </w:r>
      <w:r>
        <w:t xml:space="preserve"> </w:t>
      </w:r>
      <w:r>
        <w:t xml:space="preserve">This work is currently awaiting sequencing results from the final experiment before submission.</w:t>
      </w:r>
    </w:p>
    <w:bookmarkEnd w:id="31"/>
    <w:bookmarkStart w:id="32" w:name="influenceapplication-2"/>
    <w:p>
      <w:pPr>
        <w:pStyle w:val="Heading3"/>
      </w:pPr>
      <w:r>
        <w:t xml:space="preserve">Influence/Application</w:t>
      </w:r>
    </w:p>
    <w:p>
      <w:pPr>
        <w:pStyle w:val="FirstParagraph"/>
      </w:pPr>
      <w:r>
        <w:t xml:space="preserve">This work provides new methods for mapping the genotype-phenotype landscape of proteins and designing new variants.</w:t>
      </w:r>
      <w:r>
        <w:t xml:space="preserve"> </w:t>
      </w:r>
      <w:r>
        <w:t xml:space="preserve">It also provides simple directly inspectable models that produce performance on par with neural net approaches for some prediction and design tasks.</w:t>
      </w:r>
    </w:p>
    <w:bookmarkEnd w:id="32"/>
    <w:bookmarkStart w:id="33" w:name="my-role-2"/>
    <w:p>
      <w:pPr>
        <w:pStyle w:val="Heading3"/>
      </w:pPr>
      <w:r>
        <w:t xml:space="preserve">My role</w:t>
      </w:r>
    </w:p>
    <w:p>
      <w:pPr>
        <w:pStyle w:val="FirstParagraph"/>
      </w:pPr>
      <w:r>
        <w:t xml:space="preserve">I am the primary author on this work.</w:t>
      </w:r>
      <w:r>
        <w:t xml:space="preserve"> </w:t>
      </w:r>
      <w:r>
        <w:t xml:space="preserve">I designed and conceived of the experiments, produced mutant libraries, performed massively parallel growth assays, wrote analysis code, wrote model code, trained models, tested model performance, and evaluated optimized sequence behavior.</w:t>
      </w:r>
    </w:p>
    <w:bookmarkEnd w:id="33"/>
    <w:bookmarkEnd w:id="34"/>
    <w:bookmarkStart w:id="38" w:name="development-of-new-crispr-tools"/>
    <w:p>
      <w:pPr>
        <w:pStyle w:val="Heading2"/>
      </w:pPr>
      <w:r>
        <w:t xml:space="preserve">Development of new CRISPR tools:</w:t>
      </w:r>
    </w:p>
    <w:bookmarkStart w:id="35" w:name="historical-background-3"/>
    <w:p>
      <w:pPr>
        <w:pStyle w:val="Heading3"/>
      </w:pPr>
      <w:r>
        <w:t xml:space="preserve">Historical background</w:t>
      </w:r>
    </w:p>
    <w:p>
      <w:pPr>
        <w:pStyle w:val="FirstParagraph"/>
      </w:pPr>
      <w:r>
        <w:t xml:space="preserve">The ever expanding suite of CRISPR tools has helped drive a biotech revolution.</w:t>
      </w:r>
      <w:r>
        <w:t xml:space="preserve"> </w:t>
      </w:r>
      <w:r>
        <w:t xml:space="preserve">I have been part of two tool development projects, identifying CasX as a new RNA guided DNA nuclease and the development of Cas13/Csm6 RNA diagnostics.</w:t>
      </w:r>
    </w:p>
    <w:bookmarkEnd w:id="35"/>
    <w:bookmarkStart w:id="36" w:name="casx-genome-editing"/>
    <w:p>
      <w:pPr>
        <w:pStyle w:val="Heading3"/>
      </w:pPr>
      <w:r>
        <w:t xml:space="preserve">CasX genome editing</w:t>
      </w:r>
    </w:p>
    <w:p>
      <w:pPr>
        <w:pStyle w:val="FirstParagraph"/>
      </w:pPr>
      <w:r>
        <w:t xml:space="preserve">RNA guided DNA nucleases launched the CRISPR field.</w:t>
      </w:r>
      <w:r>
        <w:t xml:space="preserve"> </w:t>
      </w:r>
      <w:r>
        <w:t xml:space="preserve">However, nuclease size has hindered therapeutic applications.</w:t>
      </w:r>
      <w:r>
        <w:t xml:space="preserve"> </w:t>
      </w:r>
      <w:r>
        <w:t xml:space="preserve">CasX is a</w:t>
      </w:r>
      <w:r>
        <w:t xml:space="preserve"> </w:t>
      </w:r>
      <m:oMath>
        <m:r>
          <m:rPr>
            <m:sty m:val="p"/>
          </m:rPr>
          <m:t>&lt;</m:t>
        </m:r>
      </m:oMath>
      <w:r>
        <w:t xml:space="preserve">1,000 amino acid RuvC containing protein from CRISPR loci.</w:t>
      </w:r>
      <w:r>
        <w:t xml:space="preserve"> </w:t>
      </w:r>
      <w:r>
        <w:t xml:space="preserve">We demonstrated guide directed cutting activity</w:t>
      </w:r>
      <w:r>
        <w:t xml:space="preserve"> </w:t>
      </w:r>
      <w:r>
        <w:rPr>
          <w:iCs/>
          <w:i/>
        </w:rPr>
        <w:t xml:space="preserve">in vitro</w:t>
      </w:r>
      <w:r>
        <w:t xml:space="preserve"> </w:t>
      </w:r>
      <w:r>
        <w:t xml:space="preserve">as well as cutting and CRISPRi</w:t>
      </w:r>
      <w:r>
        <w:t xml:space="preserve"> </w:t>
      </w:r>
      <w:r>
        <w:rPr>
          <w:iCs/>
          <w:i/>
        </w:rPr>
        <w:t xml:space="preserve">in vivo</w:t>
      </w:r>
      <w:r>
        <w:t xml:space="preserve">.</w:t>
      </w:r>
      <w:r>
        <w:t xml:space="preserve"> </w:t>
      </w:r>
      <w:r>
        <w:t xml:space="preserve">We solved a structure of the complex with target DNA and identified two new domains.</w:t>
      </w:r>
      <w:r>
        <w:t xml:space="preserve"> </w:t>
      </w:r>
      <w:r>
        <w:t xml:space="preserve">We also detected a zinc binding motif and showed that CasX binds zinc.</w:t>
      </w:r>
      <w:r>
        <w:t xml:space="preserve"> </w:t>
      </w:r>
      <w:r>
        <w:t xml:space="preserve">My role was to use x-ray fluorescence to detect zinc bound to the purified protein.</w:t>
      </w:r>
      <w:r>
        <w:t xml:space="preserve"> </w:t>
      </w:r>
      <w:r>
        <w:t xml:space="preserve">CasX provides a new modality for genome editing that is proving useful in a variety of applications.</w:t>
      </w:r>
      <w:r>
        <w:t xml:space="preserve"> </w:t>
      </w:r>
      <w:r>
        <w:t xml:space="preserve">Scribe Therapeutics is pursuing casX based therapies.</w:t>
      </w:r>
    </w:p>
    <w:bookmarkEnd w:id="36"/>
    <w:bookmarkStart w:id="37" w:name="csm6-boosted-cas13-rna-detection"/>
    <w:p>
      <w:pPr>
        <w:pStyle w:val="Heading3"/>
      </w:pPr>
      <w:r>
        <w:t xml:space="preserve">Csm6 boosted Cas13 RNA detection</w:t>
      </w:r>
    </w:p>
    <w:p>
      <w:pPr>
        <w:pStyle w:val="FirstParagraph"/>
      </w:pPr>
      <w:r>
        <w:t xml:space="preserve">CRISPR diagnostics can detect nucleic acids in one-pot isothermal reactions.</w:t>
      </w:r>
      <w:r>
        <w:t xml:space="preserve"> </w:t>
      </w:r>
      <w:r>
        <w:t xml:space="preserve">This makes them attractive for at-home or point-of-care diagnostics.</w:t>
      </w:r>
      <w:r>
        <w:t xml:space="preserve"> </w:t>
      </w:r>
      <w:r>
        <w:t xml:space="preserve">However, poor sensitivity meant pre-amplification was required to detect SARS-COV2 in patient samples.</w:t>
      </w:r>
      <w:r>
        <w:t xml:space="preserve"> </w:t>
      </w:r>
      <w:r>
        <w:t xml:space="preserve">Class III CRISPR systems include a cyclic-oligo-A activated nuclease, Csm6.</w:t>
      </w:r>
      <w:r>
        <w:t xml:space="preserve"> </w:t>
      </w:r>
      <w:r>
        <w:t xml:space="preserve">We hypothesized that linking cas13 and csm6 using cas13 targets that release Csm6 activator upon cleavage would improve sensitivity.</w:t>
      </w:r>
      <w:r>
        <w:t xml:space="preserve"> </w:t>
      </w:r>
      <w:r>
        <w:t xml:space="preserve">We used kinetic modeling and spike in assays to show that secondary activator cleavage was limiting sensitivity.</w:t>
      </w:r>
      <w:r>
        <w:t xml:space="preserve"> </w:t>
      </w:r>
      <w:r>
        <w:t xml:space="preserve">Using an activator resistant to secondary cleavage allowed detection of SARS-COV2 in clinical samples.</w:t>
      </w:r>
      <w:r>
        <w:t xml:space="preserve"> </w:t>
      </w:r>
      <w:r>
        <w:t xml:space="preserve">My role in this work was kinetic modeling and writing the data analysis and statistical pipelines.</w:t>
      </w:r>
      <w:r>
        <w:t xml:space="preserve"> </w:t>
      </w:r>
      <w:r>
        <w:t xml:space="preserve">This work has improved time to detection and sensitivity in CRISPR diagnostics.</w:t>
      </w:r>
    </w:p>
    <w:bookmarkEnd w:id="37"/>
    <w:bookmarkEnd w:id="38"/>
    <w:bookmarkStart w:id="43" w:name="Xb36294bb847d34dd11a009fdb43df17867c1e23"/>
    <w:p>
      <w:pPr>
        <w:pStyle w:val="Heading2"/>
      </w:pPr>
      <w:r>
        <w:t xml:space="preserve">Driving carbon flux toward chemical production by engineering glucose uptake during nitrogen starvation:</w:t>
      </w:r>
    </w:p>
    <w:bookmarkStart w:id="39" w:name="historical-background-4"/>
    <w:p>
      <w:pPr>
        <w:pStyle w:val="Heading3"/>
      </w:pPr>
      <w:r>
        <w:t xml:space="preserve">Historical background</w:t>
      </w:r>
    </w:p>
    <w:p>
      <w:pPr>
        <w:pStyle w:val="FirstParagraph"/>
      </w:pPr>
      <w:r>
        <w:t xml:space="preserve">Using microbial hosts to produce chemicals offers the potential to produce a variety of compounds from renewable feed-stock.</w:t>
      </w:r>
      <w:r>
        <w:t xml:space="preserve"> </w:t>
      </w:r>
      <w:r>
        <w:t xml:space="preserve">However, production hosts frequently loose production efficiency as natural selection drives evolution towards redirecting carbon and energy flux towards growth not production.</w:t>
      </w:r>
      <w:r>
        <w:t xml:space="preserve"> </w:t>
      </w:r>
      <w:r>
        <w:t xml:space="preserve">This can be overcome by coupling production of the desired chemical to cell fitness, but in many cases this is not possible.</w:t>
      </w:r>
      <w:r>
        <w:t xml:space="preserve"> </w:t>
      </w:r>
      <w:r>
        <w:t xml:space="preserve">An alternative strategy is growth decoupling, in which production hosts are grown up, then growth is stopped and all metabolic flux is directed towards production.</w:t>
      </w:r>
      <w:r>
        <w:t xml:space="preserve"> </w:t>
      </w:r>
      <w:r>
        <w:t xml:space="preserve">However, when growth is stopped, many chassis organisms including</w:t>
      </w:r>
      <w:r>
        <w:t xml:space="preserve"> </w:t>
      </w:r>
      <w:r>
        <w:rPr>
          <w:iCs/>
          <w:i/>
        </w:rPr>
        <w:t xml:space="preserve">E. coli</w:t>
      </w:r>
      <w:r>
        <w:t xml:space="preserve"> </w:t>
      </w:r>
      <w:r>
        <w:t xml:space="preserve">slow and eventually halt their metabolism stopping production.</w:t>
      </w:r>
      <w:r>
        <w:t xml:space="preserve"> </w:t>
      </w:r>
      <w:r>
        <w:t xml:space="preserve">A general strategy for enhancing metabolic rate during growth decoupling would dramatically improve prospects for engineered chemical production in biological hosts.</w:t>
      </w:r>
    </w:p>
    <w:bookmarkEnd w:id="39"/>
    <w:bookmarkStart w:id="40" w:name="central-finding-3"/>
    <w:p>
      <w:pPr>
        <w:pStyle w:val="Heading3"/>
      </w:pPr>
      <w:r>
        <w:t xml:space="preserve">Central finding</w:t>
      </w:r>
    </w:p>
    <w:p>
      <w:pPr>
        <w:pStyle w:val="FirstParagraph"/>
      </w:pPr>
      <w:r>
        <w:t xml:space="preserve">We found that by over-expressing PstI we were able to increase glucose uptake after growth was stopped by nitrogen limitation.</w:t>
      </w:r>
      <w:r>
        <w:t xml:space="preserve"> </w:t>
      </w:r>
      <w:r>
        <w:t xml:space="preserve">However we did not find this increased glucose consumption increased yield significantly, and it is likely additional work will be needed to direct this increased flux towards chemical production.</w:t>
      </w:r>
    </w:p>
    <w:bookmarkEnd w:id="40"/>
    <w:bookmarkStart w:id="41" w:name="influenceapplication-3"/>
    <w:p>
      <w:pPr>
        <w:pStyle w:val="Heading3"/>
      </w:pPr>
      <w:r>
        <w:t xml:space="preserve">Influence/Application</w:t>
      </w:r>
    </w:p>
    <w:p>
      <w:pPr>
        <w:pStyle w:val="FirstParagraph"/>
      </w:pPr>
      <w:r>
        <w:t xml:space="preserve">This work provides another tool that metabolic engineers can use to optimize the production of their compound of interest.</w:t>
      </w:r>
    </w:p>
    <w:bookmarkEnd w:id="41"/>
    <w:bookmarkStart w:id="42" w:name="my-role-3"/>
    <w:p>
      <w:pPr>
        <w:pStyle w:val="Heading3"/>
      </w:pPr>
      <w:r>
        <w:t xml:space="preserve">My role</w:t>
      </w:r>
    </w:p>
    <w:p>
      <w:pPr>
        <w:pStyle w:val="FirstParagraph"/>
      </w:pPr>
      <w:r>
        <w:t xml:space="preserve">My role in this project was to perform growth and chemical production assays with modified strains and to prepare samples for mass spectrometry.</w:t>
      </w:r>
    </w:p>
    <w:bookmarkEnd w:id="42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2023-03-25T17:54:47Z</dcterms:created>
  <dcterms:modified xsi:type="dcterms:W3CDTF">2023-03-25T17:54:47Z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2023_04_08_sub_F32/2023_04_08_sub_Biosketch/mypapers.bib</vt:lpwstr>
  </property>
  <property fmtid="{D5CDD505-2E9C-101B-9397-08002B2CF9AE}" pid="3" name="nocite">
    <vt:lpwstr/>
  </property>
</Properties>
</file>