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A030" w14:textId="36255360" w:rsidR="004232E5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Doctoral Dissertation and Research Experience</w:t>
      </w:r>
    </w:p>
    <w:p w14:paraId="7AEC7348" w14:textId="1E9F89BE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Predoctoral research</w:t>
      </w:r>
    </w:p>
    <w:p w14:paraId="1FA89150" w14:textId="5C22065B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1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126FE2B4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Jay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</w:p>
    <w:p w14:paraId="6958C777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Summer intern,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University of Washington medical school, 2011-2012</w:t>
      </w:r>
    </w:p>
    <w:p w14:paraId="518BE907" w14:textId="1ADDACB4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My first research experiences were summer internships in the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during high school.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with postdoctoral fellows and graduate students in the lab to validate a mouse model for introduction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of new photo-receptors in adult animals to study color vision neural circuitry function. As part of this </w:t>
      </w:r>
      <w:proofErr w:type="gramStart"/>
      <w:r w:rsidRPr="00A607BB">
        <w:rPr>
          <w:rFonts w:ascii="Arial" w:hAnsi="Arial" w:cs="Arial"/>
          <w:sz w:val="22"/>
          <w:szCs w:val="22"/>
        </w:rPr>
        <w:t>project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on a color discrimination test for mice, took confocal images of mouse retinas, and measured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electroretinograms of mice after pilot experiments. I presented this work at two local competitions and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regional competition.</w:t>
      </w:r>
    </w:p>
    <w:p w14:paraId="6DBD0C2C" w14:textId="35BB4594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Junior Science &amp; Humanities Symposia, Westchester; 2012; Katonah, NY.</w:t>
      </w:r>
    </w:p>
    <w:p w14:paraId="6F1AE344" w14:textId="6C6900B3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Junior Science &amp; Humanities Symposia, Upstate New York; 2012; Albany, NY.</w:t>
      </w:r>
    </w:p>
    <w:p w14:paraId="701EFEB5" w14:textId="134CCD3D" w:rsidR="00500D58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Westchester Science and Engineering Fair; 2012; Tarrytown, NY.</w:t>
      </w:r>
    </w:p>
    <w:p w14:paraId="40DFF1DB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STEM innovation program</w:t>
      </w:r>
    </w:p>
    <w:p w14:paraId="6A4E22E4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Noah Graham, Frank </w:t>
      </w:r>
      <w:proofErr w:type="spellStart"/>
      <w:r w:rsidRPr="00A607BB">
        <w:rPr>
          <w:rFonts w:ascii="Arial" w:hAnsi="Arial" w:cs="Arial"/>
          <w:sz w:val="22"/>
          <w:szCs w:val="22"/>
        </w:rPr>
        <w:t>Swenton</w:t>
      </w:r>
      <w:proofErr w:type="spellEnd"/>
      <w:r w:rsidRPr="00A607BB">
        <w:rPr>
          <w:rFonts w:ascii="Arial" w:hAnsi="Arial" w:cs="Arial"/>
          <w:sz w:val="22"/>
          <w:szCs w:val="22"/>
        </w:rPr>
        <w:t>, Jeremy Ward</w:t>
      </w:r>
    </w:p>
    <w:p w14:paraId="529D77D8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STEM innovation program, Middlebury College, 2013</w:t>
      </w:r>
    </w:p>
    <w:p w14:paraId="40422FD7" w14:textId="7E1E0D9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my freshman year at college, I applied to and joined the STEM innovation program, where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 group of 9 undergraduates designed and executed a synthetic biology project. We set out to create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biosensor for detecting aromatic hydrocarbons in water samples, focusing on benzene, toluene,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ethylbenzene and xylene (BTEX) as they have been detected in groundwater near fracking wells.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designed and built constructs using a transcriptional regulator from P. putida, tested lyophilization/rehydration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protocols, and built and tested a portable fluorescence reader for testing samples.</w:t>
      </w:r>
    </w:p>
    <w:p w14:paraId="4890C492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Gibson lab</w:t>
      </w:r>
    </w:p>
    <w:p w14:paraId="74D1FE03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Matthew C. Gibson,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</w:p>
    <w:p w14:paraId="370AA54A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Stowers Summer Scholar, Gibson lab, Stowers Institute for Medical Research, 2014</w:t>
      </w:r>
    </w:p>
    <w:p w14:paraId="4B2C10D9" w14:textId="78A9209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the summer after my sophomore year, I was a Stowers summer scholar in Matthew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Gibson’s lab. I worked with the postdoc Dr.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  <w:r w:rsidRPr="00A607BB">
        <w:rPr>
          <w:rFonts w:ascii="Arial" w:hAnsi="Arial" w:cs="Arial"/>
          <w:sz w:val="22"/>
          <w:szCs w:val="22"/>
        </w:rPr>
        <w:t>, studying how the size on the embryo affects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early development of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sea anemones.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grows from an egg into a polyp with 4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 and then begins to eat and grow. At the </w:t>
      </w:r>
      <w:proofErr w:type="gramStart"/>
      <w:r w:rsidRPr="00A607BB">
        <w:rPr>
          <w:rFonts w:ascii="Arial" w:hAnsi="Arial" w:cs="Arial"/>
          <w:sz w:val="22"/>
          <w:szCs w:val="22"/>
        </w:rPr>
        <w:t>4 cell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stage, all 4 cells still retain their ability to produce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viable polyp. By subdividing embryos and observing their development, we hoped to observe the effects of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size on developmental processes like tentacle patterning.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Results Reducing embryo size also reduced polyp size, reducing length more than width, and tentacle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number. Mesentery number changed with tentacle number maintaining a ratio of two mesenteries for each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tentacle. Regardless of initial size, polyps grew to similar sizes before developing the first pair of additional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tentacles. </w:t>
      </w:r>
      <w:proofErr w:type="spellStart"/>
      <w:r w:rsidRPr="00A607BB">
        <w:rPr>
          <w:rFonts w:ascii="Arial" w:hAnsi="Arial" w:cs="Arial"/>
          <w:sz w:val="22"/>
          <w:szCs w:val="22"/>
        </w:rPr>
        <w:t>All together</w:t>
      </w:r>
      <w:proofErr w:type="spellEnd"/>
      <w:r w:rsidRPr="00A607BB">
        <w:rPr>
          <w:rFonts w:ascii="Arial" w:hAnsi="Arial" w:cs="Arial"/>
          <w:sz w:val="22"/>
          <w:szCs w:val="22"/>
        </w:rPr>
        <w:t>, this data suggested that tentacles are patterned in a size dependent manner.</w:t>
      </w:r>
    </w:p>
    <w:p w14:paraId="748F3CAE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4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3617D5F9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Jay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</w:p>
    <w:p w14:paraId="4B78878D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Amgen Scholar,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Joint Bioenergy Institute, University of California, Berkeley, 2015</w:t>
      </w:r>
    </w:p>
    <w:p w14:paraId="0E443821" w14:textId="03A7E454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After my junior year of college, I joined the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for the summer as an Amgen Scholar.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Under the mentorship of postdoc Dr.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>, I worked on developing chassis strains of E. coli that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could be used to improve yields in bio-production of fuels and chemicals. By developing chassis strains,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hoped to provide broadly applicable methods that applied to a variety of different target chemicals. One major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issue encountered by metabolic engineers in producing chemicals is shunting carbon and energy towards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lastRenderedPageBreak/>
        <w:t>growth not production. In order to avoid this growth and production can be separated by placing the cells in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growth limiting conditions while inducing the production pathway. However, many </w:t>
      </w:r>
      <w:proofErr w:type="gramStart"/>
      <w:r w:rsidRPr="00A607BB">
        <w:rPr>
          <w:rFonts w:ascii="Arial" w:hAnsi="Arial" w:cs="Arial"/>
          <w:sz w:val="22"/>
          <w:szCs w:val="22"/>
        </w:rPr>
        <w:t>chassis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strains will go</w:t>
      </w:r>
      <w:r w:rsidR="00BE7E53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dormant under these conditions. We tested the hypothesis that increasing glucose uptake during nitrogen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starvation would increase the amount of carbon and energy that could be directed to production.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Results In nitrogen starvation, </w:t>
      </w:r>
      <w:r w:rsidRPr="00A607BB">
        <w:rPr>
          <w:rFonts w:ascii="Arial" w:hAnsi="Arial" w:cs="Arial"/>
          <w:sz w:val="22"/>
          <w:szCs w:val="22"/>
          <w:lang w:val="el-GR"/>
        </w:rPr>
        <w:t>α</w:t>
      </w:r>
      <w:r w:rsidRPr="00A607BB">
        <w:rPr>
          <w:rFonts w:ascii="Arial" w:hAnsi="Arial" w:cs="Arial"/>
          <w:sz w:val="22"/>
          <w:szCs w:val="22"/>
        </w:rPr>
        <w:t xml:space="preserve">-ketoglutarate levels rise, inhibiting the enzyme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>. This blocks glucose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phosphorylation and therefore uptake. We trialed 3 methods to overcome this regulation. The first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over-expressing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. The second was a </w:t>
      </w:r>
      <w:proofErr w:type="spellStart"/>
      <w:r w:rsidRPr="00A607BB">
        <w:rPr>
          <w:rFonts w:ascii="Arial" w:hAnsi="Arial" w:cs="Arial"/>
          <w:sz w:val="22"/>
          <w:szCs w:val="22"/>
        </w:rPr>
        <w:t>PtsI-PtsP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chimera that was hypothesized to avoid inhibition.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third was </w:t>
      </w:r>
      <w:proofErr w:type="spellStart"/>
      <w:r w:rsidRPr="00A607BB">
        <w:rPr>
          <w:rFonts w:ascii="Arial" w:hAnsi="Arial" w:cs="Arial"/>
          <w:sz w:val="22"/>
          <w:szCs w:val="22"/>
        </w:rPr>
        <w:t>GalP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 permease and kinase that take up glucose through an orthogonal pathway.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found that all of these strategies increase glucose uptake during nitrogen limitation, but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 more effective than chimera over-expression, and Galp/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 can cause cell death. The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over-expression strain consumed 4x more glucose than WT during nitrogen starvation despite optical density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staying constant and a lack of fermentation byproducts being secreted. This suggests that the glucose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converted all the way to CO2 by the TCA cycle. We then tested if this strategy improved yield in a fatty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alcohol production experiment. We saw that while nitrogen staring the cells increased carbon use efficiency,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increasing their metabolic activity with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did not improve yield. We published these finding in NPJ systems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and synthetic biology.</w:t>
      </w:r>
    </w:p>
    <w:p w14:paraId="56EDBB56" w14:textId="5CD2B840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</w:t>
      </w:r>
      <w:r w:rsidRPr="00A607BB">
        <w:rPr>
          <w:rFonts w:ascii="Arial" w:hAnsi="Arial" w:cs="Arial"/>
          <w:sz w:val="22"/>
          <w:szCs w:val="22"/>
        </w:rPr>
        <w:t xml:space="preserve">., Wang, G., Chan, L. J. G., Baidoo, E. E. K., </w:t>
      </w:r>
      <w:proofErr w:type="spellStart"/>
      <w:r w:rsidRPr="00A607BB">
        <w:rPr>
          <w:rFonts w:ascii="Arial" w:hAnsi="Arial" w:cs="Arial"/>
          <w:sz w:val="22"/>
          <w:szCs w:val="22"/>
        </w:rPr>
        <w:t>Petzold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C. J.,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 D. &amp; Mukhopadhyay, A. Engineering glucose metabolism of Escherichia coli under nitrogen starvation. </w:t>
      </w:r>
      <w:r w:rsidRPr="00A607BB">
        <w:rPr>
          <w:rFonts w:ascii="Arial" w:hAnsi="Arial" w:cs="Arial"/>
          <w:i/>
          <w:iCs/>
          <w:sz w:val="22"/>
          <w:szCs w:val="22"/>
        </w:rPr>
        <w:t>NPJ Syst Biol Appl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3,</w:t>
      </w:r>
      <w:r w:rsidRPr="00A607BB">
        <w:rPr>
          <w:rFonts w:ascii="Arial" w:hAnsi="Arial" w:cs="Arial"/>
          <w:sz w:val="22"/>
          <w:szCs w:val="22"/>
        </w:rPr>
        <w:t xml:space="preserve"> 16035 (2017).</w:t>
      </w:r>
    </w:p>
    <w:p w14:paraId="16DE3DAF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5 Ward lab</w:t>
      </w:r>
    </w:p>
    <w:p w14:paraId="66F11E24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Jeremy Ward</w:t>
      </w:r>
    </w:p>
    <w:p w14:paraId="4B1E346D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Ward lab, Middlebury College, 2014-2016</w:t>
      </w:r>
    </w:p>
    <w:p w14:paraId="5F05A7C0" w14:textId="60EEE31E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In my Junior and Senior years of College I worked in the lab of Jeremy Ward. During my Junior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year, I studied meiotic crossover in Mouse spermatogenesis.</w:t>
      </w:r>
    </w:p>
    <w:p w14:paraId="77016629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EC158BB" w14:textId="0B2CD80F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6 Connection to fellowship</w:t>
      </w:r>
      <w:r w:rsidRPr="00A607BB">
        <w:rPr>
          <w:rFonts w:ascii="Arial" w:hAnsi="Arial" w:cs="Arial"/>
          <w:sz w:val="22"/>
          <w:szCs w:val="22"/>
        </w:rPr>
        <w:t xml:space="preserve"> These experiences helped me to decide to pursue a career as a scientist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launched my scientific career. These early projects exposed me to a wide variety of research areas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helped to guide me towards my eventual area of focus. These early research projects also gave me a wide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breadth of experience with different techniques and organisms. Finally, they allowed me to build my skills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planning and managing research projects, especially through my time running independent projects in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Ward lab and the STEM Innovation Project.</w:t>
      </w:r>
    </w:p>
    <w:p w14:paraId="31A3585A" w14:textId="77777777" w:rsidR="00500D58" w:rsidRPr="00A607BB" w:rsidRDefault="00500D58" w:rsidP="007A316C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Doctoral research</w:t>
      </w:r>
    </w:p>
    <w:p w14:paraId="6281489D" w14:textId="77777777" w:rsidR="00500D58" w:rsidRPr="00A607BB" w:rsidRDefault="00500D58" w:rsidP="007A316C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Savage lab - Studies of the CO</w:t>
      </w:r>
      <w:r w:rsidRPr="007A316C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A607BB">
        <w:rPr>
          <w:rFonts w:ascii="Arial" w:hAnsi="Arial" w:cs="Arial"/>
          <w:b/>
          <w:bCs/>
          <w:sz w:val="22"/>
          <w:szCs w:val="22"/>
        </w:rPr>
        <w:t xml:space="preserve"> concentrating mechanism</w:t>
      </w:r>
    </w:p>
    <w:p w14:paraId="14CB99A9" w14:textId="77777777" w:rsidR="00500D58" w:rsidRPr="00A607BB" w:rsidRDefault="00500D58" w:rsidP="007A316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61D2AE13" w14:textId="77777777" w:rsidR="00500D58" w:rsidRPr="00A607BB" w:rsidRDefault="00500D58" w:rsidP="007A316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6A6D0C41" w14:textId="4BC299D1" w:rsidR="00500D58" w:rsidRPr="00B819F3" w:rsidRDefault="00500D58" w:rsidP="007A316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="007A316C">
        <w:rPr>
          <w:rFonts w:ascii="Arial" w:hAnsi="Arial" w:cs="Arial"/>
          <w:sz w:val="22"/>
          <w:szCs w:val="22"/>
        </w:rPr>
        <w:t xml:space="preserve"> As part of my doctoral research, I studied the mechanism and evolution of HCO</w:t>
      </w:r>
      <w:r w:rsidR="007A316C">
        <w:rPr>
          <w:rFonts w:ascii="Arial" w:hAnsi="Arial" w:cs="Arial"/>
          <w:sz w:val="22"/>
          <w:szCs w:val="22"/>
          <w:vertAlign w:val="subscript"/>
        </w:rPr>
        <w:t>3</w:t>
      </w:r>
      <w:r w:rsidR="007A316C">
        <w:rPr>
          <w:rFonts w:ascii="Arial" w:hAnsi="Arial" w:cs="Arial"/>
          <w:sz w:val="22"/>
          <w:szCs w:val="22"/>
          <w:vertAlign w:val="superscript"/>
        </w:rPr>
        <w:t>-</w:t>
      </w:r>
      <w:r w:rsidR="007A316C">
        <w:rPr>
          <w:rFonts w:ascii="Arial" w:hAnsi="Arial" w:cs="Arial"/>
          <w:sz w:val="22"/>
          <w:szCs w:val="22"/>
        </w:rPr>
        <w:t xml:space="preserve"> pumps that power the </w:t>
      </w:r>
      <w:r w:rsidR="00BF6077">
        <w:rPr>
          <w:rFonts w:ascii="Arial" w:hAnsi="Arial" w:cs="Arial"/>
          <w:sz w:val="22"/>
          <w:szCs w:val="22"/>
        </w:rPr>
        <w:t>CO</w:t>
      </w:r>
      <w:r w:rsidR="00BF6077">
        <w:rPr>
          <w:rFonts w:ascii="Arial" w:hAnsi="Arial" w:cs="Arial"/>
          <w:sz w:val="22"/>
          <w:szCs w:val="22"/>
          <w:vertAlign w:val="subscript"/>
        </w:rPr>
        <w:t>2</w:t>
      </w:r>
      <w:r w:rsidR="00BF6077">
        <w:rPr>
          <w:rFonts w:ascii="Arial" w:hAnsi="Arial" w:cs="Arial"/>
          <w:sz w:val="22"/>
          <w:szCs w:val="22"/>
        </w:rPr>
        <w:t xml:space="preserve"> concentrating mechanism. Many autotrophic bacteria use </w:t>
      </w:r>
      <w:r w:rsidR="00BF6077">
        <w:rPr>
          <w:rFonts w:ascii="Arial" w:hAnsi="Arial" w:cs="Arial"/>
          <w:sz w:val="22"/>
          <w:szCs w:val="22"/>
        </w:rPr>
        <w:t>CO</w:t>
      </w:r>
      <w:r w:rsidR="00BF6077">
        <w:rPr>
          <w:rFonts w:ascii="Arial" w:hAnsi="Arial" w:cs="Arial"/>
          <w:sz w:val="22"/>
          <w:szCs w:val="22"/>
          <w:vertAlign w:val="subscript"/>
        </w:rPr>
        <w:t>2</w:t>
      </w:r>
      <w:r w:rsidR="00BF6077">
        <w:rPr>
          <w:rFonts w:ascii="Arial" w:hAnsi="Arial" w:cs="Arial"/>
          <w:sz w:val="22"/>
          <w:szCs w:val="22"/>
        </w:rPr>
        <w:t xml:space="preserve"> concentrating mechanism</w:t>
      </w:r>
      <w:r w:rsidR="00BF6077">
        <w:rPr>
          <w:rFonts w:ascii="Arial" w:hAnsi="Arial" w:cs="Arial"/>
          <w:sz w:val="22"/>
          <w:szCs w:val="22"/>
        </w:rPr>
        <w:t>s in order to increase the concentration of the CO</w:t>
      </w:r>
      <w:r w:rsidR="00BF6077">
        <w:rPr>
          <w:rFonts w:ascii="Arial" w:hAnsi="Arial" w:cs="Arial"/>
          <w:sz w:val="22"/>
          <w:szCs w:val="22"/>
          <w:vertAlign w:val="subscript"/>
        </w:rPr>
        <w:t>2</w:t>
      </w:r>
      <w:r w:rsidR="00BF6077">
        <w:rPr>
          <w:rFonts w:ascii="Arial" w:hAnsi="Arial" w:cs="Arial"/>
          <w:sz w:val="22"/>
          <w:szCs w:val="22"/>
        </w:rPr>
        <w:t xml:space="preserve"> they use as a carbon source. These systems work by pumping HCO</w:t>
      </w:r>
      <w:r w:rsidR="00BF6077">
        <w:rPr>
          <w:rFonts w:ascii="Arial" w:hAnsi="Arial" w:cs="Arial"/>
          <w:sz w:val="22"/>
          <w:szCs w:val="22"/>
          <w:vertAlign w:val="subscript"/>
        </w:rPr>
        <w:t>3</w:t>
      </w:r>
      <w:r w:rsidR="00BF6077">
        <w:rPr>
          <w:rFonts w:ascii="Arial" w:hAnsi="Arial" w:cs="Arial"/>
          <w:sz w:val="22"/>
          <w:szCs w:val="22"/>
          <w:vertAlign w:val="superscript"/>
        </w:rPr>
        <w:t>-</w:t>
      </w:r>
      <w:r w:rsidR="00BF6077">
        <w:rPr>
          <w:rFonts w:ascii="Arial" w:hAnsi="Arial" w:cs="Arial"/>
          <w:sz w:val="22"/>
          <w:szCs w:val="22"/>
        </w:rPr>
        <w:t xml:space="preserve"> into the cytosol, this HCO</w:t>
      </w:r>
      <w:r w:rsidR="00BF6077">
        <w:rPr>
          <w:rFonts w:ascii="Arial" w:hAnsi="Arial" w:cs="Arial"/>
          <w:sz w:val="22"/>
          <w:szCs w:val="22"/>
          <w:vertAlign w:val="subscript"/>
        </w:rPr>
        <w:t>3</w:t>
      </w:r>
      <w:r w:rsidR="00BF6077">
        <w:rPr>
          <w:rFonts w:ascii="Arial" w:hAnsi="Arial" w:cs="Arial"/>
          <w:sz w:val="22"/>
          <w:szCs w:val="22"/>
          <w:vertAlign w:val="superscript"/>
        </w:rPr>
        <w:t>-</w:t>
      </w:r>
      <w:r w:rsidR="00BF6077">
        <w:rPr>
          <w:rFonts w:ascii="Arial" w:hAnsi="Arial" w:cs="Arial"/>
          <w:sz w:val="22"/>
          <w:szCs w:val="22"/>
        </w:rPr>
        <w:t xml:space="preserve"> then enters a compartment where it is converted into</w:t>
      </w:r>
      <w:r w:rsidR="00BE560A">
        <w:rPr>
          <w:rFonts w:ascii="Arial" w:hAnsi="Arial" w:cs="Arial"/>
          <w:sz w:val="22"/>
          <w:szCs w:val="22"/>
        </w:rPr>
        <w:t xml:space="preserve"> a high local concentration of</w:t>
      </w:r>
      <w:r w:rsidR="00BF6077">
        <w:rPr>
          <w:rFonts w:ascii="Arial" w:hAnsi="Arial" w:cs="Arial"/>
          <w:sz w:val="22"/>
          <w:szCs w:val="22"/>
        </w:rPr>
        <w:t xml:space="preserve"> CO</w:t>
      </w:r>
      <w:r w:rsidR="00BF6077">
        <w:rPr>
          <w:rFonts w:ascii="Arial" w:hAnsi="Arial" w:cs="Arial"/>
          <w:sz w:val="22"/>
          <w:szCs w:val="22"/>
          <w:vertAlign w:val="subscript"/>
        </w:rPr>
        <w:t>2</w:t>
      </w:r>
      <w:r w:rsidR="00BF6077">
        <w:rPr>
          <w:rFonts w:ascii="Arial" w:hAnsi="Arial" w:cs="Arial"/>
          <w:sz w:val="22"/>
          <w:szCs w:val="22"/>
        </w:rPr>
        <w:t xml:space="preserve">. </w:t>
      </w:r>
      <w:r w:rsidR="007E225C">
        <w:rPr>
          <w:rFonts w:ascii="Arial" w:hAnsi="Arial" w:cs="Arial"/>
          <w:sz w:val="22"/>
          <w:szCs w:val="22"/>
        </w:rPr>
        <w:t xml:space="preserve">While the other components of the system were well characterized, the mechanism of </w:t>
      </w:r>
      <w:r w:rsidR="007E225C">
        <w:rPr>
          <w:rFonts w:ascii="Arial" w:hAnsi="Arial" w:cs="Arial"/>
          <w:sz w:val="22"/>
          <w:szCs w:val="22"/>
        </w:rPr>
        <w:t>HCO</w:t>
      </w:r>
      <w:r w:rsidR="007E225C">
        <w:rPr>
          <w:rFonts w:ascii="Arial" w:hAnsi="Arial" w:cs="Arial"/>
          <w:sz w:val="22"/>
          <w:szCs w:val="22"/>
          <w:vertAlign w:val="subscript"/>
        </w:rPr>
        <w:t>3</w:t>
      </w:r>
      <w:r w:rsidR="007E225C">
        <w:rPr>
          <w:rFonts w:ascii="Arial" w:hAnsi="Arial" w:cs="Arial"/>
          <w:sz w:val="22"/>
          <w:szCs w:val="22"/>
          <w:vertAlign w:val="superscript"/>
        </w:rPr>
        <w:t>-</w:t>
      </w:r>
      <w:r w:rsidR="007E225C">
        <w:rPr>
          <w:rFonts w:ascii="Arial" w:hAnsi="Arial" w:cs="Arial"/>
          <w:sz w:val="22"/>
          <w:szCs w:val="22"/>
        </w:rPr>
        <w:t xml:space="preserve"> pumping was unknown i</w:t>
      </w:r>
      <w:r w:rsidR="007E225C">
        <w:rPr>
          <w:rFonts w:ascii="Arial" w:hAnsi="Arial" w:cs="Arial"/>
          <w:sz w:val="22"/>
          <w:szCs w:val="22"/>
        </w:rPr>
        <w:t>n chemotrophic bacteria</w:t>
      </w:r>
      <w:r w:rsidR="007E225C">
        <w:rPr>
          <w:rFonts w:ascii="Arial" w:hAnsi="Arial" w:cs="Arial"/>
          <w:sz w:val="22"/>
          <w:szCs w:val="22"/>
        </w:rPr>
        <w:t>. I set out to characterize the mechanism of HCO</w:t>
      </w:r>
      <w:r w:rsidR="007E225C">
        <w:rPr>
          <w:rFonts w:ascii="Arial" w:hAnsi="Arial" w:cs="Arial"/>
          <w:sz w:val="22"/>
          <w:szCs w:val="22"/>
          <w:vertAlign w:val="subscript"/>
        </w:rPr>
        <w:t>3</w:t>
      </w:r>
      <w:r w:rsidR="007E225C">
        <w:rPr>
          <w:rFonts w:ascii="Arial" w:hAnsi="Arial" w:cs="Arial"/>
          <w:sz w:val="22"/>
          <w:szCs w:val="22"/>
          <w:vertAlign w:val="superscript"/>
        </w:rPr>
        <w:t>-</w:t>
      </w:r>
      <w:r w:rsidR="007E225C">
        <w:rPr>
          <w:rFonts w:ascii="Arial" w:hAnsi="Arial" w:cs="Arial"/>
          <w:sz w:val="22"/>
          <w:szCs w:val="22"/>
        </w:rPr>
        <w:t xml:space="preserve"> pumping in the model chemotroph </w:t>
      </w:r>
      <w:r w:rsidR="007E225C">
        <w:rPr>
          <w:rFonts w:ascii="Arial" w:hAnsi="Arial" w:cs="Arial"/>
          <w:i/>
          <w:iCs/>
          <w:sz w:val="22"/>
          <w:szCs w:val="22"/>
        </w:rPr>
        <w:t>H. neapolitanus</w:t>
      </w:r>
      <w:r w:rsidR="007E225C">
        <w:rPr>
          <w:rFonts w:ascii="Arial" w:hAnsi="Arial" w:cs="Arial"/>
          <w:sz w:val="22"/>
          <w:szCs w:val="22"/>
        </w:rPr>
        <w:t>. My first step was to use transposon mutagenesis to produce a pooled library of ~100,000 mutant strains. I measured growth rates for each of these strains as a function of CO</w:t>
      </w:r>
      <w:r w:rsidR="007E225C">
        <w:rPr>
          <w:rFonts w:ascii="Arial" w:hAnsi="Arial" w:cs="Arial"/>
          <w:sz w:val="22"/>
          <w:szCs w:val="22"/>
          <w:vertAlign w:val="subscript"/>
        </w:rPr>
        <w:t>2</w:t>
      </w:r>
      <w:r w:rsidR="007E225C">
        <w:rPr>
          <w:rFonts w:ascii="Arial" w:hAnsi="Arial" w:cs="Arial"/>
          <w:sz w:val="22"/>
          <w:szCs w:val="22"/>
        </w:rPr>
        <w:t xml:space="preserve"> concentration</w:t>
      </w:r>
      <w:r w:rsidR="00922E9B">
        <w:rPr>
          <w:rFonts w:ascii="Arial" w:hAnsi="Arial" w:cs="Arial"/>
          <w:sz w:val="22"/>
          <w:szCs w:val="22"/>
        </w:rPr>
        <w:t xml:space="preserve"> with a massively parallel growth assay</w:t>
      </w:r>
      <w:r w:rsidR="007E225C">
        <w:rPr>
          <w:rFonts w:ascii="Arial" w:hAnsi="Arial" w:cs="Arial"/>
          <w:sz w:val="22"/>
          <w:szCs w:val="22"/>
        </w:rPr>
        <w:t xml:space="preserve">, and used this information to identify </w:t>
      </w:r>
      <w:r w:rsidR="00AE5E1D">
        <w:rPr>
          <w:rFonts w:ascii="Arial" w:hAnsi="Arial" w:cs="Arial"/>
          <w:sz w:val="22"/>
          <w:szCs w:val="22"/>
        </w:rPr>
        <w:t>putative HCO</w:t>
      </w:r>
      <w:r w:rsidR="00AE5E1D">
        <w:rPr>
          <w:rFonts w:ascii="Arial" w:hAnsi="Arial" w:cs="Arial"/>
          <w:sz w:val="22"/>
          <w:szCs w:val="22"/>
          <w:vertAlign w:val="subscript"/>
        </w:rPr>
        <w:t>3</w:t>
      </w:r>
      <w:r w:rsidR="00AE5E1D">
        <w:rPr>
          <w:rFonts w:ascii="Arial" w:hAnsi="Arial" w:cs="Arial"/>
          <w:sz w:val="22"/>
          <w:szCs w:val="22"/>
          <w:vertAlign w:val="superscript"/>
        </w:rPr>
        <w:t>-</w:t>
      </w:r>
      <w:r w:rsidR="00AE5E1D">
        <w:rPr>
          <w:rFonts w:ascii="Arial" w:hAnsi="Arial" w:cs="Arial"/>
          <w:sz w:val="22"/>
          <w:szCs w:val="22"/>
        </w:rPr>
        <w:t xml:space="preserve"> pumps. I identified two putative transporter operons and set out to characterize them mechanistically. I first demonstrated that they were in fact sufficient for HCO</w:t>
      </w:r>
      <w:r w:rsidR="00AE5E1D">
        <w:rPr>
          <w:rFonts w:ascii="Arial" w:hAnsi="Arial" w:cs="Arial"/>
          <w:sz w:val="22"/>
          <w:szCs w:val="22"/>
          <w:vertAlign w:val="subscript"/>
        </w:rPr>
        <w:t>3</w:t>
      </w:r>
      <w:r w:rsidR="00AE5E1D">
        <w:rPr>
          <w:rFonts w:ascii="Arial" w:hAnsi="Arial" w:cs="Arial"/>
          <w:sz w:val="22"/>
          <w:szCs w:val="22"/>
          <w:vertAlign w:val="superscript"/>
        </w:rPr>
        <w:t>-</w:t>
      </w:r>
      <w:r w:rsidR="00AE5E1D">
        <w:rPr>
          <w:rFonts w:ascii="Arial" w:hAnsi="Arial" w:cs="Arial"/>
          <w:sz w:val="22"/>
          <w:szCs w:val="22"/>
        </w:rPr>
        <w:t xml:space="preserve"> pumping by cloning them into </w:t>
      </w:r>
      <w:r w:rsidR="00AE5E1D">
        <w:rPr>
          <w:rFonts w:ascii="Arial" w:hAnsi="Arial" w:cs="Arial"/>
          <w:i/>
          <w:iCs/>
          <w:sz w:val="22"/>
          <w:szCs w:val="22"/>
        </w:rPr>
        <w:t>E. coli</w:t>
      </w:r>
      <w:r w:rsidR="00AE5E1D">
        <w:rPr>
          <w:rFonts w:ascii="Arial" w:hAnsi="Arial" w:cs="Arial"/>
          <w:sz w:val="22"/>
          <w:szCs w:val="22"/>
        </w:rPr>
        <w:t xml:space="preserve"> and using reporter strain assays and C</w:t>
      </w:r>
      <w:r w:rsidR="00AE5E1D">
        <w:rPr>
          <w:rFonts w:ascii="Arial" w:hAnsi="Arial" w:cs="Arial"/>
          <w:sz w:val="22"/>
          <w:szCs w:val="22"/>
          <w:vertAlign w:val="superscript"/>
        </w:rPr>
        <w:t>14</w:t>
      </w:r>
      <w:r w:rsidR="00AE5E1D">
        <w:rPr>
          <w:rFonts w:ascii="Arial" w:hAnsi="Arial" w:cs="Arial"/>
          <w:sz w:val="22"/>
          <w:szCs w:val="22"/>
        </w:rPr>
        <w:t xml:space="preserve"> uptake assays to demonstrate pumping. </w:t>
      </w:r>
      <w:r w:rsidR="00922E9B">
        <w:rPr>
          <w:rFonts w:ascii="Arial" w:hAnsi="Arial" w:cs="Arial"/>
          <w:sz w:val="22"/>
          <w:szCs w:val="22"/>
        </w:rPr>
        <w:t>I then launched a series of mechanistic experiments with one of the two operons. I demonstrated that this operon produced a protein complex with a predicted zinc binding carbonic anhydrase active site. I confirmed the active site residues with point mutants and the presence of zinc with x-ray fluorescence. This suggested that the mechanism of pumping was not direct HCO</w:t>
      </w:r>
      <w:r w:rsidR="00922E9B">
        <w:rPr>
          <w:rFonts w:ascii="Arial" w:hAnsi="Arial" w:cs="Arial"/>
          <w:sz w:val="22"/>
          <w:szCs w:val="22"/>
          <w:vertAlign w:val="subscript"/>
        </w:rPr>
        <w:t>3</w:t>
      </w:r>
      <w:r w:rsidR="00922E9B">
        <w:rPr>
          <w:rFonts w:ascii="Arial" w:hAnsi="Arial" w:cs="Arial"/>
          <w:sz w:val="22"/>
          <w:szCs w:val="22"/>
          <w:vertAlign w:val="superscript"/>
        </w:rPr>
        <w:t>-</w:t>
      </w:r>
      <w:r w:rsidR="00922E9B">
        <w:rPr>
          <w:rFonts w:ascii="Arial" w:hAnsi="Arial" w:cs="Arial"/>
          <w:sz w:val="22"/>
          <w:szCs w:val="22"/>
        </w:rPr>
        <w:t xml:space="preserve"> import but instead energy coupled carbonic anhydrase activity. This causes pumping by converting membrane permeable CO</w:t>
      </w:r>
      <w:r w:rsidR="00922E9B">
        <w:rPr>
          <w:rFonts w:ascii="Arial" w:hAnsi="Arial" w:cs="Arial"/>
          <w:sz w:val="22"/>
          <w:szCs w:val="22"/>
          <w:vertAlign w:val="subscript"/>
        </w:rPr>
        <w:t>2</w:t>
      </w:r>
      <w:r w:rsidR="00922E9B">
        <w:rPr>
          <w:rFonts w:ascii="Arial" w:hAnsi="Arial" w:cs="Arial"/>
          <w:sz w:val="22"/>
          <w:szCs w:val="22"/>
        </w:rPr>
        <w:t xml:space="preserve"> into membrane impermeable HCO</w:t>
      </w:r>
      <w:r w:rsidR="00922E9B">
        <w:rPr>
          <w:rFonts w:ascii="Arial" w:hAnsi="Arial" w:cs="Arial"/>
          <w:sz w:val="22"/>
          <w:szCs w:val="22"/>
          <w:vertAlign w:val="subscript"/>
        </w:rPr>
        <w:t>3</w:t>
      </w:r>
      <w:r w:rsidR="00922E9B">
        <w:rPr>
          <w:rFonts w:ascii="Arial" w:hAnsi="Arial" w:cs="Arial"/>
          <w:sz w:val="22"/>
          <w:szCs w:val="22"/>
          <w:vertAlign w:val="superscript"/>
        </w:rPr>
        <w:t>-</w:t>
      </w:r>
      <w:r w:rsidR="00922E9B">
        <w:rPr>
          <w:rFonts w:ascii="Arial" w:hAnsi="Arial" w:cs="Arial"/>
          <w:sz w:val="22"/>
          <w:szCs w:val="22"/>
        </w:rPr>
        <w:t xml:space="preserve"> trapping it inside the </w:t>
      </w:r>
      <w:r w:rsidR="00922E9B">
        <w:rPr>
          <w:rFonts w:ascii="Arial" w:hAnsi="Arial" w:cs="Arial"/>
          <w:sz w:val="22"/>
          <w:szCs w:val="22"/>
        </w:rPr>
        <w:lastRenderedPageBreak/>
        <w:t xml:space="preserve">cell. I used pH response experiments to confirm this mechanism. I also identified that this activity was coupled to the electrochemical membrane gradient with drug treatments. </w:t>
      </w:r>
      <w:r w:rsidR="00B819F3">
        <w:rPr>
          <w:rFonts w:ascii="Arial" w:hAnsi="Arial" w:cs="Arial"/>
          <w:sz w:val="22"/>
          <w:szCs w:val="22"/>
        </w:rPr>
        <w:t xml:space="preserve">This is only the second family of energy coupled carbonic anhydrases ever discovered. I looked for homologous operons in other organisms, and found operons in a wide variety of other bacterial phyla including both other autotrophs and heterotrophs. I cloned the operons from two heterotrophic human pathogens </w:t>
      </w:r>
      <w:r w:rsidR="00B819F3">
        <w:rPr>
          <w:rFonts w:ascii="Arial" w:hAnsi="Arial" w:cs="Arial"/>
          <w:i/>
          <w:iCs/>
          <w:sz w:val="22"/>
          <w:szCs w:val="22"/>
        </w:rPr>
        <w:t>V. cholerae</w:t>
      </w:r>
      <w:r w:rsidR="00B819F3">
        <w:rPr>
          <w:rFonts w:ascii="Arial" w:hAnsi="Arial" w:cs="Arial"/>
          <w:sz w:val="22"/>
          <w:szCs w:val="22"/>
        </w:rPr>
        <w:t xml:space="preserve"> and </w:t>
      </w:r>
      <w:r w:rsidR="00B819F3">
        <w:rPr>
          <w:rFonts w:ascii="Arial" w:hAnsi="Arial" w:cs="Arial"/>
          <w:i/>
          <w:iCs/>
          <w:sz w:val="22"/>
          <w:szCs w:val="22"/>
        </w:rPr>
        <w:t>B. anthracis</w:t>
      </w:r>
      <w:r w:rsidR="00B819F3">
        <w:rPr>
          <w:rFonts w:ascii="Arial" w:hAnsi="Arial" w:cs="Arial"/>
          <w:sz w:val="22"/>
          <w:szCs w:val="22"/>
        </w:rPr>
        <w:t xml:space="preserve"> and confirmed that they were also functional HCO</w:t>
      </w:r>
      <w:r w:rsidR="00B819F3">
        <w:rPr>
          <w:rFonts w:ascii="Arial" w:hAnsi="Arial" w:cs="Arial"/>
          <w:sz w:val="22"/>
          <w:szCs w:val="22"/>
          <w:vertAlign w:val="subscript"/>
        </w:rPr>
        <w:t>3</w:t>
      </w:r>
      <w:r w:rsidR="00B819F3">
        <w:rPr>
          <w:rFonts w:ascii="Arial" w:hAnsi="Arial" w:cs="Arial"/>
          <w:sz w:val="22"/>
          <w:szCs w:val="22"/>
          <w:vertAlign w:val="superscript"/>
        </w:rPr>
        <w:t>-</w:t>
      </w:r>
      <w:r w:rsidR="00B819F3">
        <w:rPr>
          <w:rFonts w:ascii="Arial" w:hAnsi="Arial" w:cs="Arial"/>
          <w:sz w:val="22"/>
          <w:szCs w:val="22"/>
        </w:rPr>
        <w:t xml:space="preserve"> pumps. I presented posters of this work at the Western Photosynthesis conference and the Photosynthesis Gordon Research Conference. Most of the work was published in a Nature microbiology paper describing the discovery of the HCO</w:t>
      </w:r>
      <w:r w:rsidR="00B819F3">
        <w:rPr>
          <w:rFonts w:ascii="Arial" w:hAnsi="Arial" w:cs="Arial"/>
          <w:sz w:val="22"/>
          <w:szCs w:val="22"/>
          <w:vertAlign w:val="subscript"/>
        </w:rPr>
        <w:t>3</w:t>
      </w:r>
      <w:r w:rsidR="00B819F3">
        <w:rPr>
          <w:rFonts w:ascii="Arial" w:hAnsi="Arial" w:cs="Arial"/>
          <w:sz w:val="22"/>
          <w:szCs w:val="22"/>
          <w:vertAlign w:val="superscript"/>
        </w:rPr>
        <w:t>-</w:t>
      </w:r>
      <w:r w:rsidR="00B819F3">
        <w:rPr>
          <w:rFonts w:ascii="Arial" w:hAnsi="Arial" w:cs="Arial"/>
          <w:sz w:val="22"/>
          <w:szCs w:val="22"/>
        </w:rPr>
        <w:t xml:space="preserve"> pumps, but some of it became part of a study on the evolution of CO</w:t>
      </w:r>
      <w:r w:rsidR="00B819F3">
        <w:rPr>
          <w:rFonts w:ascii="Arial" w:hAnsi="Arial" w:cs="Arial"/>
          <w:sz w:val="22"/>
          <w:szCs w:val="22"/>
          <w:vertAlign w:val="subscript"/>
        </w:rPr>
        <w:t>2</w:t>
      </w:r>
      <w:r w:rsidR="00B819F3">
        <w:rPr>
          <w:rFonts w:ascii="Arial" w:hAnsi="Arial" w:cs="Arial"/>
          <w:sz w:val="22"/>
          <w:szCs w:val="22"/>
        </w:rPr>
        <w:t xml:space="preserve"> concentrating mechanisms that was published in PNAS.</w:t>
      </w:r>
    </w:p>
    <w:p w14:paraId="69F61F89" w14:textId="01396255" w:rsidR="00500D58" w:rsidRPr="00FD3B48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  <w:r w:rsidR="00FD3B48">
        <w:rPr>
          <w:rFonts w:ascii="Arial" w:hAnsi="Arial" w:cs="Arial"/>
          <w:sz w:val="22"/>
          <w:szCs w:val="22"/>
        </w:rPr>
        <w:t xml:space="preserve"> </w:t>
      </w:r>
    </w:p>
    <w:p w14:paraId="2154A35D" w14:textId="470BFDC7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Flamholz, A. I., Blikstad, C., Dugan, E. J., Laughlin, T. G., Oltrogge, L. M., Chen, A. W., Wetmore, K., Diamond, S., Wang, J. Y. &amp; Savage, D. F. DABs are inorganic carbon pumps found throughout prokaryotic phyla. </w:t>
      </w:r>
      <w:r w:rsidRPr="00A607BB">
        <w:rPr>
          <w:rFonts w:ascii="Arial" w:hAnsi="Arial" w:cs="Arial"/>
          <w:i/>
          <w:iCs/>
          <w:sz w:val="22"/>
          <w:szCs w:val="22"/>
        </w:rPr>
        <w:t xml:space="preserve">Nat </w:t>
      </w:r>
      <w:proofErr w:type="spellStart"/>
      <w:r w:rsidRPr="00A607BB">
        <w:rPr>
          <w:rFonts w:ascii="Arial" w:hAnsi="Arial" w:cs="Arial"/>
          <w:i/>
          <w:iCs/>
          <w:sz w:val="22"/>
          <w:szCs w:val="22"/>
        </w:rPr>
        <w:t>Microbiol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4,</w:t>
      </w:r>
      <w:r w:rsidRPr="00A607BB">
        <w:rPr>
          <w:rFonts w:ascii="Arial" w:hAnsi="Arial" w:cs="Arial"/>
          <w:sz w:val="22"/>
          <w:szCs w:val="22"/>
        </w:rPr>
        <w:t xml:space="preserve"> 2204–2215 (2019).</w:t>
      </w:r>
    </w:p>
    <w:p w14:paraId="0996D03D" w14:textId="4D145D85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Flamholz, A. I., Dugan, E., Panich,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Oltrogge, L. M., Fischer, W. W., Singer, S. W. &amp; Savage, D. F. Trajectories for the evolution of bacterial CO</w:t>
      </w:r>
      <w:r w:rsidRPr="00A607BB">
        <w:rPr>
          <w:rFonts w:ascii="Arial" w:hAnsi="Arial" w:cs="Arial"/>
          <w:sz w:val="22"/>
          <w:szCs w:val="22"/>
          <w:vertAlign w:val="subscript"/>
        </w:rPr>
        <w:t>2</w:t>
      </w:r>
      <w:r w:rsidRPr="00A607BB">
        <w:rPr>
          <w:rFonts w:ascii="Arial" w:hAnsi="Arial" w:cs="Arial"/>
          <w:sz w:val="22"/>
          <w:szCs w:val="22"/>
        </w:rPr>
        <w:t xml:space="preserve">-concentrating mechanisms. </w:t>
      </w:r>
      <w:r w:rsidRPr="00A607BB">
        <w:rPr>
          <w:rFonts w:ascii="Arial" w:hAnsi="Arial" w:cs="Arial"/>
          <w:i/>
          <w:iCs/>
          <w:sz w:val="22"/>
          <w:szCs w:val="22"/>
        </w:rPr>
        <w:t>Proceedings of the National Academy of Sciences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119,</w:t>
      </w:r>
      <w:r w:rsidRPr="00A607BB">
        <w:rPr>
          <w:rFonts w:ascii="Arial" w:hAnsi="Arial" w:cs="Arial"/>
          <w:sz w:val="22"/>
          <w:szCs w:val="22"/>
        </w:rPr>
        <w:t xml:space="preserve"> e2210539119 (2022).</w:t>
      </w:r>
    </w:p>
    <w:p w14:paraId="6DBDDCB9" w14:textId="0F8AEF7D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Flamholz, A. I., Blikstad, C., Dugan, E. J., Laughlin, T. G., Oltrogge, L. M., Chen, A. W., Wetmore, K., Diamond, S., Wang, J. Y. &amp; Savage, D. F.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DABs Accumulate Bicarbonate. Gordon Research Conference - Photosynthesis; 2019; Sunday River Resort, Maine.</w:t>
      </w:r>
    </w:p>
    <w:p w14:paraId="37912091" w14:textId="7F1FBDD0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Chen</w:t>
      </w:r>
      <w:r w:rsidR="00EF7C97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A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W</w:t>
      </w:r>
      <w:r w:rsidRPr="00A607BB">
        <w:rPr>
          <w:rFonts w:ascii="Arial" w:hAnsi="Arial" w:cs="Arial"/>
          <w:sz w:val="22"/>
          <w:szCs w:val="22"/>
        </w:rPr>
        <w:t>.</w:t>
      </w:r>
      <w:r w:rsidRPr="00A607BB">
        <w:rPr>
          <w:rFonts w:ascii="Arial" w:hAnsi="Arial" w:cs="Arial"/>
          <w:sz w:val="22"/>
          <w:szCs w:val="22"/>
        </w:rPr>
        <w:t>, Savage</w:t>
      </w:r>
      <w:r w:rsidR="00EF7C97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D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F. The essential gene set for bacterial carbon concentration. Western Photosynthesis Conference; 2018; Biosphere 2, Oracle, Arizona.</w:t>
      </w:r>
    </w:p>
    <w:p w14:paraId="6F9B7A0F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Savage lab - Protein engineering</w:t>
      </w:r>
    </w:p>
    <w:p w14:paraId="3AA6976C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240BDB62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5EC0D93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AC3087" w14:textId="544908A3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9CE705A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6FB90735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Savage lab - CRISPR tool development</w:t>
      </w:r>
    </w:p>
    <w:p w14:paraId="28566647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159E8C89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E8215F8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5F91BFC1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106B9D5F" w14:textId="29C4CE9F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C7DA2BC" w14:textId="77777777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Liu, T. Y., Knott, G. J., Smock, D. C.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Son, S., Bhuiya, A., Jakhanwal, S., Prywes, N., Agrawal, S., de León Derby, M. D., Switz, N. A., Armstrong, M., Harris, A. R., Charles, E. J., Thornton, B. W., Fozouni, P., Shu, J., Stephens, S. I., Kumar, G. R., Zhao, C., </w:t>
      </w:r>
      <w:proofErr w:type="spellStart"/>
      <w:r w:rsidRPr="00A607BB">
        <w:rPr>
          <w:rFonts w:ascii="Arial" w:hAnsi="Arial" w:cs="Arial"/>
          <w:sz w:val="22"/>
          <w:szCs w:val="22"/>
        </w:rPr>
        <w:t>Mok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A., Iavarone, A. T., Escajeda, A. M., McIntosh, R., Kim, S. E., Dugan, E. J., IGI Testing Consortium, Pollard, K. S., Tan, M. X., Ott, M., Fletcher, D. A., Lareau, L. F., Hsu, P. D., Savage, D. F. &amp; Doudna, J. A. Accelerated RNA detection using tandem CRISPR nucleases. </w:t>
      </w:r>
      <w:r w:rsidRPr="00A607BB">
        <w:rPr>
          <w:rFonts w:ascii="Arial" w:hAnsi="Arial" w:cs="Arial"/>
          <w:i/>
          <w:iCs/>
          <w:sz w:val="22"/>
          <w:szCs w:val="22"/>
        </w:rPr>
        <w:t>Nat. Chem. Biol.</w:t>
      </w:r>
      <w:r w:rsidRPr="00A607BB">
        <w:rPr>
          <w:rFonts w:ascii="Arial" w:hAnsi="Arial" w:cs="Arial"/>
          <w:sz w:val="22"/>
          <w:szCs w:val="22"/>
        </w:rPr>
        <w:t xml:space="preserve"> 1–7 (2021). doi:10.1101/2021.03.19.21253328</w:t>
      </w:r>
    </w:p>
    <w:p w14:paraId="4FD88743" w14:textId="300D6946" w:rsidR="00687BE6" w:rsidRPr="00A607BB" w:rsidRDefault="00687BE6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</w:rPr>
        <w:t>Liu, J.</w:t>
      </w:r>
      <w:r w:rsidR="00637BCD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J., </w:t>
      </w:r>
      <w:proofErr w:type="spellStart"/>
      <w:r w:rsidRPr="00A607BB">
        <w:rPr>
          <w:rFonts w:ascii="Arial" w:hAnsi="Arial" w:cs="Arial"/>
          <w:sz w:val="22"/>
          <w:szCs w:val="22"/>
        </w:rPr>
        <w:t>Orlova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N., Oakes, B. L., Ma, E., Spinner, H. B., </w:t>
      </w:r>
      <w:proofErr w:type="spellStart"/>
      <w:r w:rsidRPr="00A607BB">
        <w:rPr>
          <w:rFonts w:ascii="Arial" w:hAnsi="Arial" w:cs="Arial"/>
          <w:sz w:val="22"/>
          <w:szCs w:val="22"/>
        </w:rPr>
        <w:t>Baney</w:t>
      </w:r>
      <w:proofErr w:type="spellEnd"/>
      <w:r w:rsidRPr="00A607BB">
        <w:rPr>
          <w:rFonts w:ascii="Arial" w:hAnsi="Arial" w:cs="Arial"/>
          <w:sz w:val="22"/>
          <w:szCs w:val="22"/>
        </w:rPr>
        <w:t>, K. L. M., Chuck, J., Tan, D., Knott, G. J., Harrington, L. B., Al-</w:t>
      </w:r>
      <w:proofErr w:type="spellStart"/>
      <w:r w:rsidRPr="00A607BB">
        <w:rPr>
          <w:rFonts w:ascii="Arial" w:hAnsi="Arial" w:cs="Arial"/>
          <w:sz w:val="22"/>
          <w:szCs w:val="22"/>
        </w:rPr>
        <w:t>Shayeb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B., Wagner, A., </w:t>
      </w:r>
      <w:proofErr w:type="spellStart"/>
      <w:r w:rsidRPr="00A607BB">
        <w:rPr>
          <w:rFonts w:ascii="Arial" w:hAnsi="Arial" w:cs="Arial"/>
          <w:sz w:val="22"/>
          <w:szCs w:val="22"/>
        </w:rPr>
        <w:t>Brötzmann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Pr="00A607BB">
        <w:rPr>
          <w:rFonts w:ascii="Arial" w:hAnsi="Arial" w:cs="Arial"/>
          <w:sz w:val="22"/>
          <w:szCs w:val="22"/>
        </w:rPr>
        <w:t>Staahl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 T., Taylor, K. L., </w:t>
      </w:r>
      <w:r w:rsidRPr="00A607BB">
        <w:rPr>
          <w:rFonts w:ascii="Arial" w:hAnsi="Arial" w:cs="Arial"/>
          <w:b/>
          <w:bCs/>
          <w:sz w:val="22"/>
          <w:szCs w:val="22"/>
        </w:rPr>
        <w:t>Desmarais, J.</w:t>
      </w:r>
      <w:r w:rsidRPr="00A607BB">
        <w:rPr>
          <w:rFonts w:ascii="Arial" w:hAnsi="Arial" w:cs="Arial"/>
          <w:sz w:val="22"/>
          <w:szCs w:val="22"/>
        </w:rPr>
        <w:t xml:space="preserve">, Nogales, E. &amp; Doudna, J. A. </w:t>
      </w:r>
      <w:proofErr w:type="spellStart"/>
      <w:r w:rsidRPr="00A607BB">
        <w:rPr>
          <w:rFonts w:ascii="Arial" w:hAnsi="Arial" w:cs="Arial"/>
          <w:sz w:val="22"/>
          <w:szCs w:val="22"/>
        </w:rPr>
        <w:t>CasX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enzymes comprise a distinct family of RNA-guided genome editors. </w:t>
      </w:r>
      <w:r w:rsidRPr="00A607BB">
        <w:rPr>
          <w:rFonts w:ascii="Arial" w:hAnsi="Arial" w:cs="Arial"/>
          <w:i/>
          <w:iCs/>
          <w:sz w:val="22"/>
          <w:szCs w:val="22"/>
        </w:rPr>
        <w:t>Nature</w:t>
      </w:r>
      <w:r w:rsidRPr="00A607BB">
        <w:rPr>
          <w:rFonts w:ascii="Arial" w:hAnsi="Arial" w:cs="Arial"/>
          <w:sz w:val="22"/>
          <w:szCs w:val="22"/>
        </w:rPr>
        <w:t xml:space="preserve"> 1 (2019). doi:10.1038/s41586-019-0908-x</w:t>
      </w:r>
    </w:p>
    <w:p w14:paraId="1632ECAE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postdoctoral research</w:t>
      </w:r>
    </w:p>
    <w:p w14:paraId="3AAE97E5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Kinney lab</w:t>
      </w:r>
    </w:p>
    <w:p w14:paraId="5705FE03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Justin Kinney</w:t>
      </w:r>
    </w:p>
    <w:p w14:paraId="1BEEA06B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lastRenderedPageBreak/>
        <w:t>Role</w:t>
      </w:r>
      <w:r w:rsidRPr="00A607BB">
        <w:rPr>
          <w:rFonts w:ascii="Arial" w:hAnsi="Arial" w:cs="Arial"/>
          <w:sz w:val="22"/>
          <w:szCs w:val="22"/>
        </w:rPr>
        <w:t xml:space="preserve"> Computational Postdoctoral Fellow, Kinney Lab, Cold Spring Harbor Laboratory, 2023</w:t>
      </w:r>
    </w:p>
    <w:p w14:paraId="2C8CEEDB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B41410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58726EBF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90F736C" w14:textId="77777777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Goals for the Fellowship and Training</w:t>
      </w:r>
    </w:p>
    <w:p w14:paraId="20CBCE81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Overall training goals</w:t>
      </w:r>
    </w:p>
    <w:p w14:paraId="45BDDD4A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Skills to be enhanced</w:t>
      </w:r>
    </w:p>
    <w:p w14:paraId="1FDF4317" w14:textId="77777777" w:rsidR="00500D58" w:rsidRPr="00A607BB" w:rsidRDefault="00500D58" w:rsidP="007A316C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Preparation for career plans</w:t>
      </w:r>
    </w:p>
    <w:p w14:paraId="71B1077B" w14:textId="531D8FB6" w:rsidR="00500D58" w:rsidRPr="00A607BB" w:rsidRDefault="00500D58" w:rsidP="007A31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Activities Planned Under This Award</w:t>
      </w:r>
    </w:p>
    <w:sectPr w:rsidR="00500D58" w:rsidRPr="00A607BB" w:rsidSect="00780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2"/>
    <w:rsid w:val="004232E5"/>
    <w:rsid w:val="00500D58"/>
    <w:rsid w:val="00637BCD"/>
    <w:rsid w:val="00674A42"/>
    <w:rsid w:val="00687BE6"/>
    <w:rsid w:val="00780AC8"/>
    <w:rsid w:val="007A316C"/>
    <w:rsid w:val="007E225C"/>
    <w:rsid w:val="00853741"/>
    <w:rsid w:val="00922E9B"/>
    <w:rsid w:val="00A453A8"/>
    <w:rsid w:val="00A607BB"/>
    <w:rsid w:val="00A638F8"/>
    <w:rsid w:val="00AE5E1D"/>
    <w:rsid w:val="00B819F3"/>
    <w:rsid w:val="00BE560A"/>
    <w:rsid w:val="00BE7E53"/>
    <w:rsid w:val="00BF6077"/>
    <w:rsid w:val="00C97664"/>
    <w:rsid w:val="00CD16DE"/>
    <w:rsid w:val="00EB2395"/>
    <w:rsid w:val="00EF7C97"/>
    <w:rsid w:val="00F26383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77D7"/>
  <w15:chartTrackingRefBased/>
  <w15:docId w15:val="{1BFA16D4-F2D2-5D49-9972-2AED13D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1853</Words>
  <Characters>10327</Characters>
  <Application>Microsoft Office Word</Application>
  <DocSecurity>0</DocSecurity>
  <Lines>149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13</cp:revision>
  <dcterms:created xsi:type="dcterms:W3CDTF">2023-04-02T00:28:00Z</dcterms:created>
  <dcterms:modified xsi:type="dcterms:W3CDTF">2023-04-02T02:39:00Z</dcterms:modified>
</cp:coreProperties>
</file>