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A030" w14:textId="36255360" w:rsidR="004232E5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Doctoral Dissertation and Research Experience</w:t>
      </w:r>
    </w:p>
    <w:p w14:paraId="7AEC7348" w14:textId="1E9F89BE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Predoctoral research</w:t>
      </w:r>
    </w:p>
    <w:p w14:paraId="1FA89150" w14:textId="5C22065B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 xml:space="preserve">1 </w:t>
      </w:r>
      <w:proofErr w:type="spellStart"/>
      <w:r w:rsidRPr="00A607BB">
        <w:rPr>
          <w:rFonts w:ascii="Arial" w:hAnsi="Arial" w:cs="Arial"/>
          <w:b/>
          <w:bCs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b/>
          <w:bCs/>
          <w:sz w:val="22"/>
          <w:szCs w:val="22"/>
        </w:rPr>
        <w:t xml:space="preserve"> lab</w:t>
      </w:r>
    </w:p>
    <w:p w14:paraId="126FE2B4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Jay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</w:p>
    <w:p w14:paraId="6958C777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Summer intern,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lab, University of Washington medical school, 2011-2012</w:t>
      </w:r>
    </w:p>
    <w:p w14:paraId="518BE907" w14:textId="1ADDACB4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My first research experiences were summer internships in the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 during high school. I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worked with postdoctoral fellows and graduate students in the lab to validate a mouse model for introduction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of new photo-receptors in adult animals to study color vision neural circuitry function. As part of this </w:t>
      </w:r>
      <w:proofErr w:type="gramStart"/>
      <w:r w:rsidRPr="00A607BB">
        <w:rPr>
          <w:rFonts w:ascii="Arial" w:hAnsi="Arial" w:cs="Arial"/>
          <w:sz w:val="22"/>
          <w:szCs w:val="22"/>
        </w:rPr>
        <w:t>project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I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worked on a color discrimination test for mice, took confocal images of mouse retinas, and measured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electroretinograms of mice after pilot experiments. I presented this work at two local competitions and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regional competition.</w:t>
      </w:r>
    </w:p>
    <w:p w14:paraId="6DBD0C2C" w14:textId="35BB4594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EF7C97">
        <w:rPr>
          <w:rFonts w:ascii="Arial" w:hAnsi="Arial" w:cs="Arial"/>
          <w:b/>
          <w:bCs/>
          <w:sz w:val="22"/>
          <w:szCs w:val="22"/>
        </w:rPr>
        <w:t>Desmarais</w:t>
      </w:r>
      <w:r w:rsidR="00EF7C97">
        <w:rPr>
          <w:rFonts w:ascii="Arial" w:hAnsi="Arial" w:cs="Arial"/>
          <w:b/>
          <w:bCs/>
          <w:sz w:val="22"/>
          <w:szCs w:val="22"/>
        </w:rPr>
        <w:t>,</w:t>
      </w:r>
      <w:r w:rsidRPr="00EF7C97">
        <w:rPr>
          <w:rFonts w:ascii="Arial" w:hAnsi="Arial" w:cs="Arial"/>
          <w:b/>
          <w:bCs/>
          <w:sz w:val="22"/>
          <w:szCs w:val="22"/>
        </w:rPr>
        <w:t xml:space="preserve"> J</w:t>
      </w:r>
      <w:r w:rsidR="00EF7C97" w:rsidRPr="00EF7C97">
        <w:rPr>
          <w:rFonts w:ascii="Arial" w:hAnsi="Arial" w:cs="Arial"/>
          <w:b/>
          <w:bCs/>
          <w:sz w:val="22"/>
          <w:szCs w:val="22"/>
        </w:rPr>
        <w:t xml:space="preserve">. </w:t>
      </w:r>
      <w:r w:rsidRPr="00EF7C97">
        <w:rPr>
          <w:rFonts w:ascii="Arial" w:hAnsi="Arial" w:cs="Arial"/>
          <w:b/>
          <w:bCs/>
          <w:sz w:val="22"/>
          <w:szCs w:val="22"/>
        </w:rPr>
        <w:t>J.</w:t>
      </w:r>
      <w:r w:rsidRPr="00A607BB">
        <w:rPr>
          <w:rFonts w:ascii="Arial" w:hAnsi="Arial" w:cs="Arial"/>
          <w:sz w:val="22"/>
          <w:szCs w:val="22"/>
        </w:rPr>
        <w:t xml:space="preserve"> Photopigment expression and function using targeted knock-in/knock-out mice: Intravitreal injections. Junior Science &amp; Humanities Symposia, Westchester; 2012; Katonah, NY.</w:t>
      </w:r>
    </w:p>
    <w:p w14:paraId="6F1AE344" w14:textId="6C6900B3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EF7C97">
        <w:rPr>
          <w:rFonts w:ascii="Arial" w:hAnsi="Arial" w:cs="Arial"/>
          <w:b/>
          <w:bCs/>
          <w:sz w:val="22"/>
          <w:szCs w:val="22"/>
        </w:rPr>
        <w:t>Desmarais</w:t>
      </w:r>
      <w:r w:rsidR="00EF7C97">
        <w:rPr>
          <w:rFonts w:ascii="Arial" w:hAnsi="Arial" w:cs="Arial"/>
          <w:b/>
          <w:bCs/>
          <w:sz w:val="22"/>
          <w:szCs w:val="22"/>
        </w:rPr>
        <w:t>,</w:t>
      </w:r>
      <w:r w:rsidRPr="00EF7C97">
        <w:rPr>
          <w:rFonts w:ascii="Arial" w:hAnsi="Arial" w:cs="Arial"/>
          <w:b/>
          <w:bCs/>
          <w:sz w:val="22"/>
          <w:szCs w:val="22"/>
        </w:rPr>
        <w:t xml:space="preserve"> J</w:t>
      </w:r>
      <w:r w:rsidR="00EF7C97" w:rsidRPr="00EF7C97">
        <w:rPr>
          <w:rFonts w:ascii="Arial" w:hAnsi="Arial" w:cs="Arial"/>
          <w:b/>
          <w:bCs/>
          <w:sz w:val="22"/>
          <w:szCs w:val="22"/>
        </w:rPr>
        <w:t xml:space="preserve">. </w:t>
      </w:r>
      <w:r w:rsidRPr="00EF7C97">
        <w:rPr>
          <w:rFonts w:ascii="Arial" w:hAnsi="Arial" w:cs="Arial"/>
          <w:b/>
          <w:bCs/>
          <w:sz w:val="22"/>
          <w:szCs w:val="22"/>
        </w:rPr>
        <w:t>J.</w:t>
      </w:r>
      <w:r w:rsidRPr="00A607BB">
        <w:rPr>
          <w:rFonts w:ascii="Arial" w:hAnsi="Arial" w:cs="Arial"/>
          <w:sz w:val="22"/>
          <w:szCs w:val="22"/>
        </w:rPr>
        <w:t xml:space="preserve"> Photopigment expression and function using targeted knock-in/knock-out mice: Intravitreal injections. Junior Science &amp; Humanities Symposia, Upstate New York; 2012; Albany, NY.</w:t>
      </w:r>
    </w:p>
    <w:p w14:paraId="701EFEB5" w14:textId="134CCD3D" w:rsidR="00500D58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EF7C97">
        <w:rPr>
          <w:rFonts w:ascii="Arial" w:hAnsi="Arial" w:cs="Arial"/>
          <w:b/>
          <w:bCs/>
          <w:sz w:val="22"/>
          <w:szCs w:val="22"/>
        </w:rPr>
        <w:t>Desmarais</w:t>
      </w:r>
      <w:r w:rsidR="00EF7C97">
        <w:rPr>
          <w:rFonts w:ascii="Arial" w:hAnsi="Arial" w:cs="Arial"/>
          <w:b/>
          <w:bCs/>
          <w:sz w:val="22"/>
          <w:szCs w:val="22"/>
        </w:rPr>
        <w:t>,</w:t>
      </w:r>
      <w:r w:rsidRPr="00EF7C97">
        <w:rPr>
          <w:rFonts w:ascii="Arial" w:hAnsi="Arial" w:cs="Arial"/>
          <w:b/>
          <w:bCs/>
          <w:sz w:val="22"/>
          <w:szCs w:val="22"/>
        </w:rPr>
        <w:t xml:space="preserve"> J</w:t>
      </w:r>
      <w:r w:rsidR="00EF7C97" w:rsidRPr="00EF7C97">
        <w:rPr>
          <w:rFonts w:ascii="Arial" w:hAnsi="Arial" w:cs="Arial"/>
          <w:b/>
          <w:bCs/>
          <w:sz w:val="22"/>
          <w:szCs w:val="22"/>
        </w:rPr>
        <w:t xml:space="preserve">. </w:t>
      </w:r>
      <w:r w:rsidRPr="00EF7C97">
        <w:rPr>
          <w:rFonts w:ascii="Arial" w:hAnsi="Arial" w:cs="Arial"/>
          <w:b/>
          <w:bCs/>
          <w:sz w:val="22"/>
          <w:szCs w:val="22"/>
        </w:rPr>
        <w:t>J.</w:t>
      </w:r>
      <w:r w:rsidRPr="00A607BB">
        <w:rPr>
          <w:rFonts w:ascii="Arial" w:hAnsi="Arial" w:cs="Arial"/>
          <w:sz w:val="22"/>
          <w:szCs w:val="22"/>
        </w:rPr>
        <w:t xml:space="preserve"> Photopigment expression and function using targeted knock-in/knock-out mice: Intravitreal injections. Westchester Science and Engineering Fair; 2012; Tarrytown, NY.</w:t>
      </w:r>
    </w:p>
    <w:p w14:paraId="40DFF1DB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2 STEM innovation program</w:t>
      </w:r>
    </w:p>
    <w:p w14:paraId="6A4E22E4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Noah Graham, Frank </w:t>
      </w:r>
      <w:proofErr w:type="spellStart"/>
      <w:r w:rsidRPr="00A607BB">
        <w:rPr>
          <w:rFonts w:ascii="Arial" w:hAnsi="Arial" w:cs="Arial"/>
          <w:sz w:val="22"/>
          <w:szCs w:val="22"/>
        </w:rPr>
        <w:t>Swenton</w:t>
      </w:r>
      <w:proofErr w:type="spellEnd"/>
      <w:r w:rsidRPr="00A607BB">
        <w:rPr>
          <w:rFonts w:ascii="Arial" w:hAnsi="Arial" w:cs="Arial"/>
          <w:sz w:val="22"/>
          <w:szCs w:val="22"/>
        </w:rPr>
        <w:t>, Jeremy Ward</w:t>
      </w:r>
    </w:p>
    <w:p w14:paraId="529D77D8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Researcher, STEM innovation program, Middlebury College, 2013</w:t>
      </w:r>
    </w:p>
    <w:p w14:paraId="40422FD7" w14:textId="7E1E0D9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During my freshman year at college, I applied to and joined the STEM innovation program, where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 group of 9 undergraduates designed and executed a synthetic biology project. We set out to create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biosensor for detecting aromatic hydrocarbons in water samples, focusing on benzene, toluene,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ethylbenzene and xylene (BTEX) as they have been detected in groundwater near fracking wells.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designed and built constructs using a transcriptional regulator from P. putida, tested lyophilization/rehydration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protocols, and built and tested a portable fluorescence reader for testing samples.</w:t>
      </w:r>
    </w:p>
    <w:p w14:paraId="4890C492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3 Gibson lab</w:t>
      </w:r>
    </w:p>
    <w:p w14:paraId="74D1FE03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Matthew C. Gibson, </w:t>
      </w:r>
      <w:proofErr w:type="spellStart"/>
      <w:r w:rsidRPr="00A607BB">
        <w:rPr>
          <w:rFonts w:ascii="Arial" w:hAnsi="Arial" w:cs="Arial"/>
          <w:sz w:val="22"/>
          <w:szCs w:val="22"/>
        </w:rPr>
        <w:t>Aissam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07BB">
        <w:rPr>
          <w:rFonts w:ascii="Arial" w:hAnsi="Arial" w:cs="Arial"/>
          <w:sz w:val="22"/>
          <w:szCs w:val="22"/>
        </w:rPr>
        <w:t>Ikmi</w:t>
      </w:r>
      <w:proofErr w:type="spellEnd"/>
    </w:p>
    <w:p w14:paraId="370AA54A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Stowers Summer Scholar, Gibson lab, Stowers Institute for Medical Research, 2014</w:t>
      </w:r>
    </w:p>
    <w:p w14:paraId="4B2C10D9" w14:textId="78A9209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During the summer after my sophomore year, I was a Stowers summer scholar in Matthew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Gibson’s lab. I worked with the postdoc Dr. </w:t>
      </w:r>
      <w:proofErr w:type="spellStart"/>
      <w:r w:rsidRPr="00A607BB">
        <w:rPr>
          <w:rFonts w:ascii="Arial" w:hAnsi="Arial" w:cs="Arial"/>
          <w:sz w:val="22"/>
          <w:szCs w:val="22"/>
        </w:rPr>
        <w:t>Aissam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07BB">
        <w:rPr>
          <w:rFonts w:ascii="Arial" w:hAnsi="Arial" w:cs="Arial"/>
          <w:sz w:val="22"/>
          <w:szCs w:val="22"/>
        </w:rPr>
        <w:t>Ikmi</w:t>
      </w:r>
      <w:proofErr w:type="spellEnd"/>
      <w:r w:rsidRPr="00A607BB">
        <w:rPr>
          <w:rFonts w:ascii="Arial" w:hAnsi="Arial" w:cs="Arial"/>
          <w:sz w:val="22"/>
          <w:szCs w:val="22"/>
        </w:rPr>
        <w:t>, studying how the size on the embryo affects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early development of N. </w:t>
      </w:r>
      <w:proofErr w:type="spellStart"/>
      <w:r w:rsidRPr="00A607BB">
        <w:rPr>
          <w:rFonts w:ascii="Arial" w:hAnsi="Arial" w:cs="Arial"/>
          <w:sz w:val="22"/>
          <w:szCs w:val="22"/>
        </w:rPr>
        <w:t>vectensis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sea anemones. N. </w:t>
      </w:r>
      <w:proofErr w:type="spellStart"/>
      <w:r w:rsidRPr="00A607BB">
        <w:rPr>
          <w:rFonts w:ascii="Arial" w:hAnsi="Arial" w:cs="Arial"/>
          <w:sz w:val="22"/>
          <w:szCs w:val="22"/>
        </w:rPr>
        <w:t>vectensis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grows from an egg into a polyp with 4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tentacles and then begins to eat and grow. At the </w:t>
      </w:r>
      <w:proofErr w:type="gramStart"/>
      <w:r w:rsidRPr="00A607BB">
        <w:rPr>
          <w:rFonts w:ascii="Arial" w:hAnsi="Arial" w:cs="Arial"/>
          <w:sz w:val="22"/>
          <w:szCs w:val="22"/>
        </w:rPr>
        <w:t>4 cell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stage, all 4 cells still retain their ability to produce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viable polyp. By subdividing embryos and observing their development, we hoped to observe the effects of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size on developmental processes like tentacle patterning.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Results Reducing embryo size also reduced polyp size, reducing length more than width, and tentacle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number. Mesentery number changed with tentacle number maintaining a ratio of two mesenteries for each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tentacle. Regardless of initial size, polyps grew to similar sizes before developing the first pair of additional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tentacles. </w:t>
      </w:r>
      <w:proofErr w:type="spellStart"/>
      <w:r w:rsidRPr="00A607BB">
        <w:rPr>
          <w:rFonts w:ascii="Arial" w:hAnsi="Arial" w:cs="Arial"/>
          <w:sz w:val="22"/>
          <w:szCs w:val="22"/>
        </w:rPr>
        <w:t>All together</w:t>
      </w:r>
      <w:proofErr w:type="spellEnd"/>
      <w:r w:rsidRPr="00A607BB">
        <w:rPr>
          <w:rFonts w:ascii="Arial" w:hAnsi="Arial" w:cs="Arial"/>
          <w:sz w:val="22"/>
          <w:szCs w:val="22"/>
        </w:rPr>
        <w:t>, this data suggested that tentacles are patterned in a size dependent manner.</w:t>
      </w:r>
    </w:p>
    <w:p w14:paraId="748F3CAE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 xml:space="preserve">4 </w:t>
      </w:r>
      <w:proofErr w:type="spellStart"/>
      <w:r w:rsidRPr="00A607BB">
        <w:rPr>
          <w:rFonts w:ascii="Arial" w:hAnsi="Arial" w:cs="Arial"/>
          <w:b/>
          <w:bCs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b/>
          <w:bCs/>
          <w:sz w:val="22"/>
          <w:szCs w:val="22"/>
        </w:rPr>
        <w:t xml:space="preserve"> lab</w:t>
      </w:r>
    </w:p>
    <w:p w14:paraId="3617D5F9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Jay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Victor </w:t>
      </w: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</w:p>
    <w:p w14:paraId="4B78878D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Amgen Scholar,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lab, Joint Bioenergy Institute, University of California, Berkeley, 2015</w:t>
      </w:r>
    </w:p>
    <w:p w14:paraId="0E443821" w14:textId="03A7E454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After my junior year of college, I joined the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 for the summer as an Amgen Scholar.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Under the mentorship of postdoc Dr. Victor </w:t>
      </w: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  <w:r w:rsidRPr="00A607BB">
        <w:rPr>
          <w:rFonts w:ascii="Arial" w:hAnsi="Arial" w:cs="Arial"/>
          <w:sz w:val="22"/>
          <w:szCs w:val="22"/>
        </w:rPr>
        <w:t>, I worked on developing chassis strains of E. coli that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could be used to improve yields in bio-production of fuels and chemicals. By developing chassis strains,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hoped to provide broadly applicable methods that applied to a variety of different target chemicals. One major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issue encountered by metabolic engineers in producing chemicals is shunting carbon and energy towards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lastRenderedPageBreak/>
        <w:t>growth not production. In order to avoid this growth and production can be separated by placing the cells in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growth limiting conditions while inducing the production pathway. However, many </w:t>
      </w:r>
      <w:proofErr w:type="gramStart"/>
      <w:r w:rsidRPr="00A607BB">
        <w:rPr>
          <w:rFonts w:ascii="Arial" w:hAnsi="Arial" w:cs="Arial"/>
          <w:sz w:val="22"/>
          <w:szCs w:val="22"/>
        </w:rPr>
        <w:t>chassis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strains will go</w:t>
      </w:r>
      <w:r w:rsidR="00BE7E53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dormant under these conditions. We tested the hypothesis that increasing glucose uptake during nitrogen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starvation would increase the amount of carbon and energy that could be directed to production.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Results In nitrogen starvation, </w:t>
      </w:r>
      <w:r w:rsidRPr="00A607BB">
        <w:rPr>
          <w:rFonts w:ascii="Arial" w:hAnsi="Arial" w:cs="Arial"/>
          <w:sz w:val="22"/>
          <w:szCs w:val="22"/>
          <w:lang w:val="el-GR"/>
        </w:rPr>
        <w:t>α</w:t>
      </w:r>
      <w:r w:rsidRPr="00A607BB">
        <w:rPr>
          <w:rFonts w:ascii="Arial" w:hAnsi="Arial" w:cs="Arial"/>
          <w:sz w:val="22"/>
          <w:szCs w:val="22"/>
        </w:rPr>
        <w:t xml:space="preserve">-ketoglutarate levels rise, inhibiting the enzyme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>. This blocks glucose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phosphorylation and therefore uptake. We trialed 3 methods to overcome this regulation. The first was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over-expressing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. The second was a </w:t>
      </w:r>
      <w:proofErr w:type="spellStart"/>
      <w:r w:rsidRPr="00A607BB">
        <w:rPr>
          <w:rFonts w:ascii="Arial" w:hAnsi="Arial" w:cs="Arial"/>
          <w:sz w:val="22"/>
          <w:szCs w:val="22"/>
        </w:rPr>
        <w:t>PtsI-PtsP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chimera that was hypothesized to avoid inhibition.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third was </w:t>
      </w:r>
      <w:proofErr w:type="spellStart"/>
      <w:r w:rsidRPr="00A607BB">
        <w:rPr>
          <w:rFonts w:ascii="Arial" w:hAnsi="Arial" w:cs="Arial"/>
          <w:sz w:val="22"/>
          <w:szCs w:val="22"/>
        </w:rPr>
        <w:t>GalP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607BB">
        <w:rPr>
          <w:rFonts w:ascii="Arial" w:hAnsi="Arial" w:cs="Arial"/>
          <w:sz w:val="22"/>
          <w:szCs w:val="22"/>
        </w:rPr>
        <w:t>Glk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a permease and kinase that take up glucose through an orthogonal pathway.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found that all of these strategies increase glucose uptake during nitrogen limitation, but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over-expression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is more effective than chimera over-expression, and Galp/</w:t>
      </w:r>
      <w:proofErr w:type="spellStart"/>
      <w:r w:rsidRPr="00A607BB">
        <w:rPr>
          <w:rFonts w:ascii="Arial" w:hAnsi="Arial" w:cs="Arial"/>
          <w:sz w:val="22"/>
          <w:szCs w:val="22"/>
        </w:rPr>
        <w:t>Glk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over-expression can cause cell death. The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over-expression strain consumed 4x more glucose than WT during nitrogen starvation despite optical density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staying constant and a lack of fermentation byproducts being secreted. This suggests that the glucose was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converted all the way to CO2 by the TCA cycle. We then tested if this strategy improved yield in a fatty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alcohol production experiment. We saw that while nitrogen staring the cells increased carbon use efficiency,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increasing their metabolic activity with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did not improve yield. We published these finding in NPJ systems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and synthetic biology.</w:t>
      </w:r>
    </w:p>
    <w:p w14:paraId="56EDBB56" w14:textId="5CD2B840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V.,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</w:t>
      </w:r>
      <w:r w:rsidRPr="00A607BB">
        <w:rPr>
          <w:rFonts w:ascii="Arial" w:hAnsi="Arial" w:cs="Arial"/>
          <w:sz w:val="22"/>
          <w:szCs w:val="22"/>
        </w:rPr>
        <w:t xml:space="preserve">., Wang, G., Chan, L. J. G., Baidoo, E. E. K., </w:t>
      </w:r>
      <w:proofErr w:type="spellStart"/>
      <w:r w:rsidRPr="00A607BB">
        <w:rPr>
          <w:rFonts w:ascii="Arial" w:hAnsi="Arial" w:cs="Arial"/>
          <w:sz w:val="22"/>
          <w:szCs w:val="22"/>
        </w:rPr>
        <w:t>Petzold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C. J.,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J. D. &amp; Mukhopadhyay, A. Engineering glucose metabolism of Escherichia coli under nitrogen starvation. </w:t>
      </w:r>
      <w:r w:rsidRPr="00A607BB">
        <w:rPr>
          <w:rFonts w:ascii="Arial" w:hAnsi="Arial" w:cs="Arial"/>
          <w:i/>
          <w:iCs/>
          <w:sz w:val="22"/>
          <w:szCs w:val="22"/>
        </w:rPr>
        <w:t>NPJ Syst Biol Appl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3,</w:t>
      </w:r>
      <w:r w:rsidRPr="00A607BB">
        <w:rPr>
          <w:rFonts w:ascii="Arial" w:hAnsi="Arial" w:cs="Arial"/>
          <w:sz w:val="22"/>
          <w:szCs w:val="22"/>
        </w:rPr>
        <w:t xml:space="preserve"> 16035 (2017).</w:t>
      </w:r>
    </w:p>
    <w:p w14:paraId="16DE3DAF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5 Ward lab</w:t>
      </w:r>
    </w:p>
    <w:p w14:paraId="66F11E24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Jeremy Ward</w:t>
      </w:r>
    </w:p>
    <w:p w14:paraId="4B1E346D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Researcher, Ward lab, Middlebury College, 2014-2016</w:t>
      </w:r>
    </w:p>
    <w:p w14:paraId="5F05A7C0" w14:textId="60EEE31E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In my Junior and Senior years of College I worked in the lab of Jeremy Ward. During my Junior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year, I studied meiotic crossover in Mouse spermatogenesis.</w:t>
      </w:r>
    </w:p>
    <w:p w14:paraId="77016629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2EC158BB" w14:textId="0B2CD80F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6 Connection to fellowship</w:t>
      </w:r>
      <w:r w:rsidRPr="00A607BB">
        <w:rPr>
          <w:rFonts w:ascii="Arial" w:hAnsi="Arial" w:cs="Arial"/>
          <w:sz w:val="22"/>
          <w:szCs w:val="22"/>
        </w:rPr>
        <w:t xml:space="preserve"> These experiences helped me to decide to pursue a career as a scientist and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launched my scientific career. These early projects exposed me to a wide variety of research areas and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helped to guide me towards my eventual area of focus. These early research projects also gave me a wide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breadth of experience with different techniques and organisms. Finally, they allowed me to build my skills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planning and managing research projects, especially through my time running independent projects in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Ward lab and the STEM Innovation Project.</w:t>
      </w:r>
    </w:p>
    <w:p w14:paraId="31A3585A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Doctoral research</w:t>
      </w:r>
    </w:p>
    <w:p w14:paraId="6281489D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1 Savage lab - Studies of the CO2 concentrating mechanism</w:t>
      </w:r>
    </w:p>
    <w:p w14:paraId="14CB99A9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61D2AE13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6A6D0C41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747C1564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69F61F89" w14:textId="574DA03A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2154A35D" w14:textId="470BFDC7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 xml:space="preserve">, Flamholz, A. I., Blikstad, C., Dugan, E. J., Laughlin, T. G., Oltrogge, L. M., Chen, A. W., Wetmore, K., Diamond, S., Wang, J. Y. &amp; Savage, D. F. DABs are inorganic carbon pumps found throughout prokaryotic phyla. </w:t>
      </w:r>
      <w:r w:rsidRPr="00A607BB">
        <w:rPr>
          <w:rFonts w:ascii="Arial" w:hAnsi="Arial" w:cs="Arial"/>
          <w:i/>
          <w:iCs/>
          <w:sz w:val="22"/>
          <w:szCs w:val="22"/>
        </w:rPr>
        <w:t xml:space="preserve">Nat </w:t>
      </w:r>
      <w:proofErr w:type="spellStart"/>
      <w:r w:rsidRPr="00A607BB">
        <w:rPr>
          <w:rFonts w:ascii="Arial" w:hAnsi="Arial" w:cs="Arial"/>
          <w:i/>
          <w:iCs/>
          <w:sz w:val="22"/>
          <w:szCs w:val="22"/>
        </w:rPr>
        <w:t>Microbiol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4,</w:t>
      </w:r>
      <w:r w:rsidRPr="00A607BB">
        <w:rPr>
          <w:rFonts w:ascii="Arial" w:hAnsi="Arial" w:cs="Arial"/>
          <w:sz w:val="22"/>
          <w:szCs w:val="22"/>
        </w:rPr>
        <w:t xml:space="preserve"> 2204–2215 (2019).</w:t>
      </w:r>
    </w:p>
    <w:p w14:paraId="0996D03D" w14:textId="4D145D85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 xml:space="preserve">Flamholz, A. I., Dugan, E., Panich, J.,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 Oltrogge, L. M., Fischer, W. W., Singer, S. W. &amp; Savage, D. F. Trajectories for the evolution of bacterial CO</w:t>
      </w:r>
      <w:r w:rsidRPr="00A607BB">
        <w:rPr>
          <w:rFonts w:ascii="Arial" w:hAnsi="Arial" w:cs="Arial"/>
          <w:sz w:val="22"/>
          <w:szCs w:val="22"/>
          <w:vertAlign w:val="subscript"/>
        </w:rPr>
        <w:t>2</w:t>
      </w:r>
      <w:r w:rsidRPr="00A607BB">
        <w:rPr>
          <w:rFonts w:ascii="Arial" w:hAnsi="Arial" w:cs="Arial"/>
          <w:sz w:val="22"/>
          <w:szCs w:val="22"/>
        </w:rPr>
        <w:t xml:space="preserve">-concentrating mechanisms. </w:t>
      </w:r>
      <w:r w:rsidRPr="00A607BB">
        <w:rPr>
          <w:rFonts w:ascii="Arial" w:hAnsi="Arial" w:cs="Arial"/>
          <w:i/>
          <w:iCs/>
          <w:sz w:val="22"/>
          <w:szCs w:val="22"/>
        </w:rPr>
        <w:t>Proceedings of the National Academy of Sciences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119,</w:t>
      </w:r>
      <w:r w:rsidRPr="00A607BB">
        <w:rPr>
          <w:rFonts w:ascii="Arial" w:hAnsi="Arial" w:cs="Arial"/>
          <w:sz w:val="22"/>
          <w:szCs w:val="22"/>
        </w:rPr>
        <w:t xml:space="preserve"> e2210539119 (2022).</w:t>
      </w:r>
    </w:p>
    <w:p w14:paraId="6DBDDCB9" w14:textId="0F8AEF7D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 Flamholz, A. I., Blikstad, C., Dugan, E. J., Laughlin, T. G., Oltrogge, L. M., Chen, A. W., Wetmore, K., Diamond, S., Wang, J. Y. &amp; Savage, D. F.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DABs Accumulate Bicarbonate. Gordon Research Conference - Photosynthesis; 2019; Sunday River Resort, Maine.</w:t>
      </w:r>
    </w:p>
    <w:p w14:paraId="37912091" w14:textId="7F1FBDD0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Chen</w:t>
      </w:r>
      <w:r w:rsidR="00EF7C97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A</w:t>
      </w:r>
      <w:r w:rsidRPr="00A607BB">
        <w:rPr>
          <w:rFonts w:ascii="Arial" w:hAnsi="Arial" w:cs="Arial"/>
          <w:sz w:val="22"/>
          <w:szCs w:val="22"/>
        </w:rPr>
        <w:t xml:space="preserve">. </w:t>
      </w:r>
      <w:r w:rsidRPr="00A607BB">
        <w:rPr>
          <w:rFonts w:ascii="Arial" w:hAnsi="Arial" w:cs="Arial"/>
          <w:sz w:val="22"/>
          <w:szCs w:val="22"/>
        </w:rPr>
        <w:t>W</w:t>
      </w:r>
      <w:r w:rsidRPr="00A607BB">
        <w:rPr>
          <w:rFonts w:ascii="Arial" w:hAnsi="Arial" w:cs="Arial"/>
          <w:sz w:val="22"/>
          <w:szCs w:val="22"/>
        </w:rPr>
        <w:t>.</w:t>
      </w:r>
      <w:r w:rsidRPr="00A607BB">
        <w:rPr>
          <w:rFonts w:ascii="Arial" w:hAnsi="Arial" w:cs="Arial"/>
          <w:sz w:val="22"/>
          <w:szCs w:val="22"/>
        </w:rPr>
        <w:t>, Savage</w:t>
      </w:r>
      <w:r w:rsidR="00EF7C97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D</w:t>
      </w:r>
      <w:r w:rsidRPr="00A607BB">
        <w:rPr>
          <w:rFonts w:ascii="Arial" w:hAnsi="Arial" w:cs="Arial"/>
          <w:sz w:val="22"/>
          <w:szCs w:val="22"/>
        </w:rPr>
        <w:t xml:space="preserve">. </w:t>
      </w:r>
      <w:r w:rsidRPr="00A607BB">
        <w:rPr>
          <w:rFonts w:ascii="Arial" w:hAnsi="Arial" w:cs="Arial"/>
          <w:sz w:val="22"/>
          <w:szCs w:val="22"/>
        </w:rPr>
        <w:t>F. The essential gene set for bacterial carbon concentration. Western Photosynthesis Conference; 2018; Biosphere 2, Oracle, Arizona.</w:t>
      </w:r>
    </w:p>
    <w:p w14:paraId="6F9B7A0F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2 Savage lab - Protein engineering</w:t>
      </w:r>
    </w:p>
    <w:p w14:paraId="3AA6976C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240BDB62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lastRenderedPageBreak/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75EC0D93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35AC3087" w14:textId="544908A3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29CE705A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6FB90735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3 Savage lab - CRISPR tool development</w:t>
      </w:r>
    </w:p>
    <w:p w14:paraId="28566647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159E8C89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7E8215F8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5F91BFC1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106B9D5F" w14:textId="29C4CE9F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3C7DA2BC" w14:textId="77777777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 xml:space="preserve">Liu, T. Y., Knott, G. J., Smock, D. C. J.,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 xml:space="preserve">, Son, S., Bhuiya, A., Jakhanwal, S., Prywes, N., Agrawal, S., de León Derby, M. D., Switz, N. A., Armstrong, M., Harris, A. R., Charles, E. J., Thornton, B. W., Fozouni, P., Shu, J., Stephens, S. I., Kumar, G. R., Zhao, C., </w:t>
      </w:r>
      <w:proofErr w:type="spellStart"/>
      <w:r w:rsidRPr="00A607BB">
        <w:rPr>
          <w:rFonts w:ascii="Arial" w:hAnsi="Arial" w:cs="Arial"/>
          <w:sz w:val="22"/>
          <w:szCs w:val="22"/>
        </w:rPr>
        <w:t>Mok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A., Iavarone, A. T., Escajeda, A. M., McIntosh, R., Kim, S. E., Dugan, E. J., IGI Testing Consortium, Pollard, K. S., Tan, M. X., Ott, M., Fletcher, D. A., Lareau, L. F., Hsu, P. D., Savage, D. F. &amp; Doudna, J. A. Accelerated RNA detection using tandem CRISPR nucleases. </w:t>
      </w:r>
      <w:r w:rsidRPr="00A607BB">
        <w:rPr>
          <w:rFonts w:ascii="Arial" w:hAnsi="Arial" w:cs="Arial"/>
          <w:i/>
          <w:iCs/>
          <w:sz w:val="22"/>
          <w:szCs w:val="22"/>
        </w:rPr>
        <w:t>Nat. Chem. Biol.</w:t>
      </w:r>
      <w:r w:rsidRPr="00A607BB">
        <w:rPr>
          <w:rFonts w:ascii="Arial" w:hAnsi="Arial" w:cs="Arial"/>
          <w:sz w:val="22"/>
          <w:szCs w:val="22"/>
        </w:rPr>
        <w:t xml:space="preserve"> 1–7 (2021). doi:10.1101/2021.03.19.21253328</w:t>
      </w:r>
    </w:p>
    <w:p w14:paraId="4FD88743" w14:textId="300D6946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</w:rPr>
        <w:t>Liu, J.</w:t>
      </w:r>
      <w:r w:rsidR="00637BCD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J., </w:t>
      </w:r>
      <w:proofErr w:type="spellStart"/>
      <w:r w:rsidRPr="00A607BB">
        <w:rPr>
          <w:rFonts w:ascii="Arial" w:hAnsi="Arial" w:cs="Arial"/>
          <w:sz w:val="22"/>
          <w:szCs w:val="22"/>
        </w:rPr>
        <w:t>Orlova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N., Oakes, B. L., Ma, E., Spinner, H. B., </w:t>
      </w:r>
      <w:proofErr w:type="spellStart"/>
      <w:r w:rsidRPr="00A607BB">
        <w:rPr>
          <w:rFonts w:ascii="Arial" w:hAnsi="Arial" w:cs="Arial"/>
          <w:sz w:val="22"/>
          <w:szCs w:val="22"/>
        </w:rPr>
        <w:t>Baney</w:t>
      </w:r>
      <w:proofErr w:type="spellEnd"/>
      <w:r w:rsidRPr="00A607BB">
        <w:rPr>
          <w:rFonts w:ascii="Arial" w:hAnsi="Arial" w:cs="Arial"/>
          <w:sz w:val="22"/>
          <w:szCs w:val="22"/>
        </w:rPr>
        <w:t>, K. L. M., Chuck, J., Tan, D., Knott, G. J., Harrington, L. B., Al-</w:t>
      </w:r>
      <w:proofErr w:type="spellStart"/>
      <w:r w:rsidRPr="00A607BB">
        <w:rPr>
          <w:rFonts w:ascii="Arial" w:hAnsi="Arial" w:cs="Arial"/>
          <w:sz w:val="22"/>
          <w:szCs w:val="22"/>
        </w:rPr>
        <w:t>Shayeb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B., Wagner, A., </w:t>
      </w:r>
      <w:proofErr w:type="spellStart"/>
      <w:r w:rsidRPr="00A607BB">
        <w:rPr>
          <w:rFonts w:ascii="Arial" w:hAnsi="Arial" w:cs="Arial"/>
          <w:sz w:val="22"/>
          <w:szCs w:val="22"/>
        </w:rPr>
        <w:t>Brötzmann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Pr="00A607BB">
        <w:rPr>
          <w:rFonts w:ascii="Arial" w:hAnsi="Arial" w:cs="Arial"/>
          <w:sz w:val="22"/>
          <w:szCs w:val="22"/>
        </w:rPr>
        <w:t>Staahl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B. T., Taylor, K. L., </w:t>
      </w:r>
      <w:r w:rsidRPr="00A607BB">
        <w:rPr>
          <w:rFonts w:ascii="Arial" w:hAnsi="Arial" w:cs="Arial"/>
          <w:b/>
          <w:bCs/>
          <w:sz w:val="22"/>
          <w:szCs w:val="22"/>
        </w:rPr>
        <w:t>Desmarais, J.</w:t>
      </w:r>
      <w:r w:rsidRPr="00A607BB">
        <w:rPr>
          <w:rFonts w:ascii="Arial" w:hAnsi="Arial" w:cs="Arial"/>
          <w:sz w:val="22"/>
          <w:szCs w:val="22"/>
        </w:rPr>
        <w:t xml:space="preserve">, Nogales, E. &amp; Doudna, J. A. </w:t>
      </w:r>
      <w:proofErr w:type="spellStart"/>
      <w:r w:rsidRPr="00A607BB">
        <w:rPr>
          <w:rFonts w:ascii="Arial" w:hAnsi="Arial" w:cs="Arial"/>
          <w:sz w:val="22"/>
          <w:szCs w:val="22"/>
        </w:rPr>
        <w:t>CasX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enzymes comprise a distinct family of RNA-guided genome editors. </w:t>
      </w:r>
      <w:r w:rsidRPr="00A607BB">
        <w:rPr>
          <w:rFonts w:ascii="Arial" w:hAnsi="Arial" w:cs="Arial"/>
          <w:i/>
          <w:iCs/>
          <w:sz w:val="22"/>
          <w:szCs w:val="22"/>
        </w:rPr>
        <w:t>Nature</w:t>
      </w:r>
      <w:r w:rsidRPr="00A607BB">
        <w:rPr>
          <w:rFonts w:ascii="Arial" w:hAnsi="Arial" w:cs="Arial"/>
          <w:sz w:val="22"/>
          <w:szCs w:val="22"/>
        </w:rPr>
        <w:t xml:space="preserve"> 1 (2019). doi:10.1038/s41586-019-0908-x</w:t>
      </w:r>
    </w:p>
    <w:p w14:paraId="1632ECAE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postdoctoral research</w:t>
      </w:r>
    </w:p>
    <w:p w14:paraId="3AAE97E5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1 Kinney lab</w:t>
      </w:r>
    </w:p>
    <w:p w14:paraId="5705FE03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Justin Kinney</w:t>
      </w:r>
    </w:p>
    <w:p w14:paraId="1BEEA06B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Computational Postdoctoral Fellow, Kinney Lab, Cold Spring Harbor Laboratory, 2023</w:t>
      </w:r>
    </w:p>
    <w:p w14:paraId="2C8CEEDB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35B41410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58726EBF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390F736C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Goals for the Fellowship and Training</w:t>
      </w:r>
    </w:p>
    <w:p w14:paraId="20CBCE81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Overall training goals</w:t>
      </w:r>
    </w:p>
    <w:p w14:paraId="45BDDD4A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Skills to be enhanced</w:t>
      </w:r>
    </w:p>
    <w:p w14:paraId="1FDF4317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Preparation for career plans</w:t>
      </w:r>
    </w:p>
    <w:p w14:paraId="71B1077B" w14:textId="531D8FB6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Activities Planned Under This Award</w:t>
      </w:r>
    </w:p>
    <w:sectPr w:rsidR="00500D58" w:rsidRPr="00A607BB" w:rsidSect="00780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2"/>
    <w:rsid w:val="004232E5"/>
    <w:rsid w:val="00500D58"/>
    <w:rsid w:val="00637BCD"/>
    <w:rsid w:val="00674A42"/>
    <w:rsid w:val="00687BE6"/>
    <w:rsid w:val="00780AC8"/>
    <w:rsid w:val="00A453A8"/>
    <w:rsid w:val="00A607BB"/>
    <w:rsid w:val="00A638F8"/>
    <w:rsid w:val="00BE7E53"/>
    <w:rsid w:val="00C97664"/>
    <w:rsid w:val="00CD16DE"/>
    <w:rsid w:val="00EB2395"/>
    <w:rsid w:val="00EF7C97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177D7"/>
  <w15:chartTrackingRefBased/>
  <w15:docId w15:val="{1BFA16D4-F2D2-5D49-9972-2AED13D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1445</Words>
  <Characters>8054</Characters>
  <Application>Microsoft Office Word</Application>
  <DocSecurity>0</DocSecurity>
  <Lines>116</Lines>
  <Paragraphs>30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9</cp:revision>
  <dcterms:created xsi:type="dcterms:W3CDTF">2023-04-02T00:28:00Z</dcterms:created>
  <dcterms:modified xsi:type="dcterms:W3CDTF">2023-04-02T00:50:00Z</dcterms:modified>
</cp:coreProperties>
</file>