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2E98" w14:textId="77777777" w:rsidR="000E0690" w:rsidRDefault="000E0690" w:rsidP="000E0690">
      <w:pPr>
        <w:spacing w:after="120"/>
        <w:rPr>
          <w:rFonts w:ascii="Arial" w:hAnsi="Arial" w:cs="Arial"/>
          <w:b/>
          <w:bCs/>
          <w:sz w:val="22"/>
          <w:szCs w:val="22"/>
        </w:rPr>
      </w:pPr>
      <w:r>
        <w:rPr>
          <w:rFonts w:ascii="Arial" w:hAnsi="Arial" w:cs="Arial"/>
          <w:b/>
          <w:bCs/>
          <w:sz w:val="22"/>
          <w:szCs w:val="22"/>
        </w:rPr>
        <w:t>Significance</w:t>
      </w:r>
    </w:p>
    <w:p w14:paraId="16F56B5E" w14:textId="77777777" w:rsidR="000E0690" w:rsidRDefault="000E0690" w:rsidP="000E0690">
      <w:pPr>
        <w:spacing w:after="120"/>
        <w:rPr>
          <w:rFonts w:ascii="Arial" w:hAnsi="Arial" w:cs="Arial"/>
          <w:sz w:val="22"/>
          <w:szCs w:val="22"/>
          <w:u w:val="single"/>
        </w:rPr>
      </w:pPr>
      <w:r>
        <w:rPr>
          <w:rFonts w:ascii="Arial" w:hAnsi="Arial" w:cs="Arial"/>
          <w:sz w:val="22"/>
          <w:szCs w:val="22"/>
          <w:u w:val="single"/>
        </w:rPr>
        <w:t>Background</w:t>
      </w:r>
    </w:p>
    <w:p w14:paraId="6024A939" w14:textId="77777777" w:rsidR="000E0690" w:rsidRPr="002E32BF" w:rsidRDefault="000E0690" w:rsidP="000E0690">
      <w:pPr>
        <w:tabs>
          <w:tab w:val="left" w:pos="1158"/>
        </w:tabs>
        <w:spacing w:after="120"/>
        <w:rPr>
          <w:rFonts w:ascii="Arial" w:hAnsi="Arial" w:cs="Arial"/>
          <w:sz w:val="22"/>
          <w:szCs w:val="22"/>
        </w:rPr>
      </w:pPr>
      <w:r>
        <w:rPr>
          <w:rFonts w:ascii="Arial" w:hAnsi="Arial" w:cs="Arial"/>
          <w:sz w:val="22"/>
          <w:szCs w:val="22"/>
        </w:rPr>
        <w:t xml:space="preserve">One of the major outstanding questions in the field of splicing is how are the sections of a pre-mRNA that will be included in the final transcript determined. </w:t>
      </w:r>
      <w:r w:rsidRPr="002E32BF">
        <w:rPr>
          <w:rFonts w:ascii="Arial" w:hAnsi="Arial" w:cs="Arial"/>
          <w:b/>
          <w:bCs/>
          <w:sz w:val="22"/>
          <w:szCs w:val="22"/>
        </w:rPr>
        <w:t>M</w:t>
      </w:r>
      <w:r>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 These assays use high-throughput sequencing to measure quantitative splicing phenotypes for 10s of thousands of variants in parallel.</w:t>
      </w:r>
      <w:r>
        <w:rPr>
          <w:rFonts w:ascii="Arial" w:hAnsi="Arial" w:cs="Arial"/>
          <w:sz w:val="22"/>
          <w:szCs w:val="22"/>
        </w:rPr>
        <w:fldChar w:fldCharType="begin" w:fldLock="1"/>
      </w:r>
      <w:r>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Pr>
          <w:rFonts w:ascii="Arial" w:hAnsi="Arial" w:cs="Arial"/>
          <w:sz w:val="22"/>
          <w:szCs w:val="22"/>
        </w:rPr>
        <w:fldChar w:fldCharType="separate"/>
      </w:r>
      <w:r w:rsidRPr="000E0690">
        <w:rPr>
          <w:rFonts w:ascii="Arial" w:hAnsi="Arial" w:cs="Arial"/>
          <w:noProof/>
          <w:sz w:val="22"/>
          <w:szCs w:val="22"/>
          <w:vertAlign w:val="superscript"/>
        </w:rPr>
        <w:t>1–15</w:t>
      </w:r>
      <w:r>
        <w:rPr>
          <w:rFonts w:ascii="Arial" w:hAnsi="Arial" w:cs="Arial"/>
          <w:sz w:val="22"/>
          <w:szCs w:val="22"/>
        </w:rPr>
        <w:fldChar w:fldCharType="end"/>
      </w:r>
      <w:r>
        <w:rPr>
          <w:rFonts w:ascii="Arial" w:hAnsi="Arial" w:cs="Arial"/>
          <w:sz w:val="22"/>
          <w:szCs w:val="22"/>
        </w:rPr>
        <w:t xml:space="preserve"> They work by linking the sequence of the pre-mRNA to a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0E0690">
        <w:rPr>
          <w:rFonts w:ascii="Arial" w:hAnsi="Arial" w:cs="Arial"/>
          <w:noProof/>
          <w:sz w:val="22"/>
          <w:szCs w:val="22"/>
          <w:vertAlign w:val="superscript"/>
        </w:rPr>
        <w:t>1,7,10–12,14–16</w:t>
      </w:r>
      <w:r>
        <w:rPr>
          <w:rFonts w:ascii="Arial" w:hAnsi="Arial" w:cs="Arial"/>
          <w:sz w:val="22"/>
          <w:szCs w:val="22"/>
        </w:rPr>
        <w:fldChar w:fldCharType="end"/>
      </w:r>
      <w:r>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0E0690">
        <w:rPr>
          <w:rFonts w:ascii="Arial" w:hAnsi="Arial" w:cs="Arial"/>
          <w:noProof/>
          <w:sz w:val="22"/>
          <w:szCs w:val="22"/>
          <w:vertAlign w:val="superscript"/>
        </w:rPr>
        <w:t>3,5–7,9,13</w:t>
      </w:r>
      <w:r>
        <w:rPr>
          <w:rFonts w:ascii="Arial" w:hAnsi="Arial" w:cs="Arial"/>
          <w:sz w:val="22"/>
          <w:szCs w:val="22"/>
        </w:rPr>
        <w:fldChar w:fldCharType="end"/>
      </w:r>
      <w:r>
        <w:rPr>
          <w:rFonts w:ascii="Arial" w:hAnsi="Arial" w:cs="Arial"/>
          <w:sz w:val="22"/>
          <w:szCs w:val="22"/>
        </w:rPr>
        <w:t xml:space="preserve"> These assays have allowed identification of human sequence variants that cause splicing changes,</w:t>
      </w:r>
      <w:r>
        <w:rPr>
          <w:rFonts w:ascii="Arial" w:hAnsi="Arial" w:cs="Arial"/>
          <w:sz w:val="22"/>
          <w:szCs w:val="22"/>
        </w:rPr>
        <w:fldChar w:fldCharType="begin" w:fldLock="1"/>
      </w:r>
      <w:r>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Pr>
          <w:rFonts w:ascii="Arial" w:hAnsi="Arial" w:cs="Arial"/>
          <w:sz w:val="22"/>
          <w:szCs w:val="22"/>
        </w:rPr>
        <w:fldChar w:fldCharType="separate"/>
      </w:r>
      <w:r w:rsidRPr="000E0690">
        <w:rPr>
          <w:rFonts w:ascii="Arial" w:hAnsi="Arial" w:cs="Arial"/>
          <w:noProof/>
          <w:sz w:val="22"/>
          <w:szCs w:val="22"/>
          <w:vertAlign w:val="superscript"/>
        </w:rPr>
        <w:t>11</w:t>
      </w:r>
      <w:r>
        <w:rPr>
          <w:rFonts w:ascii="Arial" w:hAnsi="Arial" w:cs="Arial"/>
          <w:sz w:val="22"/>
          <w:szCs w:val="22"/>
        </w:rPr>
        <w:fldChar w:fldCharType="end"/>
      </w:r>
      <w:r>
        <w:rPr>
          <w:rFonts w:ascii="Arial" w:hAnsi="Arial" w:cs="Arial"/>
          <w:sz w:val="22"/>
          <w:szCs w:val="22"/>
        </w:rPr>
        <w:t xml:space="preserve"> in depth study of how drugs interreact with splicing regulation,</w:t>
      </w:r>
      <w:r>
        <w:rPr>
          <w:rFonts w:ascii="Arial" w:hAnsi="Arial" w:cs="Arial"/>
          <w:sz w:val="22"/>
          <w:szCs w:val="22"/>
        </w:rPr>
        <w:fldChar w:fldCharType="begin" w:fldLock="1"/>
      </w:r>
      <w:r>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Pr>
          <w:rFonts w:ascii="Arial" w:hAnsi="Arial" w:cs="Arial"/>
          <w:sz w:val="22"/>
          <w:szCs w:val="22"/>
        </w:rPr>
        <w:fldChar w:fldCharType="separate"/>
      </w:r>
      <w:r w:rsidRPr="000E0690">
        <w:rPr>
          <w:rFonts w:ascii="Arial" w:hAnsi="Arial" w:cs="Arial"/>
          <w:noProof/>
          <w:sz w:val="22"/>
          <w:szCs w:val="22"/>
          <w:vertAlign w:val="superscript"/>
        </w:rPr>
        <w:t>15</w:t>
      </w:r>
      <w:r>
        <w:rPr>
          <w:rFonts w:ascii="Arial" w:hAnsi="Arial" w:cs="Arial"/>
          <w:sz w:val="22"/>
          <w:szCs w:val="22"/>
        </w:rPr>
        <w:fldChar w:fldCharType="end"/>
      </w:r>
      <w:r>
        <w:rPr>
          <w:rFonts w:ascii="Arial" w:hAnsi="Arial" w:cs="Arial"/>
          <w:sz w:val="22"/>
          <w:szCs w:val="22"/>
        </w:rPr>
        <w:t xml:space="preserve"> and detailed mechanistic studies on splicing regulations.</w:t>
      </w:r>
      <w:r>
        <w:rPr>
          <w:rFonts w:ascii="Arial" w:hAnsi="Arial" w:cs="Arial"/>
          <w:sz w:val="22"/>
          <w:szCs w:val="22"/>
        </w:rPr>
        <w:fldChar w:fldCharType="begin" w:fldLock="1"/>
      </w:r>
      <w:r>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Pr>
          <w:rFonts w:ascii="Arial" w:hAnsi="Arial" w:cs="Arial"/>
          <w:sz w:val="22"/>
          <w:szCs w:val="22"/>
        </w:rPr>
        <w:fldChar w:fldCharType="separate"/>
      </w:r>
      <w:r w:rsidRPr="000E0690">
        <w:rPr>
          <w:rFonts w:ascii="Arial" w:hAnsi="Arial" w:cs="Arial"/>
          <w:noProof/>
          <w:sz w:val="22"/>
          <w:szCs w:val="22"/>
          <w:vertAlign w:val="superscript"/>
        </w:rPr>
        <w:t>1,6,7,10,12</w:t>
      </w:r>
      <w:r>
        <w:rPr>
          <w:rFonts w:ascii="Arial" w:hAnsi="Arial" w:cs="Arial"/>
          <w:sz w:val="22"/>
          <w:szCs w:val="22"/>
        </w:rPr>
        <w:fldChar w:fldCharType="end"/>
      </w:r>
      <w:r>
        <w:rPr>
          <w:rFonts w:ascii="Arial" w:hAnsi="Arial" w:cs="Arial"/>
          <w:sz w:val="22"/>
          <w:szCs w:val="22"/>
        </w:rPr>
        <w:t xml:space="preserve"> However, MPSAs have been held back by three barriers to progress.</w:t>
      </w:r>
    </w:p>
    <w:p w14:paraId="797CD2C2" w14:textId="77777777" w:rsidR="000E0690" w:rsidRDefault="000E0690" w:rsidP="000E0690">
      <w:pPr>
        <w:spacing w:after="120"/>
        <w:rPr>
          <w:rFonts w:ascii="Arial" w:hAnsi="Arial" w:cs="Arial"/>
          <w:sz w:val="22"/>
          <w:szCs w:val="22"/>
        </w:rPr>
      </w:pPr>
      <w:r>
        <w:rPr>
          <w:rFonts w:ascii="Arial" w:hAnsi="Arial" w:cs="Arial"/>
          <w:sz w:val="22"/>
          <w:szCs w:val="22"/>
          <w:u w:val="single"/>
        </w:rPr>
        <w:t>Barrier to progress 1: Current MPSAs cannot report the full isoform diversity of alternative splicing.</w:t>
      </w:r>
      <w:r>
        <w:rPr>
          <w:rFonts w:ascii="Arial" w:hAnsi="Arial" w:cs="Arial"/>
          <w:sz w:val="22"/>
          <w:szCs w:val="22"/>
        </w:rPr>
        <w:t xml:space="preserve"> Many MPSAs rely on counting barcodes across two conditions as a proxy for splicing outcomes, but this forcibly binarizes the isoform data that is collected. It is common for there to be multiple alternative isoforms that can arise from mutations.</w:t>
      </w:r>
      <w:r>
        <w:rPr>
          <w:rFonts w:ascii="Arial" w:hAnsi="Arial" w:cs="Arial"/>
          <w:sz w:val="22"/>
          <w:szCs w:val="22"/>
        </w:rPr>
        <w:fldChar w:fldCharType="begin" w:fldLock="1"/>
      </w:r>
      <w:r>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Pr>
          <w:rFonts w:ascii="Arial" w:hAnsi="Arial" w:cs="Arial"/>
          <w:sz w:val="22"/>
          <w:szCs w:val="22"/>
        </w:rPr>
        <w:fldChar w:fldCharType="separate"/>
      </w:r>
      <w:r w:rsidRPr="000E0690">
        <w:rPr>
          <w:rFonts w:ascii="Arial" w:hAnsi="Arial" w:cs="Arial"/>
          <w:noProof/>
          <w:sz w:val="22"/>
          <w:szCs w:val="22"/>
          <w:vertAlign w:val="superscript"/>
        </w:rPr>
        <w:t>5,9,17,18</w:t>
      </w:r>
      <w:r>
        <w:rPr>
          <w:rFonts w:ascii="Arial" w:hAnsi="Arial" w:cs="Arial"/>
          <w:sz w:val="22"/>
          <w:szCs w:val="22"/>
        </w:rPr>
        <w:fldChar w:fldCharType="end"/>
      </w:r>
      <w:r>
        <w:rPr>
          <w:rFonts w:ascii="Arial" w:hAnsi="Arial" w:cs="Arial"/>
          <w:sz w:val="22"/>
          <w:szCs w:val="22"/>
        </w:rPr>
        <w:t xml:space="preserve"> Missing this diversity by binarizing the data with a proxy assay causes two problems. The first is that unexpected isoforms will be binned into one of the binary conditions causing inaccuracy and noise in the results. The second is that loosing data on the true isoform distributions of each variant misses out on information that is highly mechanistically informative. One solution to overcome this issue is to sequence the splice junction of interest. However, current methods use Illumina short-read sequencing which limits them to isoforms that are small enough to be covered by a short read.</w:t>
      </w:r>
      <w:r>
        <w:rPr>
          <w:rFonts w:ascii="Arial" w:hAnsi="Arial" w:cs="Arial"/>
          <w:sz w:val="22"/>
          <w:szCs w:val="22"/>
        </w:rPr>
        <w:fldChar w:fldCharType="begin" w:fldLock="1"/>
      </w:r>
      <w:r>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0E0690">
        <w:rPr>
          <w:rFonts w:ascii="Arial" w:hAnsi="Arial" w:cs="Arial"/>
          <w:noProof/>
          <w:sz w:val="22"/>
          <w:szCs w:val="22"/>
          <w:vertAlign w:val="superscript"/>
        </w:rPr>
        <w:t>3,5–7,9,13</w:t>
      </w:r>
      <w:r>
        <w:rPr>
          <w:rFonts w:ascii="Arial" w:hAnsi="Arial" w:cs="Arial"/>
          <w:sz w:val="22"/>
          <w:szCs w:val="22"/>
        </w:rPr>
        <w:fldChar w:fldCharType="end"/>
      </w:r>
      <w:r>
        <w:rPr>
          <w:rFonts w:ascii="Arial" w:hAnsi="Arial" w:cs="Arial"/>
          <w:sz w:val="22"/>
          <w:szCs w:val="22"/>
        </w:rPr>
        <w:t xml:space="preserve"> Since the median human intron is 1.7 kb,</w:t>
      </w:r>
      <w:r>
        <w:rPr>
          <w:rFonts w:ascii="Arial" w:hAnsi="Arial" w:cs="Arial"/>
          <w:sz w:val="22"/>
          <w:szCs w:val="22"/>
        </w:rPr>
        <w:fldChar w:fldCharType="begin" w:fldLock="1"/>
      </w:r>
      <w:r>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Pr>
          <w:rFonts w:ascii="Arial" w:hAnsi="Arial" w:cs="Arial"/>
          <w:sz w:val="22"/>
          <w:szCs w:val="22"/>
        </w:rPr>
        <w:fldChar w:fldCharType="separate"/>
      </w:r>
      <w:r w:rsidRPr="000E0690">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this technique cannot distinguish isoforms that contain some or all of the intron for most human splice junctions unless the introns are cut down or replaced. However, intronic sequences can be highly important for determining splicing outcomes,</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Pr>
          <w:rFonts w:ascii="Arial" w:hAnsi="Arial" w:cs="Arial"/>
          <w:color w:val="000000" w:themeColor="text1"/>
          <w:sz w:val="22"/>
          <w:szCs w:val="22"/>
        </w:rPr>
        <w:fldChar w:fldCharType="separate"/>
      </w:r>
      <w:r w:rsidRPr="000E0690">
        <w:rPr>
          <w:rFonts w:ascii="Arial" w:hAnsi="Arial" w:cs="Arial"/>
          <w:noProof/>
          <w:color w:val="000000" w:themeColor="text1"/>
          <w:sz w:val="22"/>
          <w:szCs w:val="22"/>
          <w:vertAlign w:val="superscript"/>
        </w:rPr>
        <w:t>17,18,20–22</w:t>
      </w:r>
      <w:r>
        <w:rPr>
          <w:rFonts w:ascii="Arial" w:hAnsi="Arial" w:cs="Arial"/>
          <w:color w:val="000000" w:themeColor="text1"/>
          <w:sz w:val="22"/>
          <w:szCs w:val="22"/>
        </w:rPr>
        <w:fldChar w:fldCharType="end"/>
      </w:r>
      <w:r>
        <w:rPr>
          <w:rFonts w:ascii="Arial" w:hAnsi="Arial" w:cs="Arial"/>
          <w:sz w:val="22"/>
          <w:szCs w:val="22"/>
        </w:rPr>
        <w:t xml:space="preserve"> so shrinking or replacing them can reduce generalizability of the data to native contexts. 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4AE61A0" w14:textId="77777777" w:rsidR="000E0690" w:rsidRPr="00FF5F23" w:rsidRDefault="000E0690" w:rsidP="000E0690">
      <w:pPr>
        <w:spacing w:after="120"/>
        <w:rPr>
          <w:rFonts w:ascii="Arial" w:hAnsi="Arial" w:cs="Arial"/>
          <w:sz w:val="22"/>
          <w:szCs w:val="22"/>
        </w:rPr>
      </w:pPr>
      <w:r>
        <w:rPr>
          <w:rFonts w:ascii="Arial" w:hAnsi="Arial" w:cs="Arial"/>
          <w:sz w:val="22"/>
          <w:szCs w:val="22"/>
          <w:u w:val="single"/>
        </w:rPr>
        <w:t>Barrier to progress 2: Current MPSAs cannot handle mutually exclusive splicing.</w:t>
      </w:r>
      <w:r>
        <w:rPr>
          <w:rFonts w:ascii="Arial" w:hAnsi="Arial" w:cs="Arial"/>
          <w:sz w:val="22"/>
          <w:szCs w:val="22"/>
        </w:rPr>
        <w:t xml:space="preserve"> 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0E0690">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0E0690">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0E0690">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0E0690">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 This is because determining the mechanisms maintaining mutual exclusivity between exons relies on tracking the fate of multiple splice junctions that are at a remove for each other. This carries with it all of the difficulties with tracking the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Pr>
          <w:rFonts w:ascii="Arial" w:hAnsi="Arial" w:cs="Arial"/>
          <w:sz w:val="22"/>
          <w:szCs w:val="22"/>
        </w:rPr>
        <w:fldChar w:fldCharType="begin" w:fldLock="1"/>
      </w:r>
      <w:r>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0E0690">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This sort of splicing phenomenon where the fate of more than one exon is important can also easily generate isoforms with no included introns that are too large to be covered by an illumina read even in the simplest cases of two short exons close together.</w:t>
      </w:r>
      <w:r>
        <w:rPr>
          <w:rFonts w:ascii="Arial" w:hAnsi="Arial" w:cs="Arial"/>
          <w:sz w:val="22"/>
          <w:szCs w:val="22"/>
        </w:rPr>
        <w:fldChar w:fldCharType="begin" w:fldLock="1"/>
      </w:r>
      <w:r>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Pr>
          <w:rFonts w:ascii="Arial" w:hAnsi="Arial" w:cs="Arial"/>
          <w:sz w:val="22"/>
          <w:szCs w:val="22"/>
        </w:rPr>
        <w:fldChar w:fldCharType="separate"/>
      </w:r>
      <w:r w:rsidRPr="000E0690">
        <w:rPr>
          <w:rFonts w:ascii="Arial" w:hAnsi="Arial" w:cs="Arial"/>
          <w:noProof/>
          <w:sz w:val="22"/>
          <w:szCs w:val="22"/>
          <w:vertAlign w:val="superscript"/>
        </w:rPr>
        <w:t>17</w:t>
      </w:r>
      <w:r>
        <w:rPr>
          <w:rFonts w:ascii="Arial" w:hAnsi="Arial" w:cs="Arial"/>
          <w:sz w:val="22"/>
          <w:szCs w:val="22"/>
        </w:rPr>
        <w:fldChar w:fldCharType="end"/>
      </w:r>
      <w:r>
        <w:rPr>
          <w:rFonts w:ascii="Arial" w:hAnsi="Arial" w:cs="Arial"/>
          <w:sz w:val="22"/>
          <w:szCs w:val="22"/>
        </w:rPr>
        <w:t xml:space="preserve"> 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70E4086B" w14:textId="77777777" w:rsidR="000E0690" w:rsidRDefault="000E0690" w:rsidP="000E0690">
      <w:pPr>
        <w:spacing w:after="120"/>
        <w:rPr>
          <w:rFonts w:ascii="Arial" w:hAnsi="Arial" w:cs="Arial"/>
          <w:sz w:val="22"/>
          <w:szCs w:val="22"/>
        </w:rPr>
      </w:pPr>
      <w:r>
        <w:rPr>
          <w:rFonts w:ascii="Arial" w:hAnsi="Arial" w:cs="Arial"/>
          <w:sz w:val="22"/>
          <w:szCs w:val="22"/>
          <w:u w:val="single"/>
        </w:rPr>
        <w:t>Barrier to progress 3: There is no community MPSA analysis software.</w:t>
      </w:r>
      <w:r>
        <w:rPr>
          <w:rFonts w:ascii="Arial" w:hAnsi="Arial" w:cs="Arial"/>
          <w:sz w:val="22"/>
          <w:szCs w:val="22"/>
        </w:rPr>
        <w:t xml:space="preserve"> Current MPSA techniques have been independently developed and few experiments have the same experimental design or analysis methods. These factors make it hard to compare findings across multiple experiments and raise barriers to entry because the methods and analysis pipelines need to be redeveloped by each group. Further, analysis pipelines have not been tested against datasets with known ground truth. Stronger vetting would increase confidence in the robustness and accuracy of these methods. Finally, MPSA data holds information useful for </w:t>
      </w:r>
      <w:r>
        <w:rPr>
          <w:rFonts w:ascii="Arial" w:hAnsi="Arial" w:cs="Arial"/>
          <w:sz w:val="22"/>
          <w:szCs w:val="22"/>
        </w:rPr>
        <w:lastRenderedPageBreak/>
        <w:t>modeling the mechanisms of splicing but there is no tool set that integrates MPSA data analysis and modeling. Development of a user-friendly, publicly available, robustly verified, and open-source MPSA toolkit will greatly ease wider use of the method and help unify different techniques.</w:t>
      </w:r>
    </w:p>
    <w:p w14:paraId="7723F424" w14:textId="77777777" w:rsidR="000E0690" w:rsidRDefault="000E0690" w:rsidP="000E0690">
      <w:pPr>
        <w:spacing w:after="120"/>
        <w:rPr>
          <w:rFonts w:ascii="Arial" w:hAnsi="Arial" w:cs="Arial"/>
          <w:sz w:val="22"/>
          <w:szCs w:val="22"/>
        </w:rPr>
      </w:pPr>
      <w:r>
        <w:rPr>
          <w:rFonts w:ascii="Arial" w:hAnsi="Arial" w:cs="Arial"/>
          <w:i/>
          <w:iCs/>
          <w:sz w:val="22"/>
          <w:szCs w:val="22"/>
        </w:rPr>
        <w:t xml:space="preserve">This proposal will overcome these barriers by </w:t>
      </w:r>
      <w:r>
        <w:rPr>
          <w:rFonts w:ascii="Arial" w:hAnsi="Arial" w:cs="Arial"/>
          <w:i/>
          <w:iCs/>
          <w:sz w:val="22"/>
          <w:szCs w:val="22"/>
          <w:u w:val="single"/>
        </w:rPr>
        <w:t>developing new long read MPSA (LR-MPSA) methods and analysis software.</w:t>
      </w:r>
      <w:r>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software package.</w:t>
      </w:r>
    </w:p>
    <w:p w14:paraId="395A1246" w14:textId="77777777" w:rsidR="000E0690" w:rsidRDefault="000E0690" w:rsidP="000E0690">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 xml:space="preserve">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 </w:t>
      </w:r>
      <w:r>
        <w:rPr>
          <w:rFonts w:ascii="Arial" w:hAnsi="Arial" w:cs="Arial"/>
          <w:color w:val="000000" w:themeColor="text1"/>
          <w:sz w:val="22"/>
          <w:szCs w:val="22"/>
          <w:u w:val="single"/>
        </w:rPr>
        <w:t>The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even un-spliced transcript. </w:t>
      </w:r>
    </w:p>
    <w:p w14:paraId="4F7BD162" w14:textId="77777777" w:rsidR="000E0690" w:rsidRDefault="000E0690" w:rsidP="000E0690">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library variant, providing visualization functions, and integration with modeling tools like MAVE-NN. The software will be rigorously vetted on simulated data and well ununderstood experimental systems. </w:t>
      </w:r>
      <w:r>
        <w:rPr>
          <w:rFonts w:ascii="Arial" w:hAnsi="Arial" w:cs="Arial"/>
          <w:sz w:val="22"/>
          <w:szCs w:val="22"/>
          <w:u w:val="single"/>
        </w:rPr>
        <w:t>The key advances of this technique will be to rigorously verify performance, to integrate seamlessly with quantitative modeling packages, and to provide an easy-to-use, widely-accessible software package.</w:t>
      </w:r>
    </w:p>
    <w:p w14:paraId="5C1C8127" w14:textId="77777777" w:rsidR="000E0690" w:rsidRDefault="000E0690" w:rsidP="000E0690">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pyruvate kinase M (PKM). With the inclusion of exon 9, PKM becomes a constitutively active pyruvate kinase. With the inclusion of exon 10, PKM becomes sensitive to allosteric regulation that switches it from acting as a pyruvate kinase to acting as a protein kinase phosphorylating Stat3 and a transcriptional co-activator of HIF-1 and </w:t>
      </w:r>
      <w:r>
        <w:rPr>
          <w:rFonts w:ascii="Arial" w:hAnsi="Arial" w:cs="Arial"/>
          <w:sz w:val="22"/>
          <w:szCs w:val="22"/>
          <w:lang w:val="el-GR"/>
        </w:rPr>
        <w:t>β</w:t>
      </w:r>
      <w:r>
        <w:rPr>
          <w:rFonts w:ascii="Arial" w:hAnsi="Arial" w:cs="Arial"/>
          <w:sz w:val="22"/>
          <w:szCs w:val="22"/>
        </w:rPr>
        <w:t>-catenin. Increases in the level of the exon 10 included transcript have been associated with cancer,</w:t>
      </w:r>
      <w:r>
        <w:rPr>
          <w:rFonts w:ascii="Arial" w:hAnsi="Arial" w:cs="Arial"/>
          <w:sz w:val="22"/>
          <w:szCs w:val="22"/>
        </w:rPr>
        <w:fldChar w:fldCharType="begin" w:fldLock="1"/>
      </w:r>
      <w:r>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Pr>
          <w:rFonts w:ascii="Arial" w:hAnsi="Arial" w:cs="Arial"/>
          <w:sz w:val="22"/>
          <w:szCs w:val="22"/>
        </w:rPr>
        <w:fldChar w:fldCharType="separate"/>
      </w:r>
      <w:r w:rsidRPr="000E0690">
        <w:rPr>
          <w:rFonts w:ascii="Arial" w:hAnsi="Arial" w:cs="Arial"/>
          <w:noProof/>
          <w:sz w:val="22"/>
          <w:szCs w:val="22"/>
          <w:vertAlign w:val="superscript"/>
        </w:rPr>
        <w:t>27–31</w:t>
      </w:r>
      <w:r>
        <w:rPr>
          <w:rFonts w:ascii="Arial" w:hAnsi="Arial" w:cs="Arial"/>
          <w:sz w:val="22"/>
          <w:szCs w:val="22"/>
        </w:rPr>
        <w:fldChar w:fldCharType="end"/>
      </w:r>
      <w:r>
        <w:rPr>
          <w:rFonts w:ascii="Arial" w:hAnsi="Arial" w:cs="Arial"/>
          <w:sz w:val="22"/>
          <w:szCs w:val="22"/>
        </w:rPr>
        <w:t xml:space="preserve"> Alzheimer’s,</w:t>
      </w:r>
      <w:r>
        <w:rPr>
          <w:rFonts w:ascii="Arial" w:hAnsi="Arial" w:cs="Arial"/>
          <w:sz w:val="22"/>
          <w:szCs w:val="22"/>
        </w:rPr>
        <w:fldChar w:fldCharType="begin" w:fldLock="1"/>
      </w:r>
      <w:r>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Pr>
          <w:rFonts w:ascii="Arial" w:hAnsi="Arial" w:cs="Arial"/>
          <w:sz w:val="22"/>
          <w:szCs w:val="22"/>
        </w:rPr>
        <w:fldChar w:fldCharType="separate"/>
      </w:r>
      <w:r w:rsidRPr="000E0690">
        <w:rPr>
          <w:rFonts w:ascii="Arial" w:hAnsi="Arial" w:cs="Arial"/>
          <w:noProof/>
          <w:sz w:val="22"/>
          <w:szCs w:val="22"/>
          <w:vertAlign w:val="superscript"/>
        </w:rPr>
        <w:t>32</w:t>
      </w:r>
      <w:r>
        <w:rPr>
          <w:rFonts w:ascii="Arial" w:hAnsi="Arial" w:cs="Arial"/>
          <w:sz w:val="22"/>
          <w:szCs w:val="22"/>
        </w:rPr>
        <w:fldChar w:fldCharType="end"/>
      </w:r>
      <w:r>
        <w:rPr>
          <w:rFonts w:ascii="Arial" w:hAnsi="Arial" w:cs="Arial"/>
          <w:sz w:val="22"/>
          <w:szCs w:val="22"/>
        </w:rPr>
        <w:t xml:space="preserve"> Crohn’s,</w:t>
      </w:r>
      <w:r>
        <w:rPr>
          <w:rFonts w:ascii="Arial" w:hAnsi="Arial" w:cs="Arial"/>
          <w:sz w:val="22"/>
          <w:szCs w:val="22"/>
        </w:rPr>
        <w:fldChar w:fldCharType="begin" w:fldLock="1"/>
      </w:r>
      <w:r>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Pr>
          <w:rFonts w:ascii="Arial" w:hAnsi="Arial" w:cs="Arial"/>
          <w:sz w:val="22"/>
          <w:szCs w:val="22"/>
        </w:rPr>
        <w:fldChar w:fldCharType="separate"/>
      </w:r>
      <w:r w:rsidRPr="000E0690">
        <w:rPr>
          <w:rFonts w:ascii="Arial" w:hAnsi="Arial" w:cs="Arial"/>
          <w:noProof/>
          <w:sz w:val="22"/>
          <w:szCs w:val="22"/>
          <w:vertAlign w:val="superscript"/>
        </w:rPr>
        <w:t>33,34</w:t>
      </w:r>
      <w:r>
        <w:rPr>
          <w:rFonts w:ascii="Arial" w:hAnsi="Arial" w:cs="Arial"/>
          <w:sz w:val="22"/>
          <w:szCs w:val="22"/>
        </w:rPr>
        <w:fldChar w:fldCharType="end"/>
      </w:r>
      <w:r>
        <w:rPr>
          <w:rFonts w:ascii="Arial" w:hAnsi="Arial" w:cs="Arial"/>
          <w:sz w:val="22"/>
          <w:szCs w:val="22"/>
        </w:rPr>
        <w:t xml:space="preserve"> and cardiovascular disease.</w:t>
      </w:r>
      <w:r>
        <w:rPr>
          <w:rFonts w:ascii="Arial" w:hAnsi="Arial" w:cs="Arial"/>
          <w:sz w:val="22"/>
          <w:szCs w:val="22"/>
        </w:rPr>
        <w:fldChar w:fldCharType="begin" w:fldLock="1"/>
      </w:r>
      <w:r>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Pr>
          <w:rFonts w:ascii="Arial" w:hAnsi="Arial" w:cs="Arial"/>
          <w:sz w:val="22"/>
          <w:szCs w:val="22"/>
        </w:rPr>
        <w:fldChar w:fldCharType="separate"/>
      </w:r>
      <w:r w:rsidRPr="000E0690">
        <w:rPr>
          <w:rFonts w:ascii="Arial" w:hAnsi="Arial" w:cs="Arial"/>
          <w:noProof/>
          <w:sz w:val="22"/>
          <w:szCs w:val="22"/>
          <w:vertAlign w:val="superscript"/>
        </w:rPr>
        <w:t>35</w:t>
      </w:r>
      <w:r>
        <w:rPr>
          <w:rFonts w:ascii="Arial" w:hAnsi="Arial" w:cs="Arial"/>
          <w:sz w:val="22"/>
          <w:szCs w:val="22"/>
        </w:rPr>
        <w:fldChar w:fldCharType="end"/>
      </w:r>
      <w:r>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4C93AC3B" w14:textId="77777777" w:rsidR="000E0690" w:rsidRPr="00CA0B58" w:rsidRDefault="000E0690" w:rsidP="000E0690">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Finally, </w:t>
      </w:r>
      <w:r>
        <w:rPr>
          <w:rFonts w:ascii="Arial" w:hAnsi="Arial" w:cs="Arial"/>
          <w:sz w:val="22"/>
          <w:szCs w:val="22"/>
          <w:u w:val="single"/>
        </w:rPr>
        <w:t>aim 3</w:t>
      </w:r>
      <w:r>
        <w:rPr>
          <w:rFonts w:ascii="Arial" w:hAnsi="Arial" w:cs="Arial"/>
          <w:sz w:val="22"/>
          <w:szCs w:val="22"/>
        </w:rPr>
        <w:t xml:space="preserve"> will apply these new tools to understanding the mechanisms of mutually exclusive splicing in PKM. </w:t>
      </w:r>
    </w:p>
    <w:p w14:paraId="52574B87" w14:textId="77777777" w:rsidR="004232E5" w:rsidRDefault="004232E5"/>
    <w:p w14:paraId="783CAC2A" w14:textId="77777777" w:rsidR="000E0690" w:rsidRDefault="000E0690"/>
    <w:p w14:paraId="554196CF" w14:textId="71D451D7" w:rsidR="000E0690" w:rsidRDefault="000E0690" w:rsidP="000E0690">
      <w:pPr>
        <w:tabs>
          <w:tab w:val="left" w:pos="480"/>
        </w:tabs>
        <w:spacing w:line="480" w:lineRule="auto"/>
        <w:ind w:left="480" w:hanging="480"/>
        <w:rPr>
          <w:noProof/>
        </w:rPr>
      </w:pPr>
      <w:r>
        <w:fldChar w:fldCharType="begin" w:fldLock="1"/>
      </w:r>
      <w:r>
        <w:instrText>ADDIN paperpile_bibliography &lt;pp-bibliography&gt;&lt;first-reference-indices&gt;&lt;formatting&gt;1&lt;/formatting&gt;&lt;space-after&gt;1&lt;/space-after&gt;&lt;/first-reference-indices&gt;&lt;/pp-bibliography&gt; \* MERGEFORMAT</w:instrText>
      </w:r>
      <w:r>
        <w:fldChar w:fldCharType="separate"/>
      </w:r>
      <w:r>
        <w:rPr>
          <w:noProof/>
        </w:rPr>
        <w:t>1.</w:t>
      </w:r>
      <w:r>
        <w:rPr>
          <w:noProof/>
        </w:rPr>
        <w:tab/>
        <w:t xml:space="preserve">Ke, S. </w:t>
      </w:r>
      <w:r w:rsidRPr="000E0690">
        <w:rPr>
          <w:i/>
          <w:noProof/>
        </w:rPr>
        <w:t>et al.</w:t>
      </w:r>
      <w:r>
        <w:rPr>
          <w:noProof/>
        </w:rPr>
        <w:t xml:space="preserve"> Saturation mutagenesis reveals manifold determinants of exon definition. </w:t>
      </w:r>
      <w:r w:rsidRPr="000E0690">
        <w:rPr>
          <w:i/>
          <w:noProof/>
        </w:rPr>
        <w:t>Genome Res.</w:t>
      </w:r>
      <w:r>
        <w:rPr>
          <w:noProof/>
        </w:rPr>
        <w:t xml:space="preserve"> </w:t>
      </w:r>
      <w:r w:rsidRPr="000E0690">
        <w:rPr>
          <w:b/>
          <w:noProof/>
        </w:rPr>
        <w:t>28</w:t>
      </w:r>
      <w:r>
        <w:rPr>
          <w:noProof/>
        </w:rPr>
        <w:t>, 11–24 (2018).</w:t>
      </w:r>
    </w:p>
    <w:p w14:paraId="01DD58DA" w14:textId="77777777" w:rsidR="000E0690" w:rsidRDefault="000E0690" w:rsidP="000E0690">
      <w:pPr>
        <w:tabs>
          <w:tab w:val="left" w:pos="480"/>
        </w:tabs>
        <w:spacing w:line="480" w:lineRule="auto"/>
        <w:ind w:left="480" w:hanging="480"/>
        <w:rPr>
          <w:noProof/>
        </w:rPr>
      </w:pPr>
      <w:r>
        <w:rPr>
          <w:noProof/>
        </w:rPr>
        <w:t>2.</w:t>
      </w:r>
      <w:r>
        <w:rPr>
          <w:noProof/>
        </w:rPr>
        <w:tab/>
        <w:t xml:space="preserve">Julien, P., Miñana, B., Baeza-Centurion, P., Valcárcel, J. &amp; Lehner, B. The complete local genotype–phenotype landscape for the alternative splicing of a human exon. </w:t>
      </w:r>
      <w:r w:rsidRPr="000E0690">
        <w:rPr>
          <w:i/>
          <w:noProof/>
        </w:rPr>
        <w:t>Nat. Commun.</w:t>
      </w:r>
      <w:r>
        <w:rPr>
          <w:noProof/>
        </w:rPr>
        <w:t xml:space="preserve"> </w:t>
      </w:r>
      <w:r w:rsidRPr="000E0690">
        <w:rPr>
          <w:b/>
          <w:noProof/>
        </w:rPr>
        <w:t>7</w:t>
      </w:r>
      <w:r>
        <w:rPr>
          <w:noProof/>
        </w:rPr>
        <w:t>, 1–8 (2016).</w:t>
      </w:r>
    </w:p>
    <w:p w14:paraId="3C9D5596" w14:textId="77777777" w:rsidR="000E0690" w:rsidRDefault="000E0690" w:rsidP="000E0690">
      <w:pPr>
        <w:tabs>
          <w:tab w:val="left" w:pos="480"/>
        </w:tabs>
        <w:spacing w:line="480" w:lineRule="auto"/>
        <w:ind w:left="480" w:hanging="480"/>
        <w:rPr>
          <w:noProof/>
        </w:rPr>
      </w:pPr>
      <w:r>
        <w:rPr>
          <w:noProof/>
        </w:rPr>
        <w:t>3.</w:t>
      </w:r>
      <w:r>
        <w:rPr>
          <w:noProof/>
        </w:rPr>
        <w:tab/>
        <w:t xml:space="preserve">Adamson, S. I., Zhan, L. &amp; Graveley, B. R. Vex-seq: high-throughput identification of the impact of genetic variation on pre-mRNA splicing efficiency. </w:t>
      </w:r>
      <w:r w:rsidRPr="000E0690">
        <w:rPr>
          <w:i/>
          <w:noProof/>
        </w:rPr>
        <w:t>Genome Biol.</w:t>
      </w:r>
      <w:r>
        <w:rPr>
          <w:noProof/>
        </w:rPr>
        <w:t xml:space="preserve"> </w:t>
      </w:r>
      <w:r w:rsidRPr="000E0690">
        <w:rPr>
          <w:b/>
          <w:noProof/>
        </w:rPr>
        <w:t>19</w:t>
      </w:r>
      <w:r>
        <w:rPr>
          <w:noProof/>
        </w:rPr>
        <w:t>, 71 (2018).</w:t>
      </w:r>
    </w:p>
    <w:p w14:paraId="6744D2E3" w14:textId="77777777" w:rsidR="000E0690" w:rsidRDefault="000E0690" w:rsidP="000E0690">
      <w:pPr>
        <w:tabs>
          <w:tab w:val="left" w:pos="480"/>
        </w:tabs>
        <w:spacing w:line="480" w:lineRule="auto"/>
        <w:ind w:left="480" w:hanging="480"/>
        <w:rPr>
          <w:noProof/>
        </w:rPr>
      </w:pPr>
      <w:r>
        <w:rPr>
          <w:noProof/>
        </w:rPr>
        <w:t>4.</w:t>
      </w:r>
      <w:r>
        <w:rPr>
          <w:noProof/>
        </w:rPr>
        <w:tab/>
        <w:t xml:space="preserve">Soemedi, R. </w:t>
      </w:r>
      <w:r w:rsidRPr="000E0690">
        <w:rPr>
          <w:i/>
          <w:noProof/>
        </w:rPr>
        <w:t>et al.</w:t>
      </w:r>
      <w:r>
        <w:rPr>
          <w:noProof/>
        </w:rPr>
        <w:t xml:space="preserve"> Pathogenic variants that alter protein code often disrupt splicing. </w:t>
      </w:r>
      <w:r w:rsidRPr="000E0690">
        <w:rPr>
          <w:i/>
          <w:noProof/>
        </w:rPr>
        <w:t>Nat. Genet.</w:t>
      </w:r>
      <w:r>
        <w:rPr>
          <w:noProof/>
        </w:rPr>
        <w:t xml:space="preserve"> </w:t>
      </w:r>
      <w:r w:rsidRPr="000E0690">
        <w:rPr>
          <w:b/>
          <w:noProof/>
        </w:rPr>
        <w:t>49</w:t>
      </w:r>
      <w:r>
        <w:rPr>
          <w:noProof/>
        </w:rPr>
        <w:t>, 848–855 (2017).</w:t>
      </w:r>
    </w:p>
    <w:p w14:paraId="1015757B" w14:textId="77777777" w:rsidR="000E0690" w:rsidRDefault="000E0690" w:rsidP="000E0690">
      <w:pPr>
        <w:tabs>
          <w:tab w:val="left" w:pos="480"/>
        </w:tabs>
        <w:spacing w:line="480" w:lineRule="auto"/>
        <w:ind w:left="480" w:hanging="480"/>
        <w:rPr>
          <w:noProof/>
        </w:rPr>
      </w:pPr>
      <w:r>
        <w:rPr>
          <w:noProof/>
        </w:rPr>
        <w:lastRenderedPageBreak/>
        <w:t>5.</w:t>
      </w:r>
      <w:r>
        <w:rPr>
          <w:noProof/>
        </w:rPr>
        <w:tab/>
        <w:t xml:space="preserve">Cortés-López, M. </w:t>
      </w:r>
      <w:r w:rsidRPr="000E0690">
        <w:rPr>
          <w:i/>
          <w:noProof/>
        </w:rPr>
        <w:t>et al.</w:t>
      </w:r>
      <w:r>
        <w:rPr>
          <w:noProof/>
        </w:rPr>
        <w:t xml:space="preserve"> High-throughput mutagenesis identifies mutations and RNA-binding proteins controlling CD19 splicing and CART-19 therapy resistance. </w:t>
      </w:r>
      <w:r w:rsidRPr="000E0690">
        <w:rPr>
          <w:i/>
          <w:noProof/>
        </w:rPr>
        <w:t>Nat. Commun.</w:t>
      </w:r>
      <w:r>
        <w:rPr>
          <w:noProof/>
        </w:rPr>
        <w:t xml:space="preserve"> </w:t>
      </w:r>
      <w:r w:rsidRPr="000E0690">
        <w:rPr>
          <w:b/>
          <w:noProof/>
        </w:rPr>
        <w:t>13</w:t>
      </w:r>
      <w:r>
        <w:rPr>
          <w:noProof/>
        </w:rPr>
        <w:t>, 1–17 (2022).</w:t>
      </w:r>
    </w:p>
    <w:p w14:paraId="5A5A2588" w14:textId="77777777" w:rsidR="000E0690" w:rsidRDefault="000E0690" w:rsidP="000E0690">
      <w:pPr>
        <w:tabs>
          <w:tab w:val="left" w:pos="480"/>
        </w:tabs>
        <w:spacing w:line="480" w:lineRule="auto"/>
        <w:ind w:left="480" w:hanging="480"/>
        <w:rPr>
          <w:noProof/>
        </w:rPr>
      </w:pPr>
      <w:r>
        <w:rPr>
          <w:noProof/>
        </w:rPr>
        <w:t>6.</w:t>
      </w:r>
      <w:r>
        <w:rPr>
          <w:noProof/>
        </w:rPr>
        <w:tab/>
        <w:t xml:space="preserve">Schirman, D., Yakhini, Z., Pilpel, Y. &amp; Dahan, O. A broad analysis of splicing regulation in yeast using a large library of synthetic introns. </w:t>
      </w:r>
      <w:r w:rsidRPr="000E0690">
        <w:rPr>
          <w:i/>
          <w:noProof/>
        </w:rPr>
        <w:t>PLoS Genet.</w:t>
      </w:r>
      <w:r>
        <w:rPr>
          <w:noProof/>
        </w:rPr>
        <w:t xml:space="preserve"> </w:t>
      </w:r>
      <w:r w:rsidRPr="000E0690">
        <w:rPr>
          <w:b/>
          <w:noProof/>
        </w:rPr>
        <w:t>17</w:t>
      </w:r>
      <w:r>
        <w:rPr>
          <w:noProof/>
        </w:rPr>
        <w:t>, e1009805 (2021).</w:t>
      </w:r>
    </w:p>
    <w:p w14:paraId="543518FA" w14:textId="77777777" w:rsidR="000E0690" w:rsidRDefault="000E0690" w:rsidP="000E0690">
      <w:pPr>
        <w:tabs>
          <w:tab w:val="left" w:pos="480"/>
        </w:tabs>
        <w:spacing w:line="480" w:lineRule="auto"/>
        <w:ind w:left="480" w:hanging="480"/>
        <w:rPr>
          <w:noProof/>
        </w:rPr>
      </w:pPr>
      <w:r>
        <w:rPr>
          <w:noProof/>
        </w:rPr>
        <w:t>7.</w:t>
      </w:r>
      <w:r>
        <w:rPr>
          <w:noProof/>
        </w:rPr>
        <w:tab/>
        <w:t xml:space="preserve">Mikl, M., Hamburg, A., Pilpel, Y. &amp; Segal, E. Dissecting splicing decisions and cell-to-cell variability with designed sequence libraries. </w:t>
      </w:r>
      <w:r w:rsidRPr="000E0690">
        <w:rPr>
          <w:i/>
          <w:noProof/>
        </w:rPr>
        <w:t>Nat. Commun.</w:t>
      </w:r>
      <w:r>
        <w:rPr>
          <w:noProof/>
        </w:rPr>
        <w:t xml:space="preserve"> </w:t>
      </w:r>
      <w:r w:rsidRPr="000E0690">
        <w:rPr>
          <w:b/>
          <w:noProof/>
        </w:rPr>
        <w:t>10</w:t>
      </w:r>
      <w:r>
        <w:rPr>
          <w:noProof/>
        </w:rPr>
        <w:t>, 1–14 (2019).</w:t>
      </w:r>
    </w:p>
    <w:p w14:paraId="0EE09784" w14:textId="77777777" w:rsidR="000E0690" w:rsidRDefault="000E0690" w:rsidP="000E0690">
      <w:pPr>
        <w:tabs>
          <w:tab w:val="left" w:pos="480"/>
        </w:tabs>
        <w:spacing w:line="480" w:lineRule="auto"/>
        <w:ind w:left="480" w:hanging="480"/>
        <w:rPr>
          <w:noProof/>
        </w:rPr>
      </w:pPr>
      <w:r>
        <w:rPr>
          <w:noProof/>
        </w:rPr>
        <w:t>8.</w:t>
      </w:r>
      <w:r>
        <w:rPr>
          <w:noProof/>
        </w:rPr>
        <w:tab/>
        <w:t xml:space="preserve">Braun, S. </w:t>
      </w:r>
      <w:r w:rsidRPr="000E0690">
        <w:rPr>
          <w:i/>
          <w:noProof/>
        </w:rPr>
        <w:t>et al.</w:t>
      </w:r>
      <w:r>
        <w:rPr>
          <w:noProof/>
        </w:rPr>
        <w:t xml:space="preserve"> Decoding a cancer-relevant splicing decision in the RON proto-oncogene using high-throughput mutagenesis. </w:t>
      </w:r>
      <w:r w:rsidRPr="000E0690">
        <w:rPr>
          <w:i/>
          <w:noProof/>
        </w:rPr>
        <w:t>Nat. Commun.</w:t>
      </w:r>
      <w:r>
        <w:rPr>
          <w:noProof/>
        </w:rPr>
        <w:t xml:space="preserve"> </w:t>
      </w:r>
      <w:r w:rsidRPr="000E0690">
        <w:rPr>
          <w:b/>
          <w:noProof/>
        </w:rPr>
        <w:t>9</w:t>
      </w:r>
      <w:r>
        <w:rPr>
          <w:noProof/>
        </w:rPr>
        <w:t>, 1–18 (2018).</w:t>
      </w:r>
    </w:p>
    <w:p w14:paraId="71B24C76" w14:textId="77777777" w:rsidR="000E0690" w:rsidRDefault="000E0690" w:rsidP="000E0690">
      <w:pPr>
        <w:tabs>
          <w:tab w:val="left" w:pos="480"/>
        </w:tabs>
        <w:spacing w:line="480" w:lineRule="auto"/>
        <w:ind w:left="480" w:hanging="480"/>
        <w:rPr>
          <w:noProof/>
        </w:rPr>
      </w:pPr>
      <w:r>
        <w:rPr>
          <w:noProof/>
        </w:rPr>
        <w:t>9.</w:t>
      </w:r>
      <w:r>
        <w:rPr>
          <w:noProof/>
        </w:rPr>
        <w:tab/>
        <w:t xml:space="preserve">Souček, P. </w:t>
      </w:r>
      <w:r w:rsidRPr="000E0690">
        <w:rPr>
          <w:i/>
          <w:noProof/>
        </w:rPr>
        <w:t>et al.</w:t>
      </w:r>
      <w:r>
        <w:rPr>
          <w:noProof/>
        </w:rPr>
        <w:t xml:space="preserve"> High-throughput analysis revealed mutations’ diverging effects on SMN1 exon 7 splicing. </w:t>
      </w:r>
      <w:r w:rsidRPr="000E0690">
        <w:rPr>
          <w:i/>
          <w:noProof/>
        </w:rPr>
        <w:t>RNA Biol.</w:t>
      </w:r>
      <w:r>
        <w:rPr>
          <w:noProof/>
        </w:rPr>
        <w:t xml:space="preserve"> </w:t>
      </w:r>
      <w:r w:rsidRPr="000E0690">
        <w:rPr>
          <w:b/>
          <w:noProof/>
        </w:rPr>
        <w:t>16</w:t>
      </w:r>
      <w:r>
        <w:rPr>
          <w:noProof/>
        </w:rPr>
        <w:t>, 1364–1376 (2019).</w:t>
      </w:r>
    </w:p>
    <w:p w14:paraId="6082A02C" w14:textId="77777777" w:rsidR="000E0690" w:rsidRDefault="000E0690" w:rsidP="000E0690">
      <w:pPr>
        <w:tabs>
          <w:tab w:val="left" w:pos="480"/>
        </w:tabs>
        <w:spacing w:line="480" w:lineRule="auto"/>
        <w:ind w:left="480" w:hanging="480"/>
        <w:rPr>
          <w:noProof/>
        </w:rPr>
      </w:pPr>
      <w:r>
        <w:rPr>
          <w:noProof/>
        </w:rPr>
        <w:t>10.</w:t>
      </w:r>
      <w:r>
        <w:rPr>
          <w:noProof/>
        </w:rPr>
        <w:tab/>
        <w:t xml:space="preserve">Baeza-Centurion, P., Miñana, B., Valcárcel, J. &amp; Lehner, B. Mutations primarily alter the inclusion of alternatively spliced exons. </w:t>
      </w:r>
      <w:r w:rsidRPr="000E0690">
        <w:rPr>
          <w:i/>
          <w:noProof/>
        </w:rPr>
        <w:t>Elife</w:t>
      </w:r>
      <w:r>
        <w:rPr>
          <w:noProof/>
        </w:rPr>
        <w:t xml:space="preserve"> </w:t>
      </w:r>
      <w:r w:rsidRPr="000E0690">
        <w:rPr>
          <w:b/>
          <w:noProof/>
        </w:rPr>
        <w:t>9</w:t>
      </w:r>
      <w:r>
        <w:rPr>
          <w:noProof/>
        </w:rPr>
        <w:t>, (2020).</w:t>
      </w:r>
    </w:p>
    <w:p w14:paraId="7F5BAFA2" w14:textId="77777777" w:rsidR="000E0690" w:rsidRDefault="000E0690" w:rsidP="000E0690">
      <w:pPr>
        <w:tabs>
          <w:tab w:val="left" w:pos="480"/>
        </w:tabs>
        <w:spacing w:line="480" w:lineRule="auto"/>
        <w:ind w:left="480" w:hanging="480"/>
        <w:rPr>
          <w:noProof/>
        </w:rPr>
      </w:pPr>
      <w:r>
        <w:rPr>
          <w:noProof/>
        </w:rPr>
        <w:t>11.</w:t>
      </w:r>
      <w:r>
        <w:rPr>
          <w:noProof/>
        </w:rPr>
        <w:tab/>
        <w:t xml:space="preserve">Cheung, R. </w:t>
      </w:r>
      <w:r w:rsidRPr="000E0690">
        <w:rPr>
          <w:i/>
          <w:noProof/>
        </w:rPr>
        <w:t>et al.</w:t>
      </w:r>
      <w:r>
        <w:rPr>
          <w:noProof/>
        </w:rPr>
        <w:t xml:space="preserve"> A Multiplexed Assay for Exon Recognition Reveals that an Unappreciated Fraction of Rare Genetic Variants Cause Large-Effect Splicing Disruptions. </w:t>
      </w:r>
      <w:r w:rsidRPr="000E0690">
        <w:rPr>
          <w:i/>
          <w:noProof/>
        </w:rPr>
        <w:t>Mol. Cell</w:t>
      </w:r>
      <w:r>
        <w:rPr>
          <w:noProof/>
        </w:rPr>
        <w:t xml:space="preserve"> </w:t>
      </w:r>
      <w:r w:rsidRPr="000E0690">
        <w:rPr>
          <w:b/>
          <w:noProof/>
        </w:rPr>
        <w:t>73</w:t>
      </w:r>
      <w:r>
        <w:rPr>
          <w:noProof/>
        </w:rPr>
        <w:t>, 183-194.e8 (2019).</w:t>
      </w:r>
    </w:p>
    <w:p w14:paraId="3E05D76B" w14:textId="77777777" w:rsidR="000E0690" w:rsidRDefault="000E0690" w:rsidP="000E0690">
      <w:pPr>
        <w:tabs>
          <w:tab w:val="left" w:pos="480"/>
        </w:tabs>
        <w:spacing w:line="480" w:lineRule="auto"/>
        <w:ind w:left="480" w:hanging="480"/>
        <w:rPr>
          <w:noProof/>
        </w:rPr>
      </w:pPr>
      <w:r>
        <w:rPr>
          <w:noProof/>
        </w:rPr>
        <w:t>12.</w:t>
      </w:r>
      <w:r>
        <w:rPr>
          <w:noProof/>
        </w:rPr>
        <w:tab/>
        <w:t xml:space="preserve">Baeza-Centurion, P., Miñana, B., Schmiedel, J. M., Valcárcel, J. &amp; Lehner, B. Combinatorial Genetics Reveals a Scaling Law for the Effects of Mutations on Splicing. </w:t>
      </w:r>
      <w:r w:rsidRPr="000E0690">
        <w:rPr>
          <w:i/>
          <w:noProof/>
        </w:rPr>
        <w:t>Cell</w:t>
      </w:r>
      <w:r>
        <w:rPr>
          <w:noProof/>
        </w:rPr>
        <w:t xml:space="preserve"> </w:t>
      </w:r>
      <w:r w:rsidRPr="000E0690">
        <w:rPr>
          <w:b/>
          <w:noProof/>
        </w:rPr>
        <w:t>176</w:t>
      </w:r>
      <w:r>
        <w:rPr>
          <w:noProof/>
        </w:rPr>
        <w:t>, 549-563.e23 (2019).</w:t>
      </w:r>
    </w:p>
    <w:p w14:paraId="569189C8" w14:textId="77777777" w:rsidR="000E0690" w:rsidRDefault="000E0690" w:rsidP="000E0690">
      <w:pPr>
        <w:tabs>
          <w:tab w:val="left" w:pos="480"/>
        </w:tabs>
        <w:spacing w:line="480" w:lineRule="auto"/>
        <w:ind w:left="480" w:hanging="480"/>
        <w:rPr>
          <w:noProof/>
        </w:rPr>
      </w:pPr>
      <w:r>
        <w:rPr>
          <w:noProof/>
        </w:rPr>
        <w:t>13.</w:t>
      </w:r>
      <w:r>
        <w:rPr>
          <w:noProof/>
        </w:rPr>
        <w:tab/>
        <w:t xml:space="preserve">Rosenberg, A. B., Patwardhan, R. P., Shendure, J. &amp; Seelig, G. Learning the sequence determinants of alternative splicing from millions of random sequences. </w:t>
      </w:r>
      <w:r w:rsidRPr="000E0690">
        <w:rPr>
          <w:i/>
          <w:noProof/>
        </w:rPr>
        <w:t>Cell</w:t>
      </w:r>
      <w:r>
        <w:rPr>
          <w:noProof/>
        </w:rPr>
        <w:t xml:space="preserve"> </w:t>
      </w:r>
      <w:r w:rsidRPr="000E0690">
        <w:rPr>
          <w:b/>
          <w:noProof/>
        </w:rPr>
        <w:t>163</w:t>
      </w:r>
      <w:r>
        <w:rPr>
          <w:noProof/>
        </w:rPr>
        <w:t>, 698–711 (2015).</w:t>
      </w:r>
    </w:p>
    <w:p w14:paraId="6776BAD0" w14:textId="77777777" w:rsidR="000E0690" w:rsidRDefault="000E0690" w:rsidP="000E0690">
      <w:pPr>
        <w:tabs>
          <w:tab w:val="left" w:pos="480"/>
        </w:tabs>
        <w:spacing w:line="480" w:lineRule="auto"/>
        <w:ind w:left="480" w:hanging="480"/>
        <w:rPr>
          <w:noProof/>
        </w:rPr>
      </w:pPr>
      <w:r>
        <w:rPr>
          <w:noProof/>
        </w:rPr>
        <w:t>14.</w:t>
      </w:r>
      <w:r>
        <w:rPr>
          <w:noProof/>
        </w:rPr>
        <w:tab/>
        <w:t xml:space="preserve">Wong, M. S., Kinney, J. B. &amp; Krainer, A. R. Quantitative Activity Profile and Context Dependence of All Human 5’ Splice Sites. </w:t>
      </w:r>
      <w:r w:rsidRPr="000E0690">
        <w:rPr>
          <w:i/>
          <w:noProof/>
        </w:rPr>
        <w:t>Mol. Cell</w:t>
      </w:r>
      <w:r>
        <w:rPr>
          <w:noProof/>
        </w:rPr>
        <w:t xml:space="preserve"> </w:t>
      </w:r>
      <w:r w:rsidRPr="000E0690">
        <w:rPr>
          <w:b/>
          <w:noProof/>
        </w:rPr>
        <w:t>71</w:t>
      </w:r>
      <w:r>
        <w:rPr>
          <w:noProof/>
        </w:rPr>
        <w:t>, 1012-1026.e3 (2018).</w:t>
      </w:r>
    </w:p>
    <w:p w14:paraId="2FE8B37C" w14:textId="77777777" w:rsidR="000E0690" w:rsidRDefault="000E0690" w:rsidP="000E0690">
      <w:pPr>
        <w:tabs>
          <w:tab w:val="left" w:pos="480"/>
        </w:tabs>
        <w:spacing w:line="480" w:lineRule="auto"/>
        <w:ind w:left="480" w:hanging="480"/>
        <w:rPr>
          <w:noProof/>
        </w:rPr>
      </w:pPr>
      <w:r>
        <w:rPr>
          <w:noProof/>
        </w:rPr>
        <w:t>15.</w:t>
      </w:r>
      <w:r>
        <w:rPr>
          <w:noProof/>
        </w:rPr>
        <w:tab/>
        <w:t xml:space="preserve">Ishigami, Y. </w:t>
      </w:r>
      <w:r w:rsidRPr="000E0690">
        <w:rPr>
          <w:i/>
          <w:noProof/>
        </w:rPr>
        <w:t>et al.</w:t>
      </w:r>
      <w:r>
        <w:rPr>
          <w:noProof/>
        </w:rPr>
        <w:t xml:space="preserve"> Specificity, synergy, and mechanisms of splice-modifying drugs. </w:t>
      </w:r>
      <w:r w:rsidRPr="000E0690">
        <w:rPr>
          <w:i/>
          <w:noProof/>
        </w:rPr>
        <w:t>bioRxiv</w:t>
      </w:r>
      <w:r>
        <w:rPr>
          <w:noProof/>
        </w:rPr>
        <w:t xml:space="preserve"> 2022.12.30.522303 (2022) doi:10.1101/2022.12.30.522303.</w:t>
      </w:r>
    </w:p>
    <w:p w14:paraId="149B84A8" w14:textId="77777777" w:rsidR="000E0690" w:rsidRDefault="000E0690" w:rsidP="000E0690">
      <w:pPr>
        <w:tabs>
          <w:tab w:val="left" w:pos="480"/>
        </w:tabs>
        <w:spacing w:line="480" w:lineRule="auto"/>
        <w:ind w:left="480" w:hanging="480"/>
        <w:rPr>
          <w:noProof/>
        </w:rPr>
      </w:pPr>
      <w:r>
        <w:rPr>
          <w:noProof/>
        </w:rPr>
        <w:t>16.</w:t>
      </w:r>
      <w:r>
        <w:rPr>
          <w:noProof/>
        </w:rPr>
        <w:tab/>
        <w:t xml:space="preserve">North, K. </w:t>
      </w:r>
      <w:r w:rsidRPr="000E0690">
        <w:rPr>
          <w:i/>
          <w:noProof/>
        </w:rPr>
        <w:t>et al.</w:t>
      </w:r>
      <w:r>
        <w:rPr>
          <w:noProof/>
        </w:rPr>
        <w:t xml:space="preserve"> Synthetic introns enable splicing factor mutation-dependent targeting of cancer cells. </w:t>
      </w:r>
      <w:r w:rsidRPr="000E0690">
        <w:rPr>
          <w:i/>
          <w:noProof/>
        </w:rPr>
        <w:t>Nat. Biotechnol.</w:t>
      </w:r>
      <w:r>
        <w:rPr>
          <w:noProof/>
        </w:rPr>
        <w:t xml:space="preserve"> </w:t>
      </w:r>
      <w:r w:rsidRPr="000E0690">
        <w:rPr>
          <w:b/>
          <w:noProof/>
        </w:rPr>
        <w:t>40</w:t>
      </w:r>
      <w:r>
        <w:rPr>
          <w:noProof/>
        </w:rPr>
        <w:t>, 1103–1113 (2022).</w:t>
      </w:r>
    </w:p>
    <w:p w14:paraId="568C7BB5" w14:textId="77777777" w:rsidR="000E0690" w:rsidRDefault="000E0690" w:rsidP="000E0690">
      <w:pPr>
        <w:tabs>
          <w:tab w:val="left" w:pos="480"/>
        </w:tabs>
        <w:spacing w:line="480" w:lineRule="auto"/>
        <w:ind w:left="480" w:hanging="480"/>
        <w:rPr>
          <w:noProof/>
        </w:rPr>
      </w:pPr>
      <w:r>
        <w:rPr>
          <w:noProof/>
        </w:rPr>
        <w:lastRenderedPageBreak/>
        <w:t>17.</w:t>
      </w:r>
      <w:r>
        <w:rPr>
          <w:noProof/>
        </w:rPr>
        <w:tab/>
        <w:t xml:space="preserve">Wang, Z. </w:t>
      </w:r>
      <w:r w:rsidRPr="000E0690">
        <w:rPr>
          <w:i/>
          <w:noProof/>
        </w:rPr>
        <w:t>et al.</w:t>
      </w:r>
      <w:r>
        <w:rPr>
          <w:noProof/>
        </w:rPr>
        <w:t xml:space="preserve"> Exon-centric regulation of pyruvate kinase M alternative splicing via mutually exclusive exons. </w:t>
      </w:r>
      <w:r w:rsidRPr="000E0690">
        <w:rPr>
          <w:i/>
          <w:noProof/>
        </w:rPr>
        <w:t>Journal of molecular</w:t>
      </w:r>
      <w:r>
        <w:rPr>
          <w:noProof/>
        </w:rPr>
        <w:t xml:space="preserve"> (2012).</w:t>
      </w:r>
    </w:p>
    <w:p w14:paraId="5B58373F" w14:textId="77777777" w:rsidR="000E0690" w:rsidRDefault="000E0690" w:rsidP="000E0690">
      <w:pPr>
        <w:tabs>
          <w:tab w:val="left" w:pos="480"/>
        </w:tabs>
        <w:spacing w:line="480" w:lineRule="auto"/>
        <w:ind w:left="480" w:hanging="480"/>
        <w:rPr>
          <w:noProof/>
        </w:rPr>
      </w:pPr>
      <w:r>
        <w:rPr>
          <w:noProof/>
        </w:rPr>
        <w:t>18.</w:t>
      </w:r>
      <w:r>
        <w:rPr>
          <w:noProof/>
        </w:rPr>
        <w:tab/>
        <w:t xml:space="preserve">Wang, Z., Jeon, H. Y., Rigo, F., Bennett, C. F. &amp; Krainer, A. R. Manipulation of PK-M mutually exclusive alternative splicing by antisense oligonucleotides. </w:t>
      </w:r>
      <w:r w:rsidRPr="000E0690">
        <w:rPr>
          <w:i/>
          <w:noProof/>
        </w:rPr>
        <w:t>Open Biol.</w:t>
      </w:r>
      <w:r>
        <w:rPr>
          <w:noProof/>
        </w:rPr>
        <w:t xml:space="preserve"> </w:t>
      </w:r>
      <w:r w:rsidRPr="000E0690">
        <w:rPr>
          <w:b/>
          <w:noProof/>
        </w:rPr>
        <w:t>2</w:t>
      </w:r>
      <w:r>
        <w:rPr>
          <w:noProof/>
        </w:rPr>
        <w:t>, 120133 (2012).</w:t>
      </w:r>
    </w:p>
    <w:p w14:paraId="5B13FF9B" w14:textId="77777777" w:rsidR="000E0690" w:rsidRDefault="000E0690" w:rsidP="000E0690">
      <w:pPr>
        <w:tabs>
          <w:tab w:val="left" w:pos="480"/>
        </w:tabs>
        <w:spacing w:line="480" w:lineRule="auto"/>
        <w:ind w:left="480" w:hanging="480"/>
        <w:rPr>
          <w:noProof/>
        </w:rPr>
      </w:pPr>
      <w:r>
        <w:rPr>
          <w:noProof/>
        </w:rPr>
        <w:t>19.</w:t>
      </w:r>
      <w:r>
        <w:rPr>
          <w:noProof/>
        </w:rPr>
        <w:tab/>
        <w:t xml:space="preserve">Piovesan, A. </w:t>
      </w:r>
      <w:r w:rsidRPr="000E0690">
        <w:rPr>
          <w:i/>
          <w:noProof/>
        </w:rPr>
        <w:t>et al.</w:t>
      </w:r>
      <w:r>
        <w:rPr>
          <w:noProof/>
        </w:rPr>
        <w:t xml:space="preserve"> Human protein-coding genes and gene feature statistics in 2019. </w:t>
      </w:r>
      <w:r w:rsidRPr="000E0690">
        <w:rPr>
          <w:i/>
          <w:noProof/>
        </w:rPr>
        <w:t>BMC Res. Notes</w:t>
      </w:r>
      <w:r>
        <w:rPr>
          <w:noProof/>
        </w:rPr>
        <w:t xml:space="preserve"> </w:t>
      </w:r>
      <w:r w:rsidRPr="000E0690">
        <w:rPr>
          <w:b/>
          <w:noProof/>
        </w:rPr>
        <w:t>12</w:t>
      </w:r>
      <w:r>
        <w:rPr>
          <w:noProof/>
        </w:rPr>
        <w:t>, 315 (2019).</w:t>
      </w:r>
    </w:p>
    <w:p w14:paraId="5D12B0D3" w14:textId="77777777" w:rsidR="000E0690" w:rsidRDefault="000E0690" w:rsidP="000E0690">
      <w:pPr>
        <w:tabs>
          <w:tab w:val="left" w:pos="480"/>
        </w:tabs>
        <w:spacing w:line="480" w:lineRule="auto"/>
        <w:ind w:left="480" w:hanging="480"/>
        <w:rPr>
          <w:noProof/>
        </w:rPr>
      </w:pPr>
      <w:r>
        <w:rPr>
          <w:noProof/>
        </w:rPr>
        <w:t>20.</w:t>
      </w:r>
      <w:r>
        <w:rPr>
          <w:noProof/>
        </w:rPr>
        <w:tab/>
        <w:t xml:space="preserve">Jin, Y., Dong, H., Shi, Y. &amp; Bian, L. Mutually exclusive alternative splicing of pre‐mRNAs. </w:t>
      </w:r>
      <w:r w:rsidRPr="000E0690">
        <w:rPr>
          <w:i/>
          <w:noProof/>
        </w:rPr>
        <w:t>Wiley Interdiscip. Rev. RNA</w:t>
      </w:r>
      <w:r>
        <w:rPr>
          <w:noProof/>
        </w:rPr>
        <w:t xml:space="preserve"> </w:t>
      </w:r>
      <w:r w:rsidRPr="000E0690">
        <w:rPr>
          <w:b/>
          <w:noProof/>
        </w:rPr>
        <w:t>9</w:t>
      </w:r>
      <w:r>
        <w:rPr>
          <w:noProof/>
        </w:rPr>
        <w:t>, e1468 (2018).</w:t>
      </w:r>
    </w:p>
    <w:p w14:paraId="6B3417F9" w14:textId="77777777" w:rsidR="000E0690" w:rsidRDefault="000E0690" w:rsidP="000E0690">
      <w:pPr>
        <w:tabs>
          <w:tab w:val="left" w:pos="480"/>
        </w:tabs>
        <w:spacing w:line="480" w:lineRule="auto"/>
        <w:ind w:left="480" w:hanging="480"/>
        <w:rPr>
          <w:noProof/>
        </w:rPr>
      </w:pPr>
      <w:r>
        <w:rPr>
          <w:noProof/>
        </w:rPr>
        <w:t>21.</w:t>
      </w:r>
      <w:r>
        <w:rPr>
          <w:noProof/>
        </w:rPr>
        <w:tab/>
        <w:t xml:space="preserve">Wang, Z. &amp; Burge, C. B. Splicing regulation: from a parts list of regulatory elements to an integrated splicing code. </w:t>
      </w:r>
      <w:r w:rsidRPr="000E0690">
        <w:rPr>
          <w:i/>
          <w:noProof/>
        </w:rPr>
        <w:t>RNA</w:t>
      </w:r>
      <w:r>
        <w:rPr>
          <w:noProof/>
        </w:rPr>
        <w:t xml:space="preserve"> </w:t>
      </w:r>
      <w:r w:rsidRPr="000E0690">
        <w:rPr>
          <w:b/>
          <w:noProof/>
        </w:rPr>
        <w:t>14</w:t>
      </w:r>
      <w:r>
        <w:rPr>
          <w:noProof/>
        </w:rPr>
        <w:t>, 802–813 (2008).</w:t>
      </w:r>
    </w:p>
    <w:p w14:paraId="3E67C18E" w14:textId="77777777" w:rsidR="000E0690" w:rsidRDefault="000E0690" w:rsidP="000E0690">
      <w:pPr>
        <w:tabs>
          <w:tab w:val="left" w:pos="480"/>
        </w:tabs>
        <w:spacing w:line="480" w:lineRule="auto"/>
        <w:ind w:left="480" w:hanging="480"/>
        <w:rPr>
          <w:noProof/>
        </w:rPr>
      </w:pPr>
      <w:r>
        <w:rPr>
          <w:noProof/>
        </w:rPr>
        <w:t>22.</w:t>
      </w:r>
      <w:r>
        <w:rPr>
          <w:noProof/>
        </w:rPr>
        <w:tab/>
        <w:t xml:space="preserve">Kalinina, M. </w:t>
      </w:r>
      <w:r w:rsidRPr="000E0690">
        <w:rPr>
          <w:i/>
          <w:noProof/>
        </w:rPr>
        <w:t>et al.</w:t>
      </w:r>
      <w:r>
        <w:rPr>
          <w:noProof/>
        </w:rPr>
        <w:t xml:space="preserve"> Multiple competing RNA structures dynamically control alternative splicing in the human ATE1 gene. </w:t>
      </w:r>
      <w:r w:rsidRPr="000E0690">
        <w:rPr>
          <w:i/>
          <w:noProof/>
        </w:rPr>
        <w:t>Nucleic Acids Res.</w:t>
      </w:r>
      <w:r>
        <w:rPr>
          <w:noProof/>
        </w:rPr>
        <w:t xml:space="preserve"> </w:t>
      </w:r>
      <w:r w:rsidRPr="000E0690">
        <w:rPr>
          <w:b/>
          <w:noProof/>
        </w:rPr>
        <w:t>49</w:t>
      </w:r>
      <w:r>
        <w:rPr>
          <w:noProof/>
        </w:rPr>
        <w:t>, 479–490 (2021).</w:t>
      </w:r>
    </w:p>
    <w:p w14:paraId="7E769640" w14:textId="77777777" w:rsidR="000E0690" w:rsidRDefault="000E0690" w:rsidP="000E0690">
      <w:pPr>
        <w:tabs>
          <w:tab w:val="left" w:pos="480"/>
        </w:tabs>
        <w:spacing w:line="480" w:lineRule="auto"/>
        <w:ind w:left="480" w:hanging="480"/>
        <w:rPr>
          <w:noProof/>
        </w:rPr>
      </w:pPr>
      <w:r>
        <w:rPr>
          <w:noProof/>
        </w:rPr>
        <w:t>23.</w:t>
      </w:r>
      <w:r>
        <w:rPr>
          <w:noProof/>
        </w:rPr>
        <w:tab/>
        <w:t xml:space="preserve">Hatje, K. </w:t>
      </w:r>
      <w:r w:rsidRPr="000E0690">
        <w:rPr>
          <w:i/>
          <w:noProof/>
        </w:rPr>
        <w:t>et al.</w:t>
      </w:r>
      <w:r>
        <w:rPr>
          <w:noProof/>
        </w:rPr>
        <w:t xml:space="preserve"> The landscape of human mutually exclusive splicing. </w:t>
      </w:r>
      <w:r w:rsidRPr="000E0690">
        <w:rPr>
          <w:i/>
          <w:noProof/>
        </w:rPr>
        <w:t>Mol. Syst. Biol.</w:t>
      </w:r>
      <w:r>
        <w:rPr>
          <w:noProof/>
        </w:rPr>
        <w:t xml:space="preserve"> </w:t>
      </w:r>
      <w:r w:rsidRPr="000E0690">
        <w:rPr>
          <w:b/>
          <w:noProof/>
        </w:rPr>
        <w:t>13</w:t>
      </w:r>
      <w:r>
        <w:rPr>
          <w:noProof/>
        </w:rPr>
        <w:t>, 959 (2017).</w:t>
      </w:r>
    </w:p>
    <w:p w14:paraId="37F08BC2" w14:textId="77777777" w:rsidR="000E0690" w:rsidRDefault="000E0690" w:rsidP="000E0690">
      <w:pPr>
        <w:tabs>
          <w:tab w:val="left" w:pos="480"/>
        </w:tabs>
        <w:spacing w:line="480" w:lineRule="auto"/>
        <w:ind w:left="480" w:hanging="480"/>
        <w:rPr>
          <w:noProof/>
        </w:rPr>
      </w:pPr>
      <w:r>
        <w:rPr>
          <w:noProof/>
        </w:rPr>
        <w:t>24.</w:t>
      </w:r>
      <w:r>
        <w:rPr>
          <w:noProof/>
        </w:rPr>
        <w:tab/>
        <w:t xml:space="preserve">Tilgner, H. </w:t>
      </w:r>
      <w:r w:rsidRPr="000E0690">
        <w:rPr>
          <w:i/>
          <w:noProof/>
        </w:rPr>
        <w:t>et al.</w:t>
      </w:r>
      <w:r>
        <w:rPr>
          <w:noProof/>
        </w:rPr>
        <w:t xml:space="preserve"> Comprehensive transcriptome analysis using synthetic long-read sequencing reveals molecular co-association of distant splicing events. </w:t>
      </w:r>
      <w:r w:rsidRPr="000E0690">
        <w:rPr>
          <w:i/>
          <w:noProof/>
        </w:rPr>
        <w:t>Nat. Biotechnol.</w:t>
      </w:r>
      <w:r>
        <w:rPr>
          <w:noProof/>
        </w:rPr>
        <w:t xml:space="preserve"> </w:t>
      </w:r>
      <w:r w:rsidRPr="000E0690">
        <w:rPr>
          <w:b/>
          <w:noProof/>
        </w:rPr>
        <w:t>33</w:t>
      </w:r>
      <w:r>
        <w:rPr>
          <w:noProof/>
        </w:rPr>
        <w:t>, 736–742 (2015).</w:t>
      </w:r>
    </w:p>
    <w:p w14:paraId="679EADB4" w14:textId="77777777" w:rsidR="000E0690" w:rsidRDefault="000E0690" w:rsidP="000E0690">
      <w:pPr>
        <w:tabs>
          <w:tab w:val="left" w:pos="480"/>
        </w:tabs>
        <w:spacing w:line="480" w:lineRule="auto"/>
        <w:ind w:left="480" w:hanging="480"/>
        <w:rPr>
          <w:noProof/>
        </w:rPr>
      </w:pPr>
      <w:r>
        <w:rPr>
          <w:noProof/>
        </w:rPr>
        <w:t>25.</w:t>
      </w:r>
      <w:r>
        <w:rPr>
          <w:noProof/>
        </w:rPr>
        <w:tab/>
        <w:t xml:space="preserve">Tilgner, H. </w:t>
      </w:r>
      <w:r w:rsidRPr="000E0690">
        <w:rPr>
          <w:i/>
          <w:noProof/>
        </w:rPr>
        <w:t>et al.</w:t>
      </w:r>
      <w:r>
        <w:rPr>
          <w:noProof/>
        </w:rPr>
        <w:t xml:space="preserve"> Microfluidic isoform sequencing shows widespread splicing coordination in the human transcriptome. </w:t>
      </w:r>
      <w:r w:rsidRPr="000E0690">
        <w:rPr>
          <w:i/>
          <w:noProof/>
        </w:rPr>
        <w:t>Genome Res.</w:t>
      </w:r>
      <w:r>
        <w:rPr>
          <w:noProof/>
        </w:rPr>
        <w:t xml:space="preserve"> </w:t>
      </w:r>
      <w:r w:rsidRPr="000E0690">
        <w:rPr>
          <w:b/>
          <w:noProof/>
        </w:rPr>
        <w:t>28</w:t>
      </w:r>
      <w:r>
        <w:rPr>
          <w:noProof/>
        </w:rPr>
        <w:t>, 231–242 (2018).</w:t>
      </w:r>
    </w:p>
    <w:p w14:paraId="3FA0EFC4" w14:textId="77777777" w:rsidR="000E0690" w:rsidRDefault="000E0690" w:rsidP="000E0690">
      <w:pPr>
        <w:tabs>
          <w:tab w:val="left" w:pos="480"/>
        </w:tabs>
        <w:spacing w:line="480" w:lineRule="auto"/>
        <w:ind w:left="480" w:hanging="480"/>
        <w:rPr>
          <w:noProof/>
        </w:rPr>
      </w:pPr>
      <w:r>
        <w:rPr>
          <w:noProof/>
        </w:rPr>
        <w:t>26.</w:t>
      </w:r>
      <w:r>
        <w:rPr>
          <w:noProof/>
        </w:rPr>
        <w:tab/>
        <w:t xml:space="preserve">Zhu, C. </w:t>
      </w:r>
      <w:r w:rsidRPr="000E0690">
        <w:rPr>
          <w:i/>
          <w:noProof/>
        </w:rPr>
        <w:t>et al.</w:t>
      </w:r>
      <w:r>
        <w:rPr>
          <w:noProof/>
        </w:rPr>
        <w:t xml:space="preserve"> Single-molecule, full-length transcript isoform sequencing reveals disease-associated RNA isoforms in cardiomyocytes. </w:t>
      </w:r>
      <w:r w:rsidRPr="000E0690">
        <w:rPr>
          <w:i/>
          <w:noProof/>
        </w:rPr>
        <w:t>Nat. Commun.</w:t>
      </w:r>
      <w:r>
        <w:rPr>
          <w:noProof/>
        </w:rPr>
        <w:t xml:space="preserve"> </w:t>
      </w:r>
      <w:r w:rsidRPr="000E0690">
        <w:rPr>
          <w:b/>
          <w:noProof/>
        </w:rPr>
        <w:t>12</w:t>
      </w:r>
      <w:r>
        <w:rPr>
          <w:noProof/>
        </w:rPr>
        <w:t>, 4203 (2021).</w:t>
      </w:r>
    </w:p>
    <w:p w14:paraId="7C83A52A" w14:textId="77777777" w:rsidR="000E0690" w:rsidRDefault="000E0690" w:rsidP="000E0690">
      <w:pPr>
        <w:tabs>
          <w:tab w:val="left" w:pos="480"/>
        </w:tabs>
        <w:spacing w:line="480" w:lineRule="auto"/>
        <w:ind w:left="480" w:hanging="480"/>
        <w:rPr>
          <w:noProof/>
        </w:rPr>
      </w:pPr>
      <w:r>
        <w:rPr>
          <w:noProof/>
        </w:rPr>
        <w:t>27.</w:t>
      </w:r>
      <w:r>
        <w:rPr>
          <w:noProof/>
        </w:rPr>
        <w:tab/>
        <w:t xml:space="preserve">Christofk, H. R. </w:t>
      </w:r>
      <w:r w:rsidRPr="000E0690">
        <w:rPr>
          <w:i/>
          <w:noProof/>
        </w:rPr>
        <w:t>et al.</w:t>
      </w:r>
      <w:r>
        <w:rPr>
          <w:noProof/>
        </w:rPr>
        <w:t xml:space="preserve"> The M2 splice isoform of pyruvate kinase is important for cancer metabolism and tumour growth. </w:t>
      </w:r>
      <w:r w:rsidRPr="000E0690">
        <w:rPr>
          <w:i/>
          <w:noProof/>
        </w:rPr>
        <w:t>Nature</w:t>
      </w:r>
      <w:r>
        <w:rPr>
          <w:noProof/>
        </w:rPr>
        <w:t xml:space="preserve"> </w:t>
      </w:r>
      <w:r w:rsidRPr="000E0690">
        <w:rPr>
          <w:b/>
          <w:noProof/>
        </w:rPr>
        <w:t>452</w:t>
      </w:r>
      <w:r>
        <w:rPr>
          <w:noProof/>
        </w:rPr>
        <w:t>, 230–233 (2008).</w:t>
      </w:r>
    </w:p>
    <w:p w14:paraId="5B5C849D" w14:textId="77777777" w:rsidR="000E0690" w:rsidRDefault="000E0690" w:rsidP="000E0690">
      <w:pPr>
        <w:tabs>
          <w:tab w:val="left" w:pos="480"/>
        </w:tabs>
        <w:spacing w:line="480" w:lineRule="auto"/>
        <w:ind w:left="480" w:hanging="480"/>
        <w:rPr>
          <w:noProof/>
        </w:rPr>
      </w:pPr>
      <w:r>
        <w:rPr>
          <w:noProof/>
        </w:rPr>
        <w:t>28.</w:t>
      </w:r>
      <w:r>
        <w:rPr>
          <w:noProof/>
        </w:rPr>
        <w:tab/>
        <w:t xml:space="preserve">Ma, W. K. </w:t>
      </w:r>
      <w:r w:rsidRPr="000E0690">
        <w:rPr>
          <w:i/>
          <w:noProof/>
        </w:rPr>
        <w:t>et al.</w:t>
      </w:r>
      <w:r>
        <w:rPr>
          <w:noProof/>
        </w:rPr>
        <w:t xml:space="preserve"> ASO-based PKM Splice-switching Therapy Inhibits Hepatocellular Carcinoma Cell Growth. </w:t>
      </w:r>
      <w:r w:rsidRPr="000E0690">
        <w:rPr>
          <w:i/>
          <w:noProof/>
        </w:rPr>
        <w:t>Cancer Res.</w:t>
      </w:r>
      <w:r>
        <w:rPr>
          <w:noProof/>
        </w:rPr>
        <w:t xml:space="preserve"> 2020.09.01.278580 (2022) doi:10.1158/0008-5472.CAN-20-0948.</w:t>
      </w:r>
    </w:p>
    <w:p w14:paraId="0D9A222E" w14:textId="77777777" w:rsidR="000E0690" w:rsidRDefault="000E0690" w:rsidP="000E0690">
      <w:pPr>
        <w:tabs>
          <w:tab w:val="left" w:pos="480"/>
        </w:tabs>
        <w:spacing w:line="480" w:lineRule="auto"/>
        <w:ind w:left="480" w:hanging="480"/>
        <w:rPr>
          <w:noProof/>
        </w:rPr>
      </w:pPr>
      <w:r>
        <w:rPr>
          <w:noProof/>
        </w:rPr>
        <w:lastRenderedPageBreak/>
        <w:t>29.</w:t>
      </w:r>
      <w:r>
        <w:rPr>
          <w:noProof/>
        </w:rPr>
        <w:tab/>
        <w:t xml:space="preserve">Clower, C. V. </w:t>
      </w:r>
      <w:r w:rsidRPr="000E0690">
        <w:rPr>
          <w:i/>
          <w:noProof/>
        </w:rPr>
        <w:t>et al.</w:t>
      </w:r>
      <w:r>
        <w:rPr>
          <w:noProof/>
        </w:rPr>
        <w:t xml:space="preserve"> The alternative splicing repressors hnRNP A1/A2 and PTB influence pyruvate kinase isoform expression and cell metabolism. </w:t>
      </w:r>
      <w:r w:rsidRPr="000E0690">
        <w:rPr>
          <w:i/>
          <w:noProof/>
        </w:rPr>
        <w:t>Proceedings of the National Academy of Sciences</w:t>
      </w:r>
      <w:r>
        <w:rPr>
          <w:noProof/>
        </w:rPr>
        <w:t xml:space="preserve"> </w:t>
      </w:r>
      <w:r w:rsidRPr="000E0690">
        <w:rPr>
          <w:b/>
          <w:noProof/>
        </w:rPr>
        <w:t>107</w:t>
      </w:r>
      <w:r>
        <w:rPr>
          <w:noProof/>
        </w:rPr>
        <w:t>, 1894–1899 (2010).</w:t>
      </w:r>
    </w:p>
    <w:p w14:paraId="1EA716C6" w14:textId="77777777" w:rsidR="000E0690" w:rsidRDefault="000E0690" w:rsidP="000E0690">
      <w:pPr>
        <w:tabs>
          <w:tab w:val="left" w:pos="480"/>
        </w:tabs>
        <w:spacing w:line="480" w:lineRule="auto"/>
        <w:ind w:left="480" w:hanging="480"/>
        <w:rPr>
          <w:noProof/>
        </w:rPr>
      </w:pPr>
      <w:r>
        <w:rPr>
          <w:noProof/>
        </w:rPr>
        <w:t>30.</w:t>
      </w:r>
      <w:r>
        <w:rPr>
          <w:noProof/>
        </w:rPr>
        <w:tab/>
        <w:t xml:space="preserve">Luo, W. </w:t>
      </w:r>
      <w:r w:rsidRPr="000E0690">
        <w:rPr>
          <w:i/>
          <w:noProof/>
        </w:rPr>
        <w:t>et al.</w:t>
      </w:r>
      <w:r>
        <w:rPr>
          <w:noProof/>
        </w:rPr>
        <w:t xml:space="preserve"> Pyruvate kinase M2 is a PHD3-stimulated coactivator for hypoxia-inducible factor 1. </w:t>
      </w:r>
      <w:r w:rsidRPr="000E0690">
        <w:rPr>
          <w:i/>
          <w:noProof/>
        </w:rPr>
        <w:t>Cell</w:t>
      </w:r>
      <w:r>
        <w:rPr>
          <w:noProof/>
        </w:rPr>
        <w:t xml:space="preserve"> </w:t>
      </w:r>
      <w:r w:rsidRPr="000E0690">
        <w:rPr>
          <w:b/>
          <w:noProof/>
        </w:rPr>
        <w:t>145</w:t>
      </w:r>
      <w:r>
        <w:rPr>
          <w:noProof/>
        </w:rPr>
        <w:t>, 732–744 (2011).</w:t>
      </w:r>
    </w:p>
    <w:p w14:paraId="1AF7C5B9" w14:textId="77777777" w:rsidR="000E0690" w:rsidRDefault="000E0690" w:rsidP="000E0690">
      <w:pPr>
        <w:tabs>
          <w:tab w:val="left" w:pos="480"/>
        </w:tabs>
        <w:spacing w:line="480" w:lineRule="auto"/>
        <w:ind w:left="480" w:hanging="480"/>
        <w:rPr>
          <w:noProof/>
        </w:rPr>
      </w:pPr>
      <w:r>
        <w:rPr>
          <w:noProof/>
        </w:rPr>
        <w:t>31.</w:t>
      </w:r>
      <w:r>
        <w:rPr>
          <w:noProof/>
        </w:rPr>
        <w:tab/>
        <w:t xml:space="preserve">Yang, W. </w:t>
      </w:r>
      <w:r w:rsidRPr="000E0690">
        <w:rPr>
          <w:i/>
          <w:noProof/>
        </w:rPr>
        <w:t>et al.</w:t>
      </w:r>
      <w:r>
        <w:rPr>
          <w:noProof/>
        </w:rPr>
        <w:t xml:space="preserve"> Nuclear PKM2 regulates β-catenin transactivation upon EGFR activation. </w:t>
      </w:r>
      <w:r w:rsidRPr="000E0690">
        <w:rPr>
          <w:i/>
          <w:noProof/>
        </w:rPr>
        <w:t>Nature</w:t>
      </w:r>
      <w:r>
        <w:rPr>
          <w:noProof/>
        </w:rPr>
        <w:t xml:space="preserve"> </w:t>
      </w:r>
      <w:r w:rsidRPr="000E0690">
        <w:rPr>
          <w:b/>
          <w:noProof/>
        </w:rPr>
        <w:t>480</w:t>
      </w:r>
      <w:r>
        <w:rPr>
          <w:noProof/>
        </w:rPr>
        <w:t>, 118–122 (2011).</w:t>
      </w:r>
    </w:p>
    <w:p w14:paraId="6A4C3C3A" w14:textId="77777777" w:rsidR="000E0690" w:rsidRDefault="000E0690" w:rsidP="000E0690">
      <w:pPr>
        <w:tabs>
          <w:tab w:val="left" w:pos="480"/>
        </w:tabs>
        <w:spacing w:line="480" w:lineRule="auto"/>
        <w:ind w:left="480" w:hanging="480"/>
        <w:rPr>
          <w:noProof/>
        </w:rPr>
      </w:pPr>
      <w:r>
        <w:rPr>
          <w:noProof/>
        </w:rPr>
        <w:t>32.</w:t>
      </w:r>
      <w:r>
        <w:rPr>
          <w:noProof/>
        </w:rPr>
        <w:tab/>
        <w:t xml:space="preserve">Traxler, L. </w:t>
      </w:r>
      <w:r w:rsidRPr="000E0690">
        <w:rPr>
          <w:i/>
          <w:noProof/>
        </w:rPr>
        <w:t>et al.</w:t>
      </w:r>
      <w:r>
        <w:rPr>
          <w:noProof/>
        </w:rPr>
        <w:t xml:space="preserve"> Warburg-like metabolic transformation underlies neuronal degeneration in sporadic Alzheimer’s disease. </w:t>
      </w:r>
      <w:r w:rsidRPr="000E0690">
        <w:rPr>
          <w:i/>
          <w:noProof/>
        </w:rPr>
        <w:t>Cell Metab.</w:t>
      </w:r>
      <w:r>
        <w:rPr>
          <w:noProof/>
        </w:rPr>
        <w:t xml:space="preserve"> </w:t>
      </w:r>
      <w:r w:rsidRPr="000E0690">
        <w:rPr>
          <w:b/>
          <w:noProof/>
        </w:rPr>
        <w:t>34</w:t>
      </w:r>
      <w:r>
        <w:rPr>
          <w:noProof/>
        </w:rPr>
        <w:t>, 1248-1263.e6 (2022).</w:t>
      </w:r>
    </w:p>
    <w:p w14:paraId="2CBBF439" w14:textId="77777777" w:rsidR="000E0690" w:rsidRDefault="000E0690" w:rsidP="000E0690">
      <w:pPr>
        <w:tabs>
          <w:tab w:val="left" w:pos="480"/>
        </w:tabs>
        <w:spacing w:line="480" w:lineRule="auto"/>
        <w:ind w:left="480" w:hanging="480"/>
        <w:rPr>
          <w:noProof/>
        </w:rPr>
      </w:pPr>
      <w:r>
        <w:rPr>
          <w:noProof/>
        </w:rPr>
        <w:t>33.</w:t>
      </w:r>
      <w:r>
        <w:rPr>
          <w:noProof/>
        </w:rPr>
        <w:tab/>
        <w:t xml:space="preserve">Liu, C., Liu, C. &amp; Fu, R. Research progress on the role of PKM2 in the immune response. </w:t>
      </w:r>
      <w:r w:rsidRPr="000E0690">
        <w:rPr>
          <w:i/>
          <w:noProof/>
        </w:rPr>
        <w:t>Front. Immunol.</w:t>
      </w:r>
      <w:r>
        <w:rPr>
          <w:noProof/>
        </w:rPr>
        <w:t xml:space="preserve"> </w:t>
      </w:r>
      <w:r w:rsidRPr="000E0690">
        <w:rPr>
          <w:b/>
          <w:noProof/>
        </w:rPr>
        <w:t>13</w:t>
      </w:r>
      <w:r>
        <w:rPr>
          <w:noProof/>
        </w:rPr>
        <w:t>, 936967 (2022).</w:t>
      </w:r>
    </w:p>
    <w:p w14:paraId="4699FBEB" w14:textId="77777777" w:rsidR="000E0690" w:rsidRDefault="000E0690" w:rsidP="000E0690">
      <w:pPr>
        <w:tabs>
          <w:tab w:val="left" w:pos="480"/>
        </w:tabs>
        <w:spacing w:line="480" w:lineRule="auto"/>
        <w:ind w:left="480" w:hanging="480"/>
        <w:rPr>
          <w:noProof/>
        </w:rPr>
      </w:pPr>
      <w:r>
        <w:rPr>
          <w:noProof/>
        </w:rPr>
        <w:t>34.</w:t>
      </w:r>
      <w:r>
        <w:rPr>
          <w:noProof/>
        </w:rPr>
        <w:tab/>
        <w:t xml:space="preserve">Tang, Q. </w:t>
      </w:r>
      <w:r w:rsidRPr="000E0690">
        <w:rPr>
          <w:i/>
          <w:noProof/>
        </w:rPr>
        <w:t>et al.</w:t>
      </w:r>
      <w:r>
        <w:rPr>
          <w:noProof/>
        </w:rPr>
        <w:t xml:space="preserve"> Pyruvate kinase M2 regulates apoptosis of intestinal epithelial cells in Crohn’s disease. </w:t>
      </w:r>
      <w:r w:rsidRPr="000E0690">
        <w:rPr>
          <w:i/>
          <w:noProof/>
        </w:rPr>
        <w:t>Dig. Dis. Sci.</w:t>
      </w:r>
      <w:r>
        <w:rPr>
          <w:noProof/>
        </w:rPr>
        <w:t xml:space="preserve"> </w:t>
      </w:r>
      <w:r w:rsidRPr="000E0690">
        <w:rPr>
          <w:b/>
          <w:noProof/>
        </w:rPr>
        <w:t>60</w:t>
      </w:r>
      <w:r>
        <w:rPr>
          <w:noProof/>
        </w:rPr>
        <w:t>, 393–404 (2015).</w:t>
      </w:r>
    </w:p>
    <w:p w14:paraId="54CC4AEF" w14:textId="1C622E01" w:rsidR="000E0690" w:rsidRDefault="000E0690" w:rsidP="000E0690">
      <w:pPr>
        <w:tabs>
          <w:tab w:val="left" w:pos="480"/>
        </w:tabs>
        <w:spacing w:line="480" w:lineRule="auto"/>
        <w:ind w:left="480" w:hanging="480"/>
      </w:pPr>
      <w:r>
        <w:rPr>
          <w:noProof/>
        </w:rPr>
        <w:t>35.</w:t>
      </w:r>
      <w:r>
        <w:rPr>
          <w:noProof/>
        </w:rPr>
        <w:tab/>
        <w:t xml:space="preserve">Rihan, M. &amp; Sharma, S. S. Role of Pyruvate Kinase M2 (PKM2) in Cardiovascular Diseases. </w:t>
      </w:r>
      <w:r w:rsidRPr="000E0690">
        <w:rPr>
          <w:i/>
          <w:noProof/>
        </w:rPr>
        <w:t>J. Cardiovasc. Transl. Res.</w:t>
      </w:r>
      <w:r>
        <w:rPr>
          <w:noProof/>
        </w:rPr>
        <w:t xml:space="preserve"> (2022) doi:10.1007/s12265-022-10321-1.</w:t>
      </w:r>
      <w:r>
        <w:fldChar w:fldCharType="end"/>
      </w:r>
    </w:p>
    <w:sectPr w:rsidR="000E0690" w:rsidSect="000E06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637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726V774R264O878"/>
    <w:docVar w:name="paperpile-doc-name" w:val="Document7"/>
    <w:docVar w:name="paperpile-includeDoi" w:val="true"/>
    <w:docVar w:name="paperpile-styleFile" w:val="nature.csl"/>
    <w:docVar w:name="paperpile-styleId" w:val="nature"/>
    <w:docVar w:name="paperpile-styleLabel" w:val="Nature"/>
    <w:docVar w:name="paperpile-styleLocale" w:val="en-US"/>
  </w:docVars>
  <w:rsids>
    <w:rsidRoot w:val="000E0690"/>
    <w:rsid w:val="000E0690"/>
    <w:rsid w:val="004232E5"/>
    <w:rsid w:val="00A453A8"/>
    <w:rsid w:val="00A638F8"/>
    <w:rsid w:val="00C97664"/>
    <w:rsid w:val="00CD16DE"/>
    <w:rsid w:val="00EB2395"/>
    <w:rsid w:val="00F2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A5335"/>
  <w15:chartTrackingRefBased/>
  <w15:docId w15:val="{E9D009EF-38A2-A74C-8ED5-D63682B0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0690"/>
    <w:rPr>
      <w:sz w:val="16"/>
      <w:szCs w:val="16"/>
    </w:rPr>
  </w:style>
  <w:style w:type="paragraph" w:styleId="CommentText">
    <w:name w:val="annotation text"/>
    <w:basedOn w:val="Normal"/>
    <w:link w:val="CommentTextChar"/>
    <w:uiPriority w:val="99"/>
    <w:unhideWhenUsed/>
    <w:rsid w:val="000E0690"/>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0E0690"/>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23536</Words>
  <Characters>130390</Characters>
  <Application>Microsoft Office Word</Application>
  <DocSecurity>0</DocSecurity>
  <Lines>1693</Lines>
  <Paragraphs>513</Paragraphs>
  <ScaleCrop>false</ScaleCrop>
  <Company/>
  <LinksUpToDate>false</LinksUpToDate>
  <CharactersWithSpaces>153413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cp:revision>
  <dcterms:created xsi:type="dcterms:W3CDTF">2023-04-04T02:53:00Z</dcterms:created>
  <dcterms:modified xsi:type="dcterms:W3CDTF">2023-04-04T02:54:00Z</dcterms:modified>
</cp:coreProperties>
</file>