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37E03FB0" w14:textId="5E72CE3B" w:rsidR="00CA0D47" w:rsidRDefault="00B11743" w:rsidP="00FC0257">
      <w:pPr>
        <w:spacing w:after="120"/>
        <w:rPr>
          <w:rFonts w:ascii="Arial" w:hAnsi="Arial" w:cs="Arial"/>
          <w:sz w:val="22"/>
          <w:szCs w:val="22"/>
        </w:rPr>
      </w:pPr>
      <w:r>
        <w:rPr>
          <w:rFonts w:ascii="Arial" w:hAnsi="Arial" w:cs="Arial"/>
          <w:sz w:val="22"/>
          <w:szCs w:val="22"/>
        </w:rPr>
        <w:t xml:space="preserve">Alternative splicing is important for both understanding fundamental aspects of human biology and treating a wide array of diseases.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1</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2</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493EAE" w:rsidRPr="00E111A6">
        <w:rPr>
          <w:rFonts w:ascii="Arial" w:hAnsi="Arial" w:cs="Arial"/>
          <w:noProof/>
          <w:sz w:val="22"/>
          <w:szCs w:val="22"/>
          <w:vertAlign w:val="superscript"/>
        </w:rPr>
        <w:t>3</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Improving our understanding of splicing will deepen our knowledge of development and differentiation and our ability to target these processes with therapeutics.</w:t>
      </w:r>
      <w:r w:rsidR="00CA0D47">
        <w:rPr>
          <w:rFonts w:ascii="Arial" w:hAnsi="Arial" w:cs="Arial"/>
          <w:sz w:val="22"/>
          <w:szCs w:val="22"/>
        </w:rPr>
        <w:t xml:space="preserve"> </w:t>
      </w:r>
    </w:p>
    <w:p w14:paraId="54F1F965" w14:textId="2A2325CB" w:rsidR="00F3041D" w:rsidRDefault="00B11743" w:rsidP="00FC0257">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whose splicing is anticorrelated such that one exon from the cluster is selected for inclusion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with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a parthenogenic SNP in clinvar.</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5</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se SNPs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thought to be uncommon, recent studies have uncovered far more instances that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Spliceosome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4</w:t>
      </w:r>
      <w:r w:rsidR="00DE2F35">
        <w:rPr>
          <w:rFonts w:ascii="Arial" w:hAnsi="Arial" w:cs="Arial"/>
          <w:sz w:val="22"/>
          <w:szCs w:val="22"/>
        </w:rPr>
        <w:fldChar w:fldCharType="end"/>
      </w:r>
      <w:r w:rsidR="003D46B6">
        <w:rPr>
          <w:rFonts w:ascii="Arial" w:hAnsi="Arial" w:cs="Arial"/>
          <w:sz w:val="22"/>
          <w:szCs w:val="22"/>
        </w:rPr>
        <w:t xml:space="preserve"> However, despite these advances, more than 75% of human mutually exclusive exon clusters have no known mechanism.</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3D46B6" w:rsidRPr="00624BAA">
        <w:rPr>
          <w:rFonts w:ascii="Arial" w:hAnsi="Arial" w:cs="Arial"/>
          <w:noProof/>
          <w:sz w:val="22"/>
          <w:szCs w:val="22"/>
          <w:vertAlign w:val="superscript"/>
        </w:rPr>
        <w:t>5</w:t>
      </w:r>
      <w:r w:rsidR="003D46B6">
        <w:rPr>
          <w:rFonts w:ascii="Arial" w:hAnsi="Arial" w:cs="Arial"/>
          <w:sz w:val="22"/>
          <w:szCs w:val="22"/>
        </w:rPr>
        <w:fldChar w:fldCharType="end"/>
      </w:r>
    </w:p>
    <w:p w14:paraId="069B45D8" w14:textId="102D34AC" w:rsidR="00ED5A3F" w:rsidRDefault="00ED5A3F" w:rsidP="00FC0257">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394E75" w:rsidRPr="00624BAA">
        <w:rPr>
          <w:rFonts w:ascii="Arial" w:hAnsi="Arial" w:cs="Arial"/>
          <w:noProof/>
          <w:sz w:val="22"/>
          <w:szCs w:val="22"/>
          <w:vertAlign w:val="superscript"/>
        </w:rPr>
        <w:t>6</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w:t>
      </w:r>
      <w:r w:rsidR="00DA516F">
        <w:rPr>
          <w:rFonts w:ascii="Arial" w:hAnsi="Arial" w:cs="Arial"/>
          <w:sz w:val="22"/>
          <w:szCs w:val="22"/>
        </w:rPr>
        <w:t xml:space="preserve">allosterically regulated </w:t>
      </w:r>
      <w:r w:rsidR="00DA516F">
        <w:rPr>
          <w:rFonts w:ascii="Arial" w:hAnsi="Arial" w:cs="Arial"/>
          <w:sz w:val="22"/>
          <w:szCs w:val="22"/>
        </w:rPr>
        <w:t>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A516F" w:rsidRPr="00624BAA">
        <w:rPr>
          <w:rFonts w:ascii="Arial" w:hAnsi="Arial" w:cs="Arial"/>
          <w:noProof/>
          <w:sz w:val="22"/>
          <w:szCs w:val="22"/>
          <w:vertAlign w:val="superscript"/>
        </w:rPr>
        <w:t>7–11</w:t>
      </w:r>
      <w:r w:rsidR="002A7B30">
        <w:rPr>
          <w:rFonts w:ascii="Arial" w:hAnsi="Arial" w:cs="Arial"/>
          <w:sz w:val="22"/>
          <w:szCs w:val="22"/>
        </w:rPr>
        <w:fldChar w:fldCharType="end"/>
      </w:r>
      <w:r w:rsidR="00142359">
        <w:rPr>
          <w:rFonts w:ascii="Arial" w:hAnsi="Arial" w:cs="Arial"/>
          <w:sz w:val="22"/>
          <w:szCs w:val="22"/>
        </w:rPr>
        <w:t xml:space="preserve"> The allosteric regulation of PKM2 causes it to transition from a tetrameric form which is competent as a pyruvate kinase to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142359" w:rsidRPr="00624BAA">
        <w:rPr>
          <w:rFonts w:ascii="Arial" w:hAnsi="Arial" w:cs="Arial"/>
          <w:noProof/>
          <w:sz w:val="22"/>
          <w:szCs w:val="22"/>
          <w:vertAlign w:val="superscript"/>
        </w:rPr>
        <w:t>8</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C72932" w:rsidRPr="00E111A6">
        <w:rPr>
          <w:rFonts w:ascii="Arial" w:hAnsi="Arial" w:cs="Arial"/>
          <w:noProof/>
          <w:sz w:val="22"/>
          <w:szCs w:val="22"/>
          <w:vertAlign w:val="superscript"/>
        </w:rPr>
        <w:t>12–14</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142359" w:rsidRPr="00E111A6">
        <w:rPr>
          <w:rFonts w:ascii="Arial" w:hAnsi="Arial" w:cs="Arial"/>
          <w:noProof/>
          <w:sz w:val="22"/>
          <w:szCs w:val="22"/>
          <w:vertAlign w:val="superscript"/>
        </w:rPr>
        <w:t>7–10,12</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C72932" w:rsidRPr="00624BAA">
        <w:rPr>
          <w:rFonts w:ascii="Arial" w:hAnsi="Arial" w:cs="Arial"/>
          <w:noProof/>
          <w:sz w:val="22"/>
          <w:szCs w:val="22"/>
          <w:vertAlign w:val="superscript"/>
        </w:rPr>
        <w:t>9,10,13–15</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C75DAD" w:rsidRPr="00624BAA">
        <w:rPr>
          <w:rFonts w:ascii="Arial" w:hAnsi="Arial" w:cs="Arial"/>
          <w:noProof/>
          <w:sz w:val="22"/>
          <w:szCs w:val="22"/>
          <w:vertAlign w:val="superscript"/>
        </w:rPr>
        <w:t>16</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5145D" w:rsidRPr="00E111A6">
        <w:rPr>
          <w:rFonts w:ascii="Arial" w:hAnsi="Arial" w:cs="Arial"/>
          <w:noProof/>
          <w:sz w:val="22"/>
          <w:szCs w:val="22"/>
          <w:vertAlign w:val="superscript"/>
        </w:rPr>
        <w:t>17–19</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E32F9D" w:rsidRPr="00624BAA">
        <w:rPr>
          <w:rFonts w:ascii="Arial" w:hAnsi="Arial" w:cs="Arial"/>
          <w:noProof/>
          <w:sz w:val="22"/>
          <w:szCs w:val="22"/>
          <w:vertAlign w:val="superscript"/>
        </w:rPr>
        <w:t>20</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regulatory motifs that control the choice between exon 9 and exon 10 in PKM, no mechanism for maintaining mutual exclusivity between the exons has been demonstrated.</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624BAA" w:rsidRPr="00624BAA">
        <w:rPr>
          <w:rFonts w:ascii="Arial" w:hAnsi="Arial" w:cs="Arial"/>
          <w:noProof/>
          <w:sz w:val="22"/>
          <w:szCs w:val="22"/>
          <w:vertAlign w:val="superscript"/>
        </w:rPr>
        <w:t>10,21–23</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t>Understanding these mechanisms would both deepen our understanding of an important gene and provide insight into the many diseases it is linked with.</w:t>
      </w:r>
    </w:p>
    <w:p w14:paraId="1004AB7B" w14:textId="40C2981B" w:rsidR="003D46B6" w:rsidRDefault="00B01AFE" w:rsidP="00FC0257">
      <w:pPr>
        <w:spacing w:after="120"/>
        <w:rPr>
          <w:rFonts w:ascii="Arial" w:hAnsi="Arial" w:cs="Arial"/>
          <w:sz w:val="22"/>
          <w:szCs w:val="22"/>
        </w:rPr>
      </w:pPr>
      <w:r>
        <w:rPr>
          <w:rFonts w:ascii="Arial" w:hAnsi="Arial" w:cs="Arial"/>
          <w:sz w:val="22"/>
          <w:szCs w:val="22"/>
        </w:rPr>
        <w:lastRenderedPageBreak/>
        <w:t>Massively parallel splicing assays (MPSAs) provide a window into splicing regulation but are limited by read length. In recent years MPSAs have been used to interrogate the mechanisms of splicing.</w:t>
      </w:r>
      <w:bookmarkStart w:id="0" w:name="OLE_LINK1"/>
      <w:bookmarkStart w:id="1" w:name="OLE_LINK2"/>
      <w:r>
        <w:rPr>
          <w:rFonts w:ascii="Arial" w:hAnsi="Arial" w:cs="Arial"/>
          <w:sz w:val="22"/>
          <w:szCs w:val="22"/>
        </w:rPr>
        <w:fldChar w:fldCharType="begin" w:fldLock="1"/>
      </w:r>
      <w:r>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Pr>
          <w:rFonts w:ascii="Arial" w:hAnsi="Arial" w:cs="Arial"/>
          <w:sz w:val="22"/>
          <w:szCs w:val="22"/>
        </w:rPr>
        <w:fldChar w:fldCharType="separate"/>
      </w:r>
      <w:r w:rsidRPr="00B01AFE">
        <w:rPr>
          <w:rFonts w:ascii="Arial" w:hAnsi="Arial" w:cs="Arial"/>
          <w:noProof/>
          <w:sz w:val="22"/>
          <w:szCs w:val="22"/>
          <w:vertAlign w:val="superscript"/>
        </w:rPr>
        <w:t>24–37</w:t>
      </w:r>
      <w:r>
        <w:rPr>
          <w:rFonts w:ascii="Arial" w:hAnsi="Arial" w:cs="Arial"/>
          <w:sz w:val="22"/>
          <w:szCs w:val="22"/>
        </w:rPr>
        <w:fldChar w:fldCharType="end"/>
      </w:r>
      <w:bookmarkEnd w:id="0"/>
      <w:bookmarkEnd w:id="1"/>
      <w:r>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E111A6">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sidR="00CE5379">
        <w:rPr>
          <w:rFonts w:ascii="Arial" w:hAnsi="Arial" w:cs="Arial"/>
          <w:sz w:val="22"/>
          <w:szCs w:val="22"/>
        </w:rPr>
        <w:fldChar w:fldCharType="separate"/>
      </w:r>
      <w:r w:rsidR="00CE5379" w:rsidRPr="00B01AFE">
        <w:rPr>
          <w:rFonts w:ascii="Arial" w:hAnsi="Arial" w:cs="Arial"/>
          <w:noProof/>
          <w:sz w:val="22"/>
          <w:szCs w:val="22"/>
          <w:vertAlign w:val="superscript"/>
        </w:rPr>
        <w:t>24–37</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E111A6">
        <w:rPr>
          <w:rFonts w:ascii="Arial" w:hAnsi="Arial" w:cs="Arial"/>
          <w:sz w:val="22"/>
          <w:szCs w:val="22"/>
        </w:rPr>
        <w:t>Many MPSAs are isoform specific and look to read out splicing as a binary choice between two known isoforms. These include methods based on linking outcome to protein expression, using fluorescent proteins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30,34</w:t>
      </w:r>
      <w:r w:rsidR="00E111A6">
        <w:rPr>
          <w:rFonts w:ascii="Arial" w:hAnsi="Arial" w:cs="Arial"/>
          <w:sz w:val="22"/>
          <w:szCs w:val="22"/>
        </w:rPr>
        <w:fldChar w:fldCharType="end"/>
      </w:r>
      <w:r w:rsidR="00E111A6">
        <w:rPr>
          <w:rFonts w:ascii="Arial" w:hAnsi="Arial" w:cs="Arial"/>
          <w:sz w:val="22"/>
          <w:szCs w:val="22"/>
        </w:rPr>
        <w:t xml:space="preserve"> or counter selectable markers.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38</w:t>
      </w:r>
      <w:r w:rsidR="00E111A6">
        <w:rPr>
          <w:rFonts w:ascii="Arial" w:hAnsi="Arial" w:cs="Arial"/>
          <w:sz w:val="22"/>
          <w:szCs w:val="22"/>
        </w:rPr>
        <w:fldChar w:fldCharType="end"/>
      </w:r>
      <w:r w:rsidR="00E111A6">
        <w:rPr>
          <w:rFonts w:ascii="Arial" w:hAnsi="Arial" w:cs="Arial"/>
          <w:sz w:val="22"/>
          <w:szCs w:val="22"/>
        </w:rPr>
        <w:t xml:space="preserve"> These MPSAs suffer from an inability to distinguish unexpected isoforms and they require very non-native contexts which can affect splicing outcomes.</w:t>
      </w:r>
      <w:r w:rsidR="00FA759F">
        <w:rPr>
          <w:rFonts w:ascii="Arial" w:hAnsi="Arial" w:cs="Arial"/>
          <w:sz w:val="22"/>
          <w:szCs w:val="22"/>
        </w:rPr>
        <w:t xml:space="preserve"> </w:t>
      </w:r>
      <w:r w:rsidR="00FA759F">
        <w:rPr>
          <w:rFonts w:ascii="Arial" w:hAnsi="Arial" w:cs="Arial"/>
          <w:color w:val="FF0000"/>
          <w:sz w:val="22"/>
          <w:szCs w:val="22"/>
        </w:rPr>
        <w:t>SOMETHING HERE ABOUT THE IMPORTANCE OF NATIVE INTRON CONTEXTS</w:t>
      </w:r>
      <w:r w:rsidR="00FA759F">
        <w:rPr>
          <w:rFonts w:ascii="Arial" w:hAnsi="Arial" w:cs="Arial"/>
          <w:color w:val="000000" w:themeColor="text1"/>
          <w:sz w:val="22"/>
          <w:szCs w:val="22"/>
        </w:rPr>
        <w:t>.</w:t>
      </w:r>
      <w:r w:rsidR="00FA759F">
        <w:rPr>
          <w:rFonts w:ascii="Arial" w:hAnsi="Arial" w:cs="Arial"/>
          <w:color w:val="000000" w:themeColor="text1"/>
          <w:sz w:val="22"/>
          <w:szCs w:val="22"/>
        </w:rPr>
        <w:t xml:space="preserve"> </w:t>
      </w:r>
      <w:r w:rsidR="00E111A6">
        <w:rPr>
          <w:rFonts w:ascii="Arial" w:hAnsi="Arial" w:cs="Arial"/>
          <w:sz w:val="22"/>
          <w:szCs w:val="22"/>
        </w:rPr>
        <w:t xml:space="preserve">Another </w:t>
      </w:r>
      <w:r w:rsidR="00CE264C">
        <w:rPr>
          <w:rFonts w:ascii="Arial" w:hAnsi="Arial" w:cs="Arial"/>
          <w:sz w:val="22"/>
          <w:szCs w:val="22"/>
        </w:rPr>
        <w:t>class of isoform specific MPSA uses an RT-PCR and amplicon sequencing as a readout. These work either by using isoform specific primers and comparing between primer sets,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N612B769X349U764&lt;/clusterId&gt;&lt;metadata&gt;&lt;citation&gt;&lt;id&gt;88990ccb-0828-481b-a8d3-58cbb9ed2942&lt;/id&gt;&lt;/citation&gt;&lt;/metadata&gt;&lt;data&gt;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&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37</w:t>
      </w:r>
      <w:r w:rsidR="00CE264C">
        <w:rPr>
          <w:rFonts w:ascii="Arial" w:hAnsi="Arial" w:cs="Arial"/>
          <w:sz w:val="22"/>
          <w:szCs w:val="22"/>
        </w:rPr>
        <w:fldChar w:fldCharType="end"/>
      </w:r>
      <w:r w:rsidR="00CE264C">
        <w:rPr>
          <w:rFonts w:ascii="Arial" w:hAnsi="Arial" w:cs="Arial"/>
          <w:sz w:val="22"/>
          <w:szCs w:val="22"/>
        </w:rPr>
        <w:t xml:space="preserve"> or by gel extracting the isoform of interest and assuming RNA expression level is constant for all variants.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24,33,35</w:t>
      </w:r>
      <w:r w:rsidR="00CE264C">
        <w:rPr>
          <w:rFonts w:ascii="Arial" w:hAnsi="Arial" w:cs="Arial"/>
          <w:sz w:val="22"/>
          <w:szCs w:val="22"/>
        </w:rPr>
        <w:fldChar w:fldCharType="end"/>
      </w:r>
      <w:r w:rsidR="00CE264C">
        <w:rPr>
          <w:rFonts w:ascii="Arial" w:hAnsi="Arial" w:cs="Arial"/>
          <w:sz w:val="22"/>
          <w:szCs w:val="22"/>
        </w:rPr>
        <w:t xml:space="preserve"> These assays can occur in more native contexts than the protein based screens, but still suffer from an inability to account for isoform diversity.</w:t>
      </w:r>
      <w:r w:rsidR="00A121C1">
        <w:rPr>
          <w:rFonts w:ascii="Arial" w:hAnsi="Arial" w:cs="Arial"/>
          <w:sz w:val="22"/>
          <w:szCs w:val="22"/>
        </w:rPr>
        <w:t xml:space="preserve"> The restriction to quantifying </w:t>
      </w:r>
      <w:r w:rsidR="002D759D">
        <w:rPr>
          <w:rFonts w:ascii="Arial" w:hAnsi="Arial" w:cs="Arial"/>
          <w:sz w:val="22"/>
          <w:szCs w:val="22"/>
        </w:rPr>
        <w:t>known</w:t>
      </w:r>
      <w:r w:rsidR="00A121C1">
        <w:rPr>
          <w:rFonts w:ascii="Arial" w:hAnsi="Arial" w:cs="Arial"/>
          <w:sz w:val="22"/>
          <w:szCs w:val="22"/>
        </w:rPr>
        <w:t xml:space="preserve"> isoforms has two significant downsides</w:t>
      </w:r>
      <w:r w:rsidR="002D759D">
        <w:rPr>
          <w:rFonts w:ascii="Arial" w:hAnsi="Arial" w:cs="Arial"/>
          <w:sz w:val="22"/>
          <w:szCs w:val="22"/>
        </w:rPr>
        <w:t xml:space="preserve"> that stem from the fact that it is common for there to be multiple alternative isoforms that can arise from mutations. The first is that by ignoring this diversity, a large amount of information is lost that could shed insight into the mechanisms of splicing decisions. The second, is that unexpected alternative isoforms are frequently incorrectly counted as one of the expected isoforms causing noise in the measurements of isoform frequencies. </w:t>
      </w:r>
      <w:r w:rsidR="00CE264C">
        <w:rPr>
          <w:rFonts w:ascii="Arial" w:hAnsi="Arial" w:cs="Arial"/>
          <w:sz w:val="22"/>
          <w:szCs w:val="22"/>
        </w:rPr>
        <w:t>An alternative s</w:t>
      </w:r>
      <w:r w:rsidR="008D1AA0">
        <w:rPr>
          <w:rFonts w:ascii="Arial" w:hAnsi="Arial" w:cs="Arial"/>
          <w:sz w:val="22"/>
          <w:szCs w:val="22"/>
        </w:rPr>
        <w:t xml:space="preserve">trategy </w:t>
      </w:r>
      <w:r w:rsidR="002D759D">
        <w:rPr>
          <w:rFonts w:ascii="Arial" w:hAnsi="Arial" w:cs="Arial"/>
          <w:sz w:val="22"/>
          <w:szCs w:val="22"/>
        </w:rPr>
        <w:t>that avoids this issue is</w:t>
      </w:r>
      <w:r w:rsidR="008D1AA0">
        <w:rPr>
          <w:rFonts w:ascii="Arial" w:hAnsi="Arial" w:cs="Arial"/>
          <w:sz w:val="22"/>
          <w:szCs w:val="22"/>
        </w:rPr>
        <w:t xml:space="preserve"> to sequence over the splice junction of interest</w:t>
      </w:r>
      <w:r w:rsidR="00DD3170">
        <w:rPr>
          <w:rFonts w:ascii="Arial" w:hAnsi="Arial" w:cs="Arial"/>
          <w:sz w:val="22"/>
          <w:szCs w:val="22"/>
        </w:rPr>
        <w:t xml:space="preserve"> with short-read sequencing</w:t>
      </w:r>
      <w:r w:rsidR="008D1AA0">
        <w:rPr>
          <w:rFonts w:ascii="Arial" w:hAnsi="Arial" w:cs="Arial"/>
          <w:sz w:val="22"/>
          <w:szCs w:val="22"/>
        </w:rPr>
        <w:t xml:space="preserve"> and directly count all isoforms for each variant.</w:t>
      </w:r>
      <w:r w:rsidR="008D1AA0">
        <w:rPr>
          <w:rFonts w:ascii="Arial" w:hAnsi="Arial" w:cs="Arial"/>
          <w:sz w:val="22"/>
          <w:szCs w:val="22"/>
        </w:rPr>
        <w:fldChar w:fldCharType="begin" w:fldLock="1"/>
      </w:r>
      <w:r w:rsidR="008D1AA0">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8D1AA0">
        <w:rPr>
          <w:rFonts w:ascii="Arial" w:hAnsi="Arial" w:cs="Arial"/>
          <w:sz w:val="22"/>
          <w:szCs w:val="22"/>
        </w:rPr>
        <w:fldChar w:fldCharType="separate"/>
      </w:r>
      <w:r w:rsidR="008D1AA0" w:rsidRPr="008D1AA0">
        <w:rPr>
          <w:rFonts w:ascii="Arial" w:hAnsi="Arial" w:cs="Arial"/>
          <w:noProof/>
          <w:sz w:val="22"/>
          <w:szCs w:val="22"/>
          <w:vertAlign w:val="superscript"/>
        </w:rPr>
        <w:t>26,28–30,32,36</w:t>
      </w:r>
      <w:r w:rsidR="008D1AA0">
        <w:rPr>
          <w:rFonts w:ascii="Arial" w:hAnsi="Arial" w:cs="Arial"/>
          <w:sz w:val="22"/>
          <w:szCs w:val="22"/>
        </w:rPr>
        <w:fldChar w:fldCharType="end"/>
      </w:r>
      <w:r w:rsidR="00DD3170">
        <w:rPr>
          <w:rFonts w:ascii="Arial" w:hAnsi="Arial" w:cs="Arial"/>
          <w:sz w:val="22"/>
          <w:szCs w:val="22"/>
        </w:rPr>
        <w:t xml:space="preserve"> This allows the quantification of all isoforms but requires that all isoforms only differ over a region small enough to fit in a short read. Since the median intron is 1.7 kb</w:t>
      </w:r>
      <w:r w:rsidR="00DD3170">
        <w:rPr>
          <w:rFonts w:ascii="Arial" w:hAnsi="Arial" w:cs="Arial"/>
          <w:sz w:val="22"/>
          <w:szCs w:val="22"/>
        </w:rPr>
        <w:fldChar w:fldCharType="begin" w:fldLock="1"/>
      </w:r>
      <w:r w:rsidR="00DD3170">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DD3170">
        <w:rPr>
          <w:rFonts w:ascii="Arial" w:hAnsi="Arial" w:cs="Arial"/>
          <w:sz w:val="22"/>
          <w:szCs w:val="22"/>
        </w:rPr>
        <w:fldChar w:fldCharType="separate"/>
      </w:r>
      <w:r w:rsidR="00DD3170" w:rsidRPr="00DD3170">
        <w:rPr>
          <w:rFonts w:ascii="Arial" w:hAnsi="Arial" w:cs="Arial"/>
          <w:noProof/>
          <w:sz w:val="22"/>
          <w:szCs w:val="22"/>
          <w:vertAlign w:val="superscript"/>
        </w:rPr>
        <w:t>39</w:t>
      </w:r>
      <w:r w:rsidR="00DD3170">
        <w:rPr>
          <w:rFonts w:ascii="Arial" w:hAnsi="Arial" w:cs="Arial"/>
          <w:sz w:val="22"/>
          <w:szCs w:val="22"/>
        </w:rPr>
        <w:fldChar w:fldCharType="end"/>
      </w:r>
      <w:r w:rsidR="00DD3170">
        <w:rPr>
          <w:rFonts w:ascii="Arial" w:hAnsi="Arial" w:cs="Arial"/>
          <w:sz w:val="22"/>
          <w:szCs w:val="22"/>
        </w:rPr>
        <w:t xml:space="preserve"> this means that to apply this technique to most splice junctions the experiment needs to be performed in a non-native, small-intron context or isoforms that retain some or all off the intron cannot be accurately quantified.</w:t>
      </w:r>
      <w:r w:rsidR="00A121C1">
        <w:rPr>
          <w:rFonts w:ascii="Arial" w:hAnsi="Arial" w:cs="Arial"/>
          <w:sz w:val="22"/>
          <w:szCs w:val="22"/>
        </w:rPr>
        <w:t xml:space="preserve"> Additionally, isoforms that loose one of the primer sites can not be quantified. Finally, none of these techniques </w:t>
      </w:r>
      <w:r w:rsidR="002D759D">
        <w:rPr>
          <w:rFonts w:ascii="Arial" w:hAnsi="Arial" w:cs="Arial"/>
          <w:sz w:val="22"/>
          <w:szCs w:val="22"/>
        </w:rPr>
        <w:t xml:space="preserve">utilize double sided barcodes, which leaves them open to isoform miscalls caused my PCR or RT template exchange events. </w:t>
      </w:r>
      <w:r w:rsidR="004B78F7">
        <w:rPr>
          <w:rFonts w:ascii="Arial" w:hAnsi="Arial" w:cs="Arial"/>
          <w:color w:val="FF0000"/>
          <w:sz w:val="22"/>
          <w:szCs w:val="22"/>
        </w:rPr>
        <w:t>SOMETHING HERE ABOUT TH</w:t>
      </w:r>
      <w:r w:rsidR="004B78F7">
        <w:rPr>
          <w:rFonts w:ascii="Arial" w:hAnsi="Arial" w:cs="Arial"/>
          <w:color w:val="FF0000"/>
          <w:sz w:val="22"/>
          <w:szCs w:val="22"/>
        </w:rPr>
        <w:t xml:space="preserve">E DATA ANALYSIS PIPELINES. </w:t>
      </w:r>
      <w:proofErr w:type="spellStart"/>
      <w:r w:rsidR="002D759D">
        <w:rPr>
          <w:rFonts w:ascii="Arial" w:hAnsi="Arial" w:cs="Arial"/>
          <w:sz w:val="22"/>
          <w:szCs w:val="22"/>
        </w:rPr>
        <w:t xml:space="preserve">Because </w:t>
      </w:r>
      <w:proofErr w:type="spellEnd"/>
      <w:r w:rsidR="002D759D">
        <w:rPr>
          <w:rFonts w:ascii="Arial" w:hAnsi="Arial" w:cs="Arial"/>
          <w:sz w:val="22"/>
          <w:szCs w:val="22"/>
        </w:rPr>
        <w:t>of these issues, current MPSAs are not well suited to interrogating the mechanisms of complicated splicing decisions in the context of the native introns, where important isoforms may be large and multiple splicing outcomes are expected</w:t>
      </w:r>
      <w:r w:rsidR="00FA759F">
        <w:rPr>
          <w:rFonts w:ascii="Arial" w:hAnsi="Arial" w:cs="Arial"/>
          <w:sz w:val="22"/>
          <w:szCs w:val="22"/>
        </w:rPr>
        <w:t xml:space="preserve">. </w:t>
      </w:r>
      <w:r w:rsidR="00A513C1">
        <w:rPr>
          <w:rFonts w:ascii="Arial" w:hAnsi="Arial" w:cs="Arial"/>
          <w:sz w:val="22"/>
          <w:szCs w:val="22"/>
        </w:rPr>
        <w:t xml:space="preserve">For example, </w:t>
      </w:r>
      <w:r w:rsidR="0079764C">
        <w:rPr>
          <w:rFonts w:ascii="Arial" w:hAnsi="Arial" w:cs="Arial"/>
          <w:sz w:val="22"/>
          <w:szCs w:val="22"/>
        </w:rPr>
        <w:t>in splicing experiments with PKM minigenes, complicated isoform distributions have been observed including isoforms that would be too long to fit into the longest currently offered illumina read.</w:t>
      </w:r>
      <w:r w:rsidR="0079764C">
        <w:rPr>
          <w:rFonts w:ascii="Arial" w:hAnsi="Arial" w:cs="Arial"/>
          <w:sz w:val="22"/>
          <w:szCs w:val="22"/>
        </w:rPr>
        <w:fldChar w:fldCharType="begin" w:fldLock="1"/>
      </w:r>
      <w:r w:rsidR="0079764C">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79764C">
        <w:rPr>
          <w:rFonts w:ascii="Arial" w:hAnsi="Arial" w:cs="Arial"/>
          <w:sz w:val="22"/>
          <w:szCs w:val="22"/>
        </w:rPr>
        <w:fldChar w:fldCharType="separate"/>
      </w:r>
      <w:r w:rsidR="0079764C" w:rsidRPr="0079764C">
        <w:rPr>
          <w:rFonts w:ascii="Arial" w:hAnsi="Arial" w:cs="Arial"/>
          <w:noProof/>
          <w:sz w:val="22"/>
          <w:szCs w:val="22"/>
          <w:vertAlign w:val="superscript"/>
        </w:rPr>
        <w:t>23</w:t>
      </w:r>
      <w:r w:rsidR="0079764C">
        <w:rPr>
          <w:rFonts w:ascii="Arial" w:hAnsi="Arial" w:cs="Arial"/>
          <w:sz w:val="22"/>
          <w:szCs w:val="22"/>
        </w:rPr>
        <w:fldChar w:fldCharType="end"/>
      </w:r>
      <w:r w:rsidR="0079764C">
        <w:rPr>
          <w:rFonts w:ascii="Arial" w:hAnsi="Arial" w:cs="Arial"/>
          <w:sz w:val="22"/>
          <w:szCs w:val="22"/>
        </w:rPr>
        <w:t xml:space="preserve"> </w:t>
      </w:r>
      <w:r w:rsidR="00FA759F">
        <w:rPr>
          <w:rFonts w:ascii="Arial" w:hAnsi="Arial" w:cs="Arial"/>
          <w:sz w:val="22"/>
          <w:szCs w:val="22"/>
        </w:rPr>
        <w:t xml:space="preserve">New techniques will be needed to fully interrogate the mechanisms of mutually exclusive exon clusters. </w:t>
      </w:r>
    </w:p>
    <w:p w14:paraId="36087DED" w14:textId="6F8EF3E1"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w:t>
      </w:r>
      <w:r w:rsidR="002E6BAC">
        <w:rPr>
          <w:rFonts w:ascii="Arial" w:hAnsi="Arial" w:cs="Arial"/>
          <w:color w:val="000000" w:themeColor="text1"/>
          <w:sz w:val="22"/>
          <w:szCs w:val="22"/>
        </w:rPr>
        <w:t>proposed</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is to create MPSA methods that overcome</w:t>
      </w:r>
      <w:r w:rsidR="00622755">
        <w:rPr>
          <w:rFonts w:ascii="Arial" w:hAnsi="Arial" w:cs="Arial"/>
          <w:color w:val="000000" w:themeColor="text1"/>
          <w:sz w:val="22"/>
          <w:szCs w:val="22"/>
        </w:rPr>
        <w:t>s</w:t>
      </w:r>
      <w:r>
        <w:rPr>
          <w:rFonts w:ascii="Arial" w:hAnsi="Arial" w:cs="Arial"/>
          <w:color w:val="000000" w:themeColor="text1"/>
          <w:sz w:val="22"/>
          <w:szCs w:val="22"/>
        </w:rPr>
        <w:t xml:space="preserv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564853">
        <w:rPr>
          <w:rFonts w:ascii="Arial" w:hAnsi="Arial" w:cs="Arial"/>
          <w:color w:val="000000" w:themeColor="text1"/>
          <w:sz w:val="22"/>
          <w:szCs w:val="22"/>
        </w:rPr>
        <w:t>in more native contexts by making it possible to sequence over constructs with full size introns without ignoring intron included contexts</w:t>
      </w:r>
      <w:r w:rsidR="00564853">
        <w:rPr>
          <w:rFonts w:ascii="Arial" w:hAnsi="Arial" w:cs="Arial"/>
          <w:color w:val="000000" w:themeColor="text1"/>
          <w:sz w:val="22"/>
          <w:szCs w:val="22"/>
        </w:rPr>
        <w:t xml:space="preserve">. Full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 dynamic range and accuracy of the assay. The LR-MPSA </w:t>
      </w:r>
      <w:r w:rsidR="0060210C">
        <w:rPr>
          <w:rFonts w:ascii="Arial" w:hAnsi="Arial" w:cs="Arial"/>
          <w:color w:val="000000" w:themeColor="text1"/>
          <w:sz w:val="22"/>
          <w:szCs w:val="22"/>
        </w:rPr>
        <w:t xml:space="preserve">will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or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w:t>
      </w:r>
      <w:r>
        <w:rPr>
          <w:rFonts w:ascii="Arial" w:hAnsi="Arial" w:cs="Arial"/>
          <w:color w:val="000000" w:themeColor="text1"/>
          <w:sz w:val="22"/>
          <w:szCs w:val="22"/>
        </w:rPr>
        <w:lastRenderedPageBreak/>
        <w:t xml:space="preserve">quantification, and data visualization. </w:t>
      </w:r>
      <w:r w:rsidR="00622755">
        <w:rPr>
          <w:rFonts w:ascii="Arial" w:hAnsi="Arial" w:cs="Arial"/>
          <w:color w:val="000000" w:themeColor="text1"/>
          <w:sz w:val="22"/>
          <w:szCs w:val="22"/>
        </w:rPr>
        <w:t xml:space="preserve">Further, this software will be robustly tested on synthetic 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21CC23E6" w:rsidR="00EB5B39" w:rsidRP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 xml:space="preserve">o human health in contexts including cancer, Alzheimer’s disease, </w:t>
      </w:r>
      <w:r>
        <w:rPr>
          <w:rFonts w:ascii="Arial" w:hAnsi="Arial" w:cs="Arial"/>
          <w:sz w:val="22"/>
          <w:szCs w:val="22"/>
        </w:rPr>
        <w:t>Crohn’s</w:t>
      </w:r>
      <w:r>
        <w:rPr>
          <w:rFonts w:ascii="Arial" w:hAnsi="Arial" w:cs="Arial"/>
          <w:sz w:val="22"/>
          <w:szCs w:val="22"/>
        </w:rPr>
        <w:t xml:space="preserve">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and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exons. </w:t>
      </w:r>
    </w:p>
    <w:p w14:paraId="156CFC6E" w14:textId="02B3FA8A" w:rsidR="00EB5B39" w:rsidRDefault="00EB5B39" w:rsidP="00FC0257">
      <w:pPr>
        <w:spacing w:after="120"/>
        <w:rPr>
          <w:rFonts w:ascii="Arial" w:hAnsi="Arial" w:cs="Arial"/>
          <w:b/>
          <w:bCs/>
          <w:sz w:val="22"/>
          <w:szCs w:val="22"/>
        </w:rPr>
      </w:pPr>
      <w:r>
        <w:rPr>
          <w:rFonts w:ascii="Arial" w:hAnsi="Arial" w:cs="Arial"/>
          <w:b/>
          <w:bCs/>
          <w:sz w:val="22"/>
          <w:szCs w:val="22"/>
        </w:rPr>
        <w:t>Approach</w:t>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24DE50"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the highest quality long read data while minimizing potential sources of bias. This will also involve benchmarking of our methods.</w:t>
      </w:r>
    </w:p>
    <w:p w14:paraId="1BD46D05" w14:textId="40DFE105"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 xml:space="preserve">We will then generate spliced library RNA in HeLa cells using well established techniques in the lab, and optimize library production. We will use an RT-PCR library preparation technique protecting against PCR amplification bias using barcodes introduced in the RT step and against template exchange using the dual barcoding strategy.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0427E3" w:rsidRPr="000427E3">
        <w:rPr>
          <w:rFonts w:ascii="Arial" w:hAnsi="Arial" w:cs="Arial"/>
          <w:bCs/>
          <w:noProof/>
          <w:sz w:val="22"/>
          <w:szCs w:val="22"/>
          <w:vertAlign w:val="superscript"/>
        </w:rPr>
        <w:t>40</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04C643CE"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w:t>
      </w:r>
      <w:r w:rsidR="00C32715">
        <w:rPr>
          <w:rFonts w:ascii="Arial" w:hAnsi="Arial" w:cs="Arial"/>
          <w:bCs/>
          <w:sz w:val="22"/>
          <w:szCs w:val="22"/>
        </w:rPr>
        <w:lastRenderedPageBreak/>
        <w:t>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6C9EA8CA"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p>
    <w:p w14:paraId="286E4858" w14:textId="1A7D72FD"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data.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and simulated library prep procedures.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2A4487">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937364" w:rsidRPr="00937364">
        <w:rPr>
          <w:rFonts w:ascii="Arial" w:hAnsi="Arial" w:cs="Arial"/>
          <w:bCs/>
          <w:noProof/>
          <w:sz w:val="22"/>
          <w:szCs w:val="22"/>
          <w:vertAlign w:val="superscript"/>
        </w:rPr>
        <w:t>41–47</w:t>
      </w:r>
      <w:r w:rsidR="00C32715">
        <w:rPr>
          <w:rFonts w:ascii="Arial" w:hAnsi="Arial" w:cs="Arial"/>
          <w:bCs/>
          <w:sz w:val="22"/>
          <w:szCs w:val="22"/>
        </w:rPr>
        <w:fldChar w:fldCharType="end"/>
      </w:r>
      <w:r w:rsidR="002A4487">
        <w:rPr>
          <w:rFonts w:ascii="Arial" w:hAnsi="Arial" w:cs="Arial"/>
          <w:bCs/>
          <w:sz w:val="22"/>
          <w:szCs w:val="22"/>
        </w:rPr>
        <w:t xml:space="preserve"> I will </w:t>
      </w:r>
      <w:r w:rsidR="000D2F94">
        <w:rPr>
          <w:rFonts w:ascii="Arial" w:hAnsi="Arial" w:cs="Arial"/>
          <w:bCs/>
          <w:sz w:val="22"/>
          <w:szCs w:val="22"/>
        </w:rPr>
        <w:t>test different</w:t>
      </w:r>
      <w:r w:rsidR="00200566">
        <w:rPr>
          <w:rFonts w:ascii="Arial" w:hAnsi="Arial" w:cs="Arial"/>
          <w:bCs/>
          <w:sz w:val="22"/>
          <w:szCs w:val="22"/>
        </w:rPr>
        <w:t xml:space="preserve"> 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w:t>
      </w:r>
      <w:r w:rsidR="00200566">
        <w:rPr>
          <w:rFonts w:ascii="Arial" w:hAnsi="Arial" w:cs="Arial"/>
          <w:bCs/>
          <w:sz w:val="22"/>
          <w:szCs w:val="22"/>
        </w:rPr>
        <w:t xml:space="preserve">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w:t>
      </w:r>
      <w:r w:rsidR="000D2F94">
        <w:rPr>
          <w:rFonts w:ascii="Arial" w:hAnsi="Arial" w:cs="Arial"/>
          <w:bCs/>
          <w:sz w:val="22"/>
          <w:szCs w:val="22"/>
        </w:rPr>
        <w:t>.</w:t>
      </w:r>
      <w:r w:rsidR="00200566">
        <w:rPr>
          <w:rFonts w:ascii="Arial" w:hAnsi="Arial" w:cs="Arial"/>
          <w:bCs/>
          <w:sz w:val="22"/>
          <w:szCs w:val="22"/>
        </w:rPr>
        <w:t xml:space="preserve"> I will test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200566">
        <w:rPr>
          <w:rFonts w:ascii="Arial" w:hAnsi="Arial" w:cs="Arial"/>
          <w:bCs/>
          <w:sz w:val="22"/>
          <w:szCs w:val="22"/>
        </w:rPr>
        <w:instrText>ADDIN paperpile_citation &lt;clusterId&gt;F616T763P154M877&lt;/clusterId&gt;&lt;metadata&gt;&lt;citation&gt;&lt;id&gt;a3d81d8e-37a4-453c-bea8-e9fc9051e6d0&lt;/id&gt;&lt;/citation&gt;&lt;/metadata&gt;&lt;data&gt;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&lt;/data&gt; \* MERGEFORMAT</w:instrText>
      </w:r>
      <w:r w:rsidR="00200566">
        <w:rPr>
          <w:rFonts w:ascii="Arial" w:hAnsi="Arial" w:cs="Arial"/>
          <w:bCs/>
          <w:sz w:val="22"/>
          <w:szCs w:val="22"/>
        </w:rPr>
        <w:fldChar w:fldCharType="separate"/>
      </w:r>
      <w:r w:rsidR="00937364" w:rsidRPr="00937364">
        <w:rPr>
          <w:rFonts w:ascii="Arial" w:hAnsi="Arial" w:cs="Arial"/>
          <w:bCs/>
          <w:noProof/>
          <w:sz w:val="22"/>
          <w:szCs w:val="22"/>
          <w:vertAlign w:val="superscript"/>
        </w:rPr>
        <w:t>48</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025DF4F8"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It is possible existing read simulators and isoform clustering tools will not work well for MPSA data because they were designed for slightly different purposes,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r w:rsidRPr="00E93CDC">
        <w:rPr>
          <w:rFonts w:ascii="Arial" w:hAnsi="Arial" w:cs="Arial"/>
          <w:b/>
          <w:sz w:val="22"/>
          <w:szCs w:val="22"/>
        </w:rPr>
        <w:t>mechanism</w:t>
      </w:r>
      <w:r w:rsidRPr="00E93CDC">
        <w:rPr>
          <w:rFonts w:ascii="Arial" w:hAnsi="Arial" w:cs="Arial"/>
          <w:b/>
          <w:spacing w:val="-7"/>
          <w:sz w:val="22"/>
          <w:szCs w:val="22"/>
        </w:rPr>
        <w:t xml:space="preserve"> </w:t>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470ECF29"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T</w:t>
      </w:r>
      <w:r w:rsidR="00EE219B">
        <w:rPr>
          <w:rFonts w:ascii="Arial" w:hAnsi="Arial" w:cs="Arial"/>
          <w:bCs/>
          <w:sz w:val="22"/>
          <w:szCs w:val="22"/>
        </w:rPr>
        <w:t xml:space="preserve">o </w:t>
      </w:r>
      <w:r w:rsidR="00EE219B">
        <w:rPr>
          <w:rFonts w:ascii="Arial" w:hAnsi="Arial" w:cs="Arial"/>
          <w:bCs/>
          <w:sz w:val="22"/>
          <w:szCs w:val="22"/>
        </w:rPr>
        <w:t>make</w:t>
      </w:r>
      <w:r w:rsidR="00EE219B">
        <w:rPr>
          <w:rFonts w:ascii="Arial" w:hAnsi="Arial" w:cs="Arial"/>
          <w:bCs/>
          <w:sz w:val="22"/>
          <w:szCs w:val="22"/>
        </w:rPr>
        <w:t xml:space="preserve"> a </w:t>
      </w:r>
      <w:r w:rsidR="00EE219B">
        <w:rPr>
          <w:rFonts w:ascii="Arial" w:hAnsi="Arial" w:cs="Arial"/>
          <w:bCs/>
          <w:sz w:val="22"/>
          <w:szCs w:val="22"/>
        </w:rPr>
        <w:t>map</w:t>
      </w:r>
      <w:r w:rsidR="00EE219B">
        <w:rPr>
          <w:rFonts w:ascii="Arial" w:hAnsi="Arial" w:cs="Arial"/>
          <w:bCs/>
          <w:sz w:val="22"/>
          <w:szCs w:val="22"/>
        </w:rPr>
        <w:t xml:space="preserve"> of the determinants of PKM </w:t>
      </w:r>
      <w:r w:rsidR="00EE219B">
        <w:rPr>
          <w:rFonts w:ascii="Arial" w:hAnsi="Arial" w:cs="Arial"/>
          <w:bCs/>
          <w:sz w:val="22"/>
          <w:szCs w:val="22"/>
        </w:rPr>
        <w:t xml:space="preserve">exon </w:t>
      </w:r>
      <w:r w:rsidR="00EE219B">
        <w:rPr>
          <w:rFonts w:ascii="Arial" w:hAnsi="Arial" w:cs="Arial"/>
          <w:bCs/>
          <w:sz w:val="22"/>
          <w:szCs w:val="22"/>
        </w:rPr>
        <w:t xml:space="preserve">9 and </w:t>
      </w:r>
      <w:r w:rsidR="00EE219B">
        <w:rPr>
          <w:rFonts w:ascii="Arial" w:hAnsi="Arial" w:cs="Arial"/>
          <w:bCs/>
          <w:sz w:val="22"/>
          <w:szCs w:val="22"/>
        </w:rPr>
        <w:t xml:space="preserve">exon </w:t>
      </w:r>
      <w:r w:rsidR="00EE219B">
        <w:rPr>
          <w:rFonts w:ascii="Arial" w:hAnsi="Arial" w:cs="Arial"/>
          <w:bCs/>
          <w:sz w:val="22"/>
          <w:szCs w:val="22"/>
        </w:rPr>
        <w:t>10 splicing</w:t>
      </w:r>
      <w:r w:rsidR="00EE219B">
        <w:rPr>
          <w:rFonts w:ascii="Arial" w:hAnsi="Arial" w:cs="Arial"/>
          <w:bCs/>
          <w:sz w:val="22"/>
          <w:szCs w:val="22"/>
        </w:rPr>
        <w:t xml:space="preserve">, </w:t>
      </w:r>
      <w:r w:rsidR="00EE219B">
        <w:rPr>
          <w:rFonts w:ascii="Arial" w:hAnsi="Arial" w:cs="Arial"/>
          <w:bCs/>
          <w:sz w:val="22"/>
          <w:szCs w:val="22"/>
        </w:rPr>
        <w:t>specifically the elements that maintain mutual exclusivity of these two exons</w:t>
      </w:r>
      <w:r w:rsidR="00EE219B">
        <w:rPr>
          <w:rFonts w:ascii="Arial" w:hAnsi="Arial" w:cs="Arial"/>
          <w:bCs/>
          <w:sz w:val="22"/>
          <w:szCs w:val="22"/>
        </w:rPr>
        <w:t>,</w:t>
      </w:r>
      <w:r w:rsidR="00EE219B">
        <w:rPr>
          <w:rFonts w:ascii="Arial" w:hAnsi="Arial" w:cs="Arial"/>
          <w:bCs/>
          <w:sz w:val="22"/>
          <w:szCs w:val="22"/>
        </w:rPr>
        <w:t xml:space="preserve"> at nucleotide resolution</w:t>
      </w:r>
      <w:r w:rsidR="00EE219B">
        <w:rPr>
          <w:rFonts w:ascii="Arial" w:hAnsi="Arial" w:cs="Arial"/>
          <w:bCs/>
          <w:sz w:val="22"/>
          <w:szCs w:val="22"/>
        </w:rPr>
        <w:t xml:space="preserve">. </w:t>
      </w:r>
    </w:p>
    <w:p w14:paraId="4A9456B8" w14:textId="25EEBC93"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 xml:space="preserve">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 mapped in finer detail in the fine mapping step.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976121" w:rsidRPr="00976121">
        <w:rPr>
          <w:rFonts w:ascii="Arial" w:hAnsi="Arial" w:cs="Arial"/>
          <w:bCs/>
          <w:noProof/>
          <w:sz w:val="22"/>
          <w:szCs w:val="22"/>
          <w:vertAlign w:val="superscript"/>
        </w:rPr>
        <w:t>22,23</w:t>
      </w:r>
      <w:r w:rsidR="00976121">
        <w:rPr>
          <w:rFonts w:ascii="Arial" w:hAnsi="Arial" w:cs="Arial"/>
          <w:bCs/>
          <w:sz w:val="22"/>
          <w:szCs w:val="22"/>
        </w:rPr>
        <w:fldChar w:fldCharType="end"/>
      </w:r>
      <w:r w:rsidR="00976121">
        <w:rPr>
          <w:rFonts w:ascii="Arial" w:hAnsi="Arial" w:cs="Arial"/>
          <w:bCs/>
          <w:sz w:val="22"/>
          <w:szCs w:val="22"/>
        </w:rPr>
        <w:t xml:space="preserve"> I will generate libraries containing every single nucleotide substitution or deletion in the regions of interest and 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ill allow us to create a nucleotide resolution map of the isoform distributions caused by each mutant, and to map putative regulatory elements.</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be loo</w:t>
      </w:r>
      <w:r w:rsidR="000D650F">
        <w:rPr>
          <w:rFonts w:ascii="Arial" w:hAnsi="Arial" w:cs="Arial"/>
          <w:bCs/>
          <w:sz w:val="22"/>
          <w:szCs w:val="22"/>
        </w:rPr>
        <w:t>k to specifically select regulatory elements to follow up with that disrupt the mutual exclusivity of exons 9 and 10.</w:t>
      </w:r>
      <w:r w:rsidR="00641115">
        <w:rPr>
          <w:rFonts w:ascii="Arial" w:hAnsi="Arial" w:cs="Arial"/>
          <w:bCs/>
          <w:sz w:val="22"/>
          <w:szCs w:val="22"/>
        </w:rPr>
        <w:t xml:space="preserve"> </w:t>
      </w:r>
      <w:r w:rsidR="00641115">
        <w:rPr>
          <w:rFonts w:ascii="Arial" w:hAnsi="Arial" w:cs="Arial"/>
          <w:bCs/>
          <w:sz w:val="22"/>
          <w:szCs w:val="22"/>
        </w:rPr>
        <w:t>I will follow up on identified regulatory elements with low throughput mechanistic e</w:t>
      </w:r>
      <w:r w:rsidR="00641115">
        <w:rPr>
          <w:rFonts w:ascii="Arial" w:hAnsi="Arial" w:cs="Arial"/>
          <w:bCs/>
          <w:sz w:val="22"/>
          <w:szCs w:val="22"/>
        </w:rPr>
        <w:t>xperiments. This includes targeting them with antisense oligonucleotides with 2-O-methoxyethyl modifications. These antisense oligonucleotides bind RNA tightly and sterically block binding by splicing factors without triggering degradation of the transcript, and 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641115" w:rsidRPr="00641115">
        <w:rPr>
          <w:rFonts w:ascii="Arial" w:hAnsi="Arial" w:cs="Arial"/>
          <w:bCs/>
          <w:noProof/>
          <w:sz w:val="22"/>
          <w:szCs w:val="22"/>
          <w:vertAlign w:val="superscript"/>
        </w:rPr>
        <w:t>22</w:t>
      </w:r>
      <w:r w:rsidR="00641115">
        <w:rPr>
          <w:rFonts w:ascii="Arial" w:hAnsi="Arial" w:cs="Arial"/>
          <w:bCs/>
          <w:sz w:val="22"/>
          <w:szCs w:val="22"/>
        </w:rPr>
        <w:fldChar w:fldCharType="end"/>
      </w:r>
      <w:r w:rsidR="00641115">
        <w:rPr>
          <w:rFonts w:ascii="Arial" w:hAnsi="Arial" w:cs="Arial"/>
          <w:bCs/>
          <w:sz w:val="22"/>
          <w:szCs w:val="22"/>
        </w:rPr>
        <w:t xml:space="preserve"> It will also include making low throughput </w:t>
      </w:r>
      <w:r w:rsidR="00006E96">
        <w:rPr>
          <w:rFonts w:ascii="Arial" w:hAnsi="Arial" w:cs="Arial"/>
          <w:bCs/>
          <w:sz w:val="22"/>
          <w:szCs w:val="22"/>
        </w:rPr>
        <w:t xml:space="preserve">mutations, for instance to perform </w:t>
      </w:r>
      <w:r w:rsidR="00006E96">
        <w:rPr>
          <w:rFonts w:ascii="Arial" w:hAnsi="Arial" w:cs="Arial"/>
          <w:bCs/>
          <w:sz w:val="22"/>
          <w:szCs w:val="22"/>
        </w:rPr>
        <w:lastRenderedPageBreak/>
        <w:t xml:space="preserve">mutant cycle analysis on putative RNA structural elements discovered. It may also include pull down experiments to confirm the binding of particular RNA binding proteins to identified motifs. </w:t>
      </w:r>
      <w:r w:rsidR="00A50B68">
        <w:rPr>
          <w:rFonts w:ascii="Arial" w:hAnsi="Arial" w:cs="Arial"/>
          <w:bCs/>
          <w:sz w:val="22"/>
          <w:szCs w:val="22"/>
        </w:rPr>
        <w:t>I will build models using the MAVE-NN framework developed by our lab</w:t>
      </w:r>
      <w:r w:rsidR="00A50B68">
        <w:rPr>
          <w:rFonts w:ascii="Arial" w:hAnsi="Arial" w:cs="Arial"/>
          <w:bCs/>
          <w:sz w:val="22"/>
          <w:szCs w:val="22"/>
        </w:rPr>
        <w:fldChar w:fldCharType="begin" w:fldLock="1"/>
      </w:r>
      <w:r w:rsidR="00A50B68">
        <w:rPr>
          <w:rFonts w:ascii="Arial" w:hAnsi="Arial" w:cs="Arial"/>
          <w:bCs/>
          <w:sz w:val="22"/>
          <w:szCs w:val="22"/>
        </w:rPr>
        <w:instrText>ADDIN paperpile_citation &lt;clusterId&gt;R227F575B865Y558&lt;/clusterId&gt;&lt;metadata&gt;&lt;citation&gt;&lt;id&gt;9a9eb556-2845-47d3-b4d5-c5dbf79d414c&lt;/id&gt;&lt;/citation&gt;&lt;/metadata&gt;&lt;data&gt;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&lt;/data&gt; \* MERGEFORMAT</w:instrText>
      </w:r>
      <w:r w:rsidR="00A50B68">
        <w:rPr>
          <w:rFonts w:ascii="Arial" w:hAnsi="Arial" w:cs="Arial"/>
          <w:bCs/>
          <w:sz w:val="22"/>
          <w:szCs w:val="22"/>
        </w:rPr>
        <w:fldChar w:fldCharType="separate"/>
      </w:r>
      <w:r w:rsidR="00A50B68" w:rsidRPr="00A50B68">
        <w:rPr>
          <w:rFonts w:ascii="Arial" w:hAnsi="Arial" w:cs="Arial"/>
          <w:bCs/>
          <w:noProof/>
          <w:sz w:val="22"/>
          <w:szCs w:val="22"/>
          <w:vertAlign w:val="superscript"/>
        </w:rPr>
        <w:t>49</w:t>
      </w:r>
      <w:r w:rsidR="00A50B68">
        <w:rPr>
          <w:rFonts w:ascii="Arial" w:hAnsi="Arial" w:cs="Arial"/>
          <w:bCs/>
          <w:sz w:val="22"/>
          <w:szCs w:val="22"/>
        </w:rPr>
        <w:fldChar w:fldCharType="end"/>
      </w:r>
      <w:r w:rsidR="00A50B68">
        <w:rPr>
          <w:rFonts w:ascii="Arial" w:hAnsi="Arial" w:cs="Arial"/>
          <w:bCs/>
          <w:sz w:val="22"/>
          <w:szCs w:val="22"/>
        </w:rPr>
        <w:t xml:space="preserve"> and mechanistic modeling frameworks. Together </w:t>
      </w:r>
      <w:r w:rsidR="000D650F">
        <w:rPr>
          <w:rFonts w:ascii="Arial" w:hAnsi="Arial" w:cs="Arial"/>
          <w:bCs/>
          <w:sz w:val="22"/>
          <w:szCs w:val="22"/>
        </w:rPr>
        <w:t xml:space="preserve">these efforts will allow us to build a </w:t>
      </w:r>
      <w:proofErr w:type="gramStart"/>
      <w:r w:rsidR="000D650F">
        <w:rPr>
          <w:rFonts w:ascii="Arial" w:hAnsi="Arial" w:cs="Arial"/>
          <w:bCs/>
          <w:sz w:val="22"/>
          <w:szCs w:val="22"/>
        </w:rPr>
        <w:t>high resolution</w:t>
      </w:r>
      <w:proofErr w:type="gramEnd"/>
      <w:r w:rsidR="000D650F">
        <w:rPr>
          <w:rFonts w:ascii="Arial" w:hAnsi="Arial" w:cs="Arial"/>
          <w:bCs/>
          <w:sz w:val="22"/>
          <w:szCs w:val="22"/>
        </w:rPr>
        <w:t xml:space="preserve"> map of the determinants of PKM splicing and to identify the regulatory elements that enforce the mutual exclusivity of exons 9 and 10.</w:t>
      </w:r>
    </w:p>
    <w:p w14:paraId="008C5D63" w14:textId="6DDC7656"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097277" w:rsidRPr="00097277">
        <w:rPr>
          <w:rFonts w:ascii="Arial" w:hAnsi="Arial" w:cs="Arial"/>
          <w:bCs/>
          <w:noProof/>
          <w:sz w:val="22"/>
          <w:szCs w:val="22"/>
          <w:vertAlign w:val="superscript"/>
        </w:rPr>
        <w:t>10</w:t>
      </w:r>
      <w:r w:rsidR="00097277">
        <w:rPr>
          <w:rFonts w:ascii="Arial" w:hAnsi="Arial" w:cs="Arial"/>
          <w:bCs/>
          <w:sz w:val="22"/>
          <w:szCs w:val="22"/>
        </w:rPr>
        <w:fldChar w:fldCharType="end"/>
      </w:r>
      <w:r w:rsidR="00097277">
        <w:rPr>
          <w:rFonts w:ascii="Arial" w:hAnsi="Arial" w:cs="Arial"/>
          <w:bCs/>
          <w:sz w:val="22"/>
          <w:szCs w:val="22"/>
        </w:rPr>
        <w:t xml:space="preserve"> alternatively, we can produce a more even isoform mixture in HeLa cells by strengthening the exon 9 5’-splice site to a consensus sequence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097277" w:rsidRPr="00097277">
        <w:rPr>
          <w:rFonts w:ascii="Arial" w:hAnsi="Arial" w:cs="Arial"/>
          <w:bCs/>
          <w:noProof/>
          <w:sz w:val="22"/>
          <w:szCs w:val="22"/>
          <w:vertAlign w:val="superscript"/>
        </w:rPr>
        <w:t>23</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A30AA8" w:rsidRPr="00A30AA8">
        <w:rPr>
          <w:rFonts w:ascii="Arial" w:hAnsi="Arial" w:cs="Arial"/>
          <w:bCs/>
          <w:noProof/>
          <w:sz w:val="22"/>
          <w:szCs w:val="22"/>
          <w:vertAlign w:val="superscript"/>
        </w:rPr>
        <w:t>22</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 xml:space="preserve">If the LR-MPSA form Aim 1 proves infeasible, we can proceed with this aim using a short read junction sequencing approach which should still be acceptable though we will lose the ability to detect some isoforms. If the </w:t>
      </w:r>
      <w:proofErr w:type="gramStart"/>
      <w:r w:rsidR="00A30AA8">
        <w:rPr>
          <w:rFonts w:ascii="Arial" w:hAnsi="Arial" w:cs="Arial"/>
          <w:bCs/>
          <w:sz w:val="22"/>
          <w:szCs w:val="22"/>
        </w:rPr>
        <w:t>all</w:t>
      </w:r>
      <w:proofErr w:type="gramEnd"/>
      <w:r w:rsidR="00A30AA8">
        <w:rPr>
          <w:rFonts w:ascii="Arial" w:hAnsi="Arial" w:cs="Arial"/>
          <w:bCs/>
          <w:sz w:val="22"/>
          <w:szCs w:val="22"/>
        </w:rPr>
        <w:t xml:space="preserve"> isoform detecting software from Aim 2 proves infeasible, we can aligning reads to a list of expected isoforms instead of trying to use clustering to identify isoforms. If we end up only identifying already known regulatory sites, we will still have produced a higher resolution map of PKM splicing than exists currently and we can refocus onto other mutually exclusive exon clusters such as ketohexokinase</w:t>
      </w:r>
    </w:p>
    <w:p w14:paraId="53951298" w14:textId="6FC0CDB7" w:rsidR="00E93CDC" w:rsidRPr="00A50B68" w:rsidRDefault="00D04C83" w:rsidP="00D04C83">
      <w:pPr>
        <w:pStyle w:val="ListParagraph"/>
        <w:numPr>
          <w:ilvl w:val="0"/>
          <w:numId w:val="4"/>
        </w:numPr>
        <w:rPr>
          <w:rFonts w:ascii="Arial" w:hAnsi="Arial" w:cs="Arial"/>
          <w:bCs/>
          <w:strike/>
          <w:sz w:val="22"/>
          <w:szCs w:val="22"/>
        </w:rPr>
      </w:pPr>
      <w:r w:rsidRPr="00A50B68">
        <w:rPr>
          <w:rFonts w:ascii="Arial" w:hAnsi="Arial" w:cs="Arial"/>
          <w:bCs/>
          <w:strike/>
          <w:sz w:val="22"/>
          <w:szCs w:val="22"/>
        </w:rPr>
        <w:t xml:space="preserve">Generate a PKM library from </w:t>
      </w:r>
      <w:r w:rsidR="00284C66" w:rsidRPr="00A50B68">
        <w:rPr>
          <w:rFonts w:ascii="Arial" w:hAnsi="Arial" w:cs="Arial"/>
          <w:bCs/>
          <w:strike/>
          <w:sz w:val="22"/>
          <w:szCs w:val="22"/>
        </w:rPr>
        <w:t>our minigene</w:t>
      </w:r>
    </w:p>
    <w:p w14:paraId="12A65EB7" w14:textId="77777777" w:rsidR="00284C66" w:rsidRPr="00A50B68" w:rsidRDefault="00284C66" w:rsidP="00284C66">
      <w:pPr>
        <w:pStyle w:val="ListParagraph"/>
        <w:numPr>
          <w:ilvl w:val="1"/>
          <w:numId w:val="4"/>
        </w:numPr>
        <w:rPr>
          <w:rFonts w:ascii="Arial" w:hAnsi="Arial" w:cs="Arial"/>
          <w:bCs/>
          <w:strike/>
          <w:sz w:val="22"/>
          <w:szCs w:val="22"/>
        </w:rPr>
      </w:pPr>
      <w:proofErr w:type="spellStart"/>
      <w:proofErr w:type="gramStart"/>
      <w:r w:rsidRPr="00A50B68">
        <w:rPr>
          <w:rFonts w:ascii="Arial" w:hAnsi="Arial" w:cs="Arial"/>
          <w:bCs/>
          <w:strike/>
          <w:sz w:val="22"/>
          <w:szCs w:val="22"/>
        </w:rPr>
        <w:t>Course</w:t>
      </w:r>
      <w:proofErr w:type="spellEnd"/>
      <w:proofErr w:type="gramEnd"/>
      <w:r w:rsidRPr="00A50B68">
        <w:rPr>
          <w:rFonts w:ascii="Arial" w:hAnsi="Arial" w:cs="Arial"/>
          <w:bCs/>
          <w:strike/>
          <w:sz w:val="22"/>
          <w:szCs w:val="22"/>
        </w:rPr>
        <w:t xml:space="preserve"> grain deletion library of the outer introns 21 250 bp chunks</w:t>
      </w:r>
    </w:p>
    <w:p w14:paraId="7D0930D3" w14:textId="6C7A2C92" w:rsidR="00284C66" w:rsidRPr="00A50B68" w:rsidRDefault="00284C66" w:rsidP="00284C66">
      <w:pPr>
        <w:pStyle w:val="ListParagraph"/>
        <w:numPr>
          <w:ilvl w:val="2"/>
          <w:numId w:val="4"/>
        </w:numPr>
        <w:rPr>
          <w:rFonts w:ascii="Arial" w:hAnsi="Arial" w:cs="Arial"/>
          <w:bCs/>
          <w:strike/>
          <w:sz w:val="22"/>
          <w:szCs w:val="22"/>
        </w:rPr>
      </w:pPr>
      <w:r w:rsidRPr="00A50B68">
        <w:rPr>
          <w:rFonts w:ascii="Arial" w:hAnsi="Arial" w:cs="Arial"/>
          <w:bCs/>
          <w:strike/>
          <w:sz w:val="22"/>
          <w:szCs w:val="22"/>
        </w:rPr>
        <w:t xml:space="preserve">Look for changes in splicing behavior and add to the twist library </w:t>
      </w:r>
    </w:p>
    <w:p w14:paraId="7AC4D4E9" w14:textId="1EA04819" w:rsidR="00284C66" w:rsidRPr="00A50B68" w:rsidRDefault="00284C66" w:rsidP="00284C66">
      <w:pPr>
        <w:pStyle w:val="ListParagraph"/>
        <w:numPr>
          <w:ilvl w:val="1"/>
          <w:numId w:val="4"/>
        </w:numPr>
        <w:rPr>
          <w:rFonts w:ascii="Arial" w:hAnsi="Arial" w:cs="Arial"/>
          <w:bCs/>
          <w:strike/>
          <w:sz w:val="22"/>
          <w:szCs w:val="22"/>
        </w:rPr>
      </w:pPr>
      <w:r w:rsidRPr="00A50B68">
        <w:rPr>
          <w:rFonts w:ascii="Arial" w:hAnsi="Arial" w:cs="Arial"/>
          <w:bCs/>
          <w:strike/>
          <w:sz w:val="22"/>
          <w:szCs w:val="22"/>
        </w:rPr>
        <w:t xml:space="preserve">Fine grained SNPs and </w:t>
      </w:r>
      <w:proofErr w:type="spellStart"/>
      <w:r w:rsidRPr="00A50B68">
        <w:rPr>
          <w:rFonts w:ascii="Arial" w:hAnsi="Arial" w:cs="Arial"/>
          <w:bCs/>
          <w:strike/>
          <w:sz w:val="22"/>
          <w:szCs w:val="22"/>
        </w:rPr>
        <w:t>and</w:t>
      </w:r>
      <w:proofErr w:type="spellEnd"/>
      <w:r w:rsidRPr="00A50B68">
        <w:rPr>
          <w:rFonts w:ascii="Arial" w:hAnsi="Arial" w:cs="Arial"/>
          <w:bCs/>
          <w:strike/>
          <w:sz w:val="22"/>
          <w:szCs w:val="22"/>
        </w:rPr>
        <w:t xml:space="preserve"> </w:t>
      </w:r>
      <w:proofErr w:type="spellStart"/>
      <w:r w:rsidRPr="00A50B68">
        <w:rPr>
          <w:rFonts w:ascii="Arial" w:hAnsi="Arial" w:cs="Arial"/>
          <w:bCs/>
          <w:strike/>
          <w:sz w:val="22"/>
          <w:szCs w:val="22"/>
        </w:rPr>
        <w:t>dels</w:t>
      </w:r>
      <w:proofErr w:type="spellEnd"/>
      <w:r w:rsidRPr="00A50B68">
        <w:rPr>
          <w:rFonts w:ascii="Arial" w:hAnsi="Arial" w:cs="Arial"/>
          <w:bCs/>
          <w:strike/>
          <w:sz w:val="22"/>
          <w:szCs w:val="22"/>
        </w:rPr>
        <w:t xml:space="preserve"> of 100BP outside each MXE (~5k mutants) + any identified intron sections</w:t>
      </w:r>
    </w:p>
    <w:p w14:paraId="34CD0184" w14:textId="0D07E7C2" w:rsidR="0079764C" w:rsidRPr="00A50B68" w:rsidRDefault="00BF110C" w:rsidP="00284C66">
      <w:pPr>
        <w:pStyle w:val="ListParagraph"/>
        <w:numPr>
          <w:ilvl w:val="1"/>
          <w:numId w:val="4"/>
        </w:numPr>
        <w:rPr>
          <w:rFonts w:ascii="Arial" w:hAnsi="Arial" w:cs="Arial"/>
          <w:bCs/>
          <w:strike/>
          <w:sz w:val="22"/>
          <w:szCs w:val="22"/>
        </w:rPr>
      </w:pPr>
      <w:r w:rsidRPr="00A50B68">
        <w:rPr>
          <w:rFonts w:ascii="Arial" w:hAnsi="Arial" w:cs="Arial"/>
          <w:bCs/>
          <w:strike/>
          <w:sz w:val="22"/>
          <w:szCs w:val="22"/>
        </w:rPr>
        <w:t>I will verify detected motifs with ASOs/low throughput experiments</w:t>
      </w:r>
    </w:p>
    <w:p w14:paraId="17DC80FC" w14:textId="333E666C" w:rsidR="00BF110C" w:rsidRPr="000D650F" w:rsidRDefault="00BF110C" w:rsidP="00284C66">
      <w:pPr>
        <w:pStyle w:val="ListParagraph"/>
        <w:numPr>
          <w:ilvl w:val="1"/>
          <w:numId w:val="4"/>
        </w:numPr>
        <w:rPr>
          <w:rFonts w:ascii="Arial" w:hAnsi="Arial" w:cs="Arial"/>
          <w:bCs/>
          <w:strike/>
          <w:sz w:val="22"/>
          <w:szCs w:val="22"/>
        </w:rPr>
      </w:pPr>
      <w:r w:rsidRPr="000D650F">
        <w:rPr>
          <w:rFonts w:ascii="Arial" w:hAnsi="Arial" w:cs="Arial"/>
          <w:bCs/>
          <w:strike/>
          <w:sz w:val="22"/>
          <w:szCs w:val="22"/>
        </w:rPr>
        <w:t>I will build quantitative models from the data that we observe</w:t>
      </w:r>
    </w:p>
    <w:p w14:paraId="7A362F8C" w14:textId="7B37FB5D" w:rsidR="00284C66" w:rsidRDefault="00614613" w:rsidP="00614613">
      <w:pPr>
        <w:pStyle w:val="ListParagraph"/>
        <w:numPr>
          <w:ilvl w:val="0"/>
          <w:numId w:val="4"/>
        </w:numPr>
        <w:rPr>
          <w:rFonts w:ascii="Arial" w:hAnsi="Arial" w:cs="Arial"/>
          <w:bCs/>
          <w:sz w:val="22"/>
          <w:szCs w:val="22"/>
        </w:rPr>
      </w:pPr>
      <w:r>
        <w:rPr>
          <w:rFonts w:ascii="Arial" w:hAnsi="Arial" w:cs="Arial"/>
          <w:bCs/>
          <w:sz w:val="22"/>
          <w:szCs w:val="22"/>
        </w:rPr>
        <w:t>Pitfalls</w:t>
      </w:r>
    </w:p>
    <w:p w14:paraId="7ECF7FBD" w14:textId="35A7012B" w:rsidR="00CA0D47" w:rsidRPr="00A30AA8" w:rsidRDefault="00614613" w:rsidP="0079764C">
      <w:pPr>
        <w:pStyle w:val="ListParagraph"/>
        <w:numPr>
          <w:ilvl w:val="1"/>
          <w:numId w:val="4"/>
        </w:numPr>
        <w:rPr>
          <w:rFonts w:ascii="Arial" w:hAnsi="Arial" w:cs="Arial"/>
          <w:bCs/>
          <w:strike/>
          <w:sz w:val="22"/>
          <w:szCs w:val="22"/>
        </w:rPr>
      </w:pPr>
      <w:r w:rsidRPr="00A30AA8">
        <w:rPr>
          <w:rFonts w:ascii="Arial" w:hAnsi="Arial" w:cs="Arial"/>
          <w:bCs/>
          <w:strike/>
          <w:sz w:val="22"/>
          <w:szCs w:val="22"/>
        </w:rPr>
        <w:t>If it is too hard to make out differences given the low inclusion levels of E9 in HeLa, we can move the splicing ratio intermediate splicing values by</w:t>
      </w:r>
      <w:r w:rsidR="000D650F" w:rsidRPr="00A30AA8">
        <w:rPr>
          <w:rFonts w:ascii="Arial" w:hAnsi="Arial" w:cs="Arial"/>
          <w:bCs/>
          <w:strike/>
          <w:sz w:val="22"/>
          <w:szCs w:val="22"/>
        </w:rPr>
        <w:t xml:space="preserve"> using ASOs,</w:t>
      </w:r>
      <w:r w:rsidRPr="00A30AA8">
        <w:rPr>
          <w:rFonts w:ascii="Arial" w:hAnsi="Arial" w:cs="Arial"/>
          <w:bCs/>
          <w:strike/>
          <w:sz w:val="22"/>
          <w:szCs w:val="22"/>
        </w:rPr>
        <w:t xml:space="preserve"> mutating the E9 5’-ss to consensus</w:t>
      </w:r>
      <w:r w:rsidR="0079764C" w:rsidRPr="00A30AA8">
        <w:rPr>
          <w:rFonts w:ascii="Arial" w:hAnsi="Arial" w:cs="Arial"/>
          <w:bCs/>
          <w:strike/>
          <w:sz w:val="22"/>
          <w:szCs w:val="22"/>
        </w:rPr>
        <w:t xml:space="preserve"> or a </w:t>
      </w:r>
      <w:proofErr w:type="spellStart"/>
      <w:r w:rsidR="0079764C" w:rsidRPr="00A30AA8">
        <w:rPr>
          <w:rFonts w:ascii="Arial" w:hAnsi="Arial" w:cs="Arial"/>
          <w:bCs/>
          <w:strike/>
          <w:sz w:val="22"/>
          <w:szCs w:val="22"/>
        </w:rPr>
        <w:t>risdaplam</w:t>
      </w:r>
      <w:proofErr w:type="spellEnd"/>
      <w:r w:rsidR="0079764C" w:rsidRPr="00A30AA8">
        <w:rPr>
          <w:rFonts w:ascii="Arial" w:hAnsi="Arial" w:cs="Arial"/>
          <w:bCs/>
          <w:strike/>
          <w:sz w:val="22"/>
          <w:szCs w:val="22"/>
        </w:rPr>
        <w:t xml:space="preserve"> sensitive site and titrating </w:t>
      </w:r>
      <w:proofErr w:type="spellStart"/>
      <w:r w:rsidR="0079764C" w:rsidRPr="00A30AA8">
        <w:rPr>
          <w:rFonts w:ascii="Arial" w:hAnsi="Arial" w:cs="Arial"/>
          <w:bCs/>
          <w:strike/>
          <w:sz w:val="22"/>
          <w:szCs w:val="22"/>
        </w:rPr>
        <w:t>risdaplam</w:t>
      </w:r>
      <w:proofErr w:type="spellEnd"/>
      <w:r w:rsidR="000D650F" w:rsidRPr="00A30AA8">
        <w:rPr>
          <w:rFonts w:ascii="Arial" w:hAnsi="Arial" w:cs="Arial"/>
          <w:bCs/>
          <w:strike/>
          <w:sz w:val="22"/>
          <w:szCs w:val="22"/>
        </w:rPr>
        <w:t>, try the experiments in other cell types, differentiating myotubes</w:t>
      </w:r>
      <w:r w:rsidR="00097277" w:rsidRPr="00A30AA8">
        <w:rPr>
          <w:rFonts w:ascii="Arial" w:hAnsi="Arial" w:cs="Arial"/>
          <w:bCs/>
          <w:strike/>
          <w:sz w:val="22"/>
          <w:szCs w:val="22"/>
        </w:rPr>
        <w:t xml:space="preserve"> </w:t>
      </w:r>
      <w:proofErr w:type="spellStart"/>
      <w:r w:rsidR="00097277" w:rsidRPr="00A30AA8">
        <w:rPr>
          <w:rFonts w:ascii="Arial" w:hAnsi="Arial" w:cs="Arial"/>
          <w:bCs/>
          <w:strike/>
          <w:sz w:val="22"/>
          <w:szCs w:val="22"/>
        </w:rPr>
        <w:t>ect</w:t>
      </w:r>
      <w:proofErr w:type="spellEnd"/>
    </w:p>
    <w:p w14:paraId="283096E2" w14:textId="5B05AD3A" w:rsidR="0079764C" w:rsidRPr="00A30AA8" w:rsidRDefault="00DA5C46" w:rsidP="0079764C">
      <w:pPr>
        <w:pStyle w:val="ListParagraph"/>
        <w:numPr>
          <w:ilvl w:val="1"/>
          <w:numId w:val="4"/>
        </w:numPr>
        <w:rPr>
          <w:rFonts w:ascii="Arial" w:hAnsi="Arial" w:cs="Arial"/>
          <w:bCs/>
          <w:strike/>
          <w:sz w:val="22"/>
          <w:szCs w:val="22"/>
        </w:rPr>
      </w:pPr>
      <w:r w:rsidRPr="00A30AA8">
        <w:rPr>
          <w:rFonts w:ascii="Arial" w:hAnsi="Arial" w:cs="Arial"/>
          <w:bCs/>
          <w:strike/>
          <w:sz w:val="22"/>
          <w:szCs w:val="22"/>
        </w:rPr>
        <w:t>If Aim 1 doesn’t work I will use short read junction sequencing and just loose some isoforms</w:t>
      </w:r>
    </w:p>
    <w:p w14:paraId="5FE630BA" w14:textId="0FD06298" w:rsidR="00DA5C46" w:rsidRPr="00A30AA8" w:rsidRDefault="00DA5C46" w:rsidP="0079764C">
      <w:pPr>
        <w:pStyle w:val="ListParagraph"/>
        <w:numPr>
          <w:ilvl w:val="1"/>
          <w:numId w:val="4"/>
        </w:numPr>
        <w:rPr>
          <w:rFonts w:ascii="Arial" w:hAnsi="Arial" w:cs="Arial"/>
          <w:bCs/>
          <w:strike/>
          <w:sz w:val="22"/>
          <w:szCs w:val="22"/>
        </w:rPr>
      </w:pPr>
      <w:r w:rsidRPr="00A30AA8">
        <w:rPr>
          <w:rFonts w:ascii="Arial" w:hAnsi="Arial" w:cs="Arial"/>
          <w:bCs/>
          <w:strike/>
          <w:sz w:val="22"/>
          <w:szCs w:val="22"/>
        </w:rPr>
        <w:t>If Aim 2 doesn’t work, I will use simpler bespoke scripts for analysis</w:t>
      </w:r>
      <w:r w:rsidR="00641115" w:rsidRPr="00A30AA8">
        <w:rPr>
          <w:rFonts w:ascii="Arial" w:hAnsi="Arial" w:cs="Arial"/>
          <w:bCs/>
          <w:strike/>
          <w:sz w:val="22"/>
          <w:szCs w:val="22"/>
        </w:rPr>
        <w:t xml:space="preserve"> matching expected isoforms</w:t>
      </w:r>
    </w:p>
    <w:p w14:paraId="3DE75450" w14:textId="3014C979" w:rsidR="000D650F" w:rsidRPr="0079764C" w:rsidRDefault="000D650F" w:rsidP="0079764C">
      <w:pPr>
        <w:pStyle w:val="ListParagraph"/>
        <w:numPr>
          <w:ilvl w:val="1"/>
          <w:numId w:val="4"/>
        </w:numPr>
        <w:rPr>
          <w:rFonts w:ascii="Arial" w:hAnsi="Arial" w:cs="Arial"/>
          <w:bCs/>
          <w:sz w:val="22"/>
          <w:szCs w:val="22"/>
        </w:rPr>
      </w:pPr>
      <w:r>
        <w:rPr>
          <w:rFonts w:ascii="Arial" w:hAnsi="Arial" w:cs="Arial"/>
          <w:bCs/>
          <w:sz w:val="22"/>
          <w:szCs w:val="22"/>
        </w:rPr>
        <w:t xml:space="preserve">If I don’t find anything new, I will still have collected a much higher resolution map of PKM splicing, and I can try again on a new gene with much less well characterized splicing. Ketohexokinase, CaV1.2, CD55, </w:t>
      </w:r>
      <w:proofErr w:type="spellStart"/>
      <w:r>
        <w:rPr>
          <w:rFonts w:ascii="Arial" w:hAnsi="Arial" w:cs="Arial"/>
          <w:bCs/>
          <w:sz w:val="22"/>
          <w:szCs w:val="22"/>
        </w:rPr>
        <w:t>etc</w:t>
      </w:r>
      <w:proofErr w:type="spellEnd"/>
    </w:p>
    <w:p w14:paraId="25D21AB8" w14:textId="7C4AD45E" w:rsidR="00D04C83" w:rsidRDefault="00284C66">
      <w:pPr>
        <w:rPr>
          <w:rFonts w:ascii="Arial" w:hAnsi="Arial" w:cs="Arial"/>
          <w:sz w:val="22"/>
          <w:szCs w:val="22"/>
        </w:rPr>
      </w:pPr>
      <w:r w:rsidRPr="00BD4BF9">
        <w:rPr>
          <w:spacing w:val="-2"/>
        </w:rPr>
        <w:t xml:space="preserve">. </w:t>
      </w:r>
      <w:r w:rsidRPr="00BD4BF9">
        <w:t>PKM</w:t>
      </w:r>
      <w:r w:rsidRPr="00BD4BF9">
        <w:rPr>
          <w:spacing w:val="-7"/>
        </w:rPr>
        <w:t xml:space="preserve"> </w:t>
      </w:r>
      <w:r w:rsidRPr="00BD4BF9">
        <w:t>has</w:t>
      </w:r>
      <w:r w:rsidRPr="00BD4BF9">
        <w:rPr>
          <w:spacing w:val="-7"/>
        </w:rPr>
        <w:t xml:space="preserve"> </w:t>
      </w:r>
      <w:r w:rsidRPr="00BD4BF9">
        <w:t>a</w:t>
      </w:r>
      <w:r w:rsidRPr="00BD4BF9">
        <w:rPr>
          <w:spacing w:val="-7"/>
        </w:rPr>
        <w:t xml:space="preserve"> </w:t>
      </w:r>
      <w:r w:rsidRPr="00BD4BF9">
        <w:t>pair</w:t>
      </w:r>
      <w:r w:rsidRPr="00BD4BF9">
        <w:rPr>
          <w:spacing w:val="-7"/>
        </w:rPr>
        <w:t xml:space="preserve"> </w:t>
      </w:r>
      <w:r w:rsidRPr="00BD4BF9">
        <w:t>of</w:t>
      </w:r>
      <w:r w:rsidRPr="00BD4BF9">
        <w:rPr>
          <w:spacing w:val="-7"/>
        </w:rPr>
        <w:t xml:space="preserve"> </w:t>
      </w:r>
      <w:r w:rsidRPr="00BD4BF9">
        <w:t>mutually exclusive exons</w:t>
      </w:r>
      <w:r w:rsidRPr="00BD4BF9">
        <w:rPr>
          <w:spacing w:val="-7"/>
        </w:rPr>
        <w:t xml:space="preserve"> </w:t>
      </w:r>
      <w:r w:rsidRPr="00BD4BF9">
        <w:t>and</w:t>
      </w:r>
      <w:r w:rsidRPr="00BD4BF9">
        <w:rPr>
          <w:spacing w:val="-7"/>
        </w:rPr>
        <w:t xml:space="preserve"> </w:t>
      </w:r>
      <w:r w:rsidRPr="00BD4BF9">
        <w:t>switching</w:t>
      </w:r>
      <w:r w:rsidRPr="00BD4BF9">
        <w:rPr>
          <w:spacing w:val="-7"/>
        </w:rPr>
        <w:t xml:space="preserve"> </w:t>
      </w:r>
      <w:r w:rsidRPr="00BD4BF9">
        <w:t>between</w:t>
      </w:r>
      <w:r w:rsidRPr="00BD4BF9">
        <w:rPr>
          <w:spacing w:val="-7"/>
        </w:rPr>
        <w:t xml:space="preserve"> </w:t>
      </w:r>
      <w:r w:rsidRPr="00BD4BF9">
        <w:t>them</w:t>
      </w:r>
      <w:r w:rsidRPr="00BD4BF9">
        <w:rPr>
          <w:spacing w:val="-7"/>
        </w:rPr>
        <w:t xml:space="preserve"> </w:t>
      </w:r>
      <w:r w:rsidRPr="00BD4BF9">
        <w:t>drives</w:t>
      </w:r>
      <w:r w:rsidRPr="00BD4BF9">
        <w:rPr>
          <w:spacing w:val="-7"/>
        </w:rPr>
        <w:t xml:space="preserve"> </w:t>
      </w:r>
      <w:r w:rsidRPr="00BD4BF9">
        <w:t>the</w:t>
      </w:r>
      <w:r w:rsidRPr="00BD4BF9">
        <w:rPr>
          <w:spacing w:val="-7"/>
        </w:rPr>
        <w:t xml:space="preserve"> </w:t>
      </w:r>
      <w:r w:rsidRPr="00BD4BF9">
        <w:t>Warburg</w:t>
      </w:r>
      <w:r w:rsidRPr="00BD4BF9">
        <w:rPr>
          <w:spacing w:val="-7"/>
        </w:rPr>
        <w:t xml:space="preserve"> </w:t>
      </w:r>
      <w:r w:rsidRPr="00BD4BF9">
        <w:t>effect,</w:t>
      </w:r>
      <w:r w:rsidRPr="00BD4BF9">
        <w:rPr>
          <w:spacing w:val="-7"/>
        </w:rPr>
        <w:t xml:space="preserve"> </w:t>
      </w:r>
      <w:r w:rsidRPr="00BD4BF9">
        <w:t>this</w:t>
      </w:r>
      <w:r w:rsidRPr="00BD4BF9">
        <w:rPr>
          <w:spacing w:val="-7"/>
        </w:rPr>
        <w:t xml:space="preserve"> </w:t>
      </w:r>
      <w:r w:rsidRPr="00BD4BF9">
        <w:t>splicing</w:t>
      </w:r>
      <w:r w:rsidRPr="00BD4BF9">
        <w:rPr>
          <w:spacing w:val="-7"/>
        </w:rPr>
        <w:t xml:space="preserve"> </w:t>
      </w:r>
      <w:r w:rsidRPr="00BD4BF9">
        <w:t>event</w:t>
      </w:r>
      <w:r w:rsidRPr="00BD4BF9">
        <w:rPr>
          <w:spacing w:val="-7"/>
        </w:rPr>
        <w:t xml:space="preserve"> </w:t>
      </w:r>
      <w:r w:rsidRPr="00BD4BF9">
        <w:t>is</w:t>
      </w:r>
      <w:r w:rsidRPr="00BD4BF9">
        <w:rPr>
          <w:spacing w:val="-7"/>
        </w:rPr>
        <w:t xml:space="preserve"> </w:t>
      </w:r>
      <w:r w:rsidRPr="00BD4BF9">
        <w:t>a</w:t>
      </w:r>
      <w:r w:rsidRPr="00BD4BF9">
        <w:rPr>
          <w:spacing w:val="-7"/>
        </w:rPr>
        <w:t xml:space="preserve"> </w:t>
      </w:r>
      <w:r w:rsidRPr="00BD4BF9">
        <w:t>target for cancer therapies. PKM</w:t>
      </w:r>
      <w:r w:rsidRPr="00BD4BF9">
        <w:rPr>
          <w:spacing w:val="-8"/>
        </w:rPr>
        <w:t xml:space="preserve"> </w:t>
      </w:r>
      <w:r w:rsidRPr="00BD4BF9">
        <w:t>mutually exclusive exon</w:t>
      </w:r>
      <w:r w:rsidRPr="00BD4BF9">
        <w:rPr>
          <w:spacing w:val="-8"/>
        </w:rPr>
        <w:t xml:space="preserve"> </w:t>
      </w:r>
      <w:r w:rsidRPr="00BD4BF9">
        <w:t>splicing</w:t>
      </w:r>
      <w:r w:rsidRPr="00BD4BF9">
        <w:rPr>
          <w:spacing w:val="-8"/>
        </w:rPr>
        <w:t xml:space="preserve"> </w:t>
      </w:r>
      <w:r w:rsidRPr="00BD4BF9">
        <w:t>causes</w:t>
      </w:r>
      <w:r w:rsidRPr="00BD4BF9">
        <w:rPr>
          <w:spacing w:val="-8"/>
        </w:rPr>
        <w:t xml:space="preserve"> </w:t>
      </w:r>
      <w:r w:rsidRPr="00BD4BF9">
        <w:t>a</w:t>
      </w:r>
      <w:r w:rsidRPr="00BD4BF9">
        <w:rPr>
          <w:spacing w:val="-8"/>
        </w:rPr>
        <w:t xml:space="preserve"> </w:t>
      </w:r>
      <w:r w:rsidRPr="00BD4BF9">
        <w:t>shift from respiration to fermentation that is a driver of cancer. I will use LR-MPSAs to identify motifs that are important</w:t>
      </w:r>
      <w:r w:rsidRPr="00BD4BF9">
        <w:rPr>
          <w:spacing w:val="-8"/>
        </w:rPr>
        <w:t xml:space="preserve"> </w:t>
      </w:r>
      <w:r w:rsidRPr="00BD4BF9">
        <w:t>for</w:t>
      </w:r>
      <w:r w:rsidRPr="00BD4BF9">
        <w:rPr>
          <w:spacing w:val="-7"/>
        </w:rPr>
        <w:t xml:space="preserve"> </w:t>
      </w:r>
      <w:r w:rsidRPr="00BD4BF9">
        <w:t>maintaining</w:t>
      </w:r>
      <w:r w:rsidRPr="00BD4BF9">
        <w:rPr>
          <w:spacing w:val="-7"/>
        </w:rPr>
        <w:t xml:space="preserve"> </w:t>
      </w:r>
      <w:r w:rsidRPr="00BD4BF9">
        <w:t>mutual</w:t>
      </w:r>
      <w:r w:rsidRPr="00BD4BF9">
        <w:rPr>
          <w:spacing w:val="-7"/>
        </w:rPr>
        <w:t xml:space="preserve"> </w:t>
      </w:r>
      <w:r w:rsidRPr="00BD4BF9">
        <w:t>exclusivity</w:t>
      </w:r>
      <w:r w:rsidRPr="00BD4BF9">
        <w:rPr>
          <w:spacing w:val="-8"/>
        </w:rPr>
        <w:t xml:space="preserve"> </w:t>
      </w:r>
      <w:r w:rsidRPr="00BD4BF9">
        <w:t>in</w:t>
      </w:r>
      <w:r w:rsidRPr="00BD4BF9">
        <w:rPr>
          <w:spacing w:val="-7"/>
        </w:rPr>
        <w:t xml:space="preserve"> </w:t>
      </w:r>
      <w:r w:rsidRPr="00BD4BF9">
        <w:t>PKM</w:t>
      </w:r>
      <w:r w:rsidRPr="00BD4BF9">
        <w:rPr>
          <w:spacing w:val="-7"/>
        </w:rPr>
        <w:t xml:space="preserve"> </w:t>
      </w:r>
      <w:r w:rsidRPr="00BD4BF9">
        <w:t>mutually exclusive exons</w:t>
      </w:r>
      <w:r w:rsidRPr="00BD4BF9">
        <w:rPr>
          <w:spacing w:val="-7"/>
        </w:rPr>
        <w:t xml:space="preserve"> </w:t>
      </w:r>
      <w:r w:rsidRPr="00BD4BF9">
        <w:t>by</w:t>
      </w:r>
      <w:r w:rsidRPr="00BD4BF9">
        <w:rPr>
          <w:spacing w:val="-8"/>
        </w:rPr>
        <w:t xml:space="preserve"> </w:t>
      </w:r>
      <w:r w:rsidRPr="00BD4BF9">
        <w:t>identifying</w:t>
      </w:r>
      <w:r w:rsidRPr="00BD4BF9">
        <w:rPr>
          <w:spacing w:val="-7"/>
        </w:rPr>
        <w:t xml:space="preserve"> </w:t>
      </w:r>
      <w:r w:rsidRPr="00BD4BF9">
        <w:t>mutants</w:t>
      </w:r>
      <w:r w:rsidRPr="00BD4BF9">
        <w:rPr>
          <w:spacing w:val="-7"/>
        </w:rPr>
        <w:t xml:space="preserve"> </w:t>
      </w:r>
      <w:r w:rsidRPr="00BD4BF9">
        <w:t>that</w:t>
      </w:r>
      <w:r w:rsidRPr="00BD4BF9">
        <w:rPr>
          <w:spacing w:val="-7"/>
        </w:rPr>
        <w:t xml:space="preserve"> </w:t>
      </w:r>
      <w:r w:rsidRPr="00BD4BF9">
        <w:t>deviate</w:t>
      </w:r>
      <w:r w:rsidRPr="00BD4BF9">
        <w:rPr>
          <w:spacing w:val="-7"/>
        </w:rPr>
        <w:t xml:space="preserve"> </w:t>
      </w:r>
      <w:r w:rsidRPr="00BD4BF9">
        <w:t>from</w:t>
      </w:r>
      <w:r w:rsidRPr="00BD4BF9">
        <w:rPr>
          <w:spacing w:val="-8"/>
        </w:rPr>
        <w:t xml:space="preserve"> </w:t>
      </w:r>
      <w:r w:rsidRPr="00BD4BF9">
        <w:rPr>
          <w:spacing w:val="-5"/>
        </w:rPr>
        <w:t xml:space="preserve">mutually exclusive exon </w:t>
      </w:r>
      <w:r w:rsidRPr="00BD4BF9">
        <w:t>behavior. I</w:t>
      </w:r>
      <w:r w:rsidRPr="00BD4BF9">
        <w:rPr>
          <w:spacing w:val="-10"/>
        </w:rPr>
        <w:t xml:space="preserve"> </w:t>
      </w:r>
      <w:r w:rsidRPr="00BD4BF9">
        <w:t>will</w:t>
      </w:r>
      <w:r w:rsidRPr="00BD4BF9">
        <w:rPr>
          <w:spacing w:val="-10"/>
        </w:rPr>
        <w:t xml:space="preserve"> </w:t>
      </w:r>
      <w:r w:rsidRPr="00BD4BF9">
        <w:t>verify</w:t>
      </w:r>
      <w:r w:rsidRPr="00BD4BF9">
        <w:rPr>
          <w:spacing w:val="-10"/>
        </w:rPr>
        <w:t xml:space="preserve"> </w:t>
      </w:r>
      <w:r w:rsidRPr="00BD4BF9">
        <w:t>identified</w:t>
      </w:r>
      <w:r w:rsidRPr="00BD4BF9">
        <w:rPr>
          <w:spacing w:val="-10"/>
        </w:rPr>
        <w:t xml:space="preserve"> </w:t>
      </w:r>
      <w:r w:rsidRPr="00BD4BF9">
        <w:t>motifs</w:t>
      </w:r>
      <w:r w:rsidRPr="00BD4BF9">
        <w:rPr>
          <w:spacing w:val="-10"/>
        </w:rPr>
        <w:t xml:space="preserve"> </w:t>
      </w:r>
      <w:r w:rsidRPr="00BD4BF9">
        <w:t>with</w:t>
      </w:r>
      <w:r w:rsidRPr="00BD4BF9">
        <w:rPr>
          <w:spacing w:val="-10"/>
        </w:rPr>
        <w:t xml:space="preserve"> </w:t>
      </w:r>
      <w:r w:rsidRPr="00BD4BF9">
        <w:t>anti-sense</w:t>
      </w:r>
      <w:r w:rsidRPr="00BD4BF9">
        <w:rPr>
          <w:spacing w:val="-10"/>
        </w:rPr>
        <w:t xml:space="preserve"> </w:t>
      </w:r>
      <w:r w:rsidRPr="00BD4BF9">
        <w:t>oligo</w:t>
      </w:r>
      <w:r w:rsidRPr="00BD4BF9">
        <w:rPr>
          <w:spacing w:val="-10"/>
        </w:rPr>
        <w:t xml:space="preserve"> </w:t>
      </w:r>
      <w:r w:rsidRPr="00BD4BF9">
        <w:t>based</w:t>
      </w:r>
      <w:r w:rsidRPr="00BD4BF9">
        <w:rPr>
          <w:spacing w:val="-10"/>
        </w:rPr>
        <w:t xml:space="preserve"> </w:t>
      </w:r>
      <w:r w:rsidRPr="00BD4BF9">
        <w:t>blocking</w:t>
      </w:r>
      <w:r w:rsidRPr="00BD4BF9">
        <w:rPr>
          <w:spacing w:val="-10"/>
        </w:rPr>
        <w:t xml:space="preserve"> </w:t>
      </w:r>
      <w:r w:rsidRPr="00BD4BF9">
        <w:t>and</w:t>
      </w:r>
      <w:r w:rsidRPr="00BD4BF9">
        <w:rPr>
          <w:spacing w:val="-10"/>
        </w:rPr>
        <w:t xml:space="preserve"> </w:t>
      </w:r>
      <w:r w:rsidRPr="00BD4BF9">
        <w:t>low</w:t>
      </w:r>
      <w:r w:rsidRPr="00BD4BF9">
        <w:rPr>
          <w:spacing w:val="-10"/>
        </w:rPr>
        <w:t xml:space="preserve"> </w:t>
      </w:r>
      <w:r w:rsidRPr="00BD4BF9">
        <w:t>throughput</w:t>
      </w:r>
      <w:r w:rsidRPr="00BD4BF9">
        <w:rPr>
          <w:spacing w:val="-10"/>
        </w:rPr>
        <w:t xml:space="preserve"> </w:t>
      </w:r>
      <w:r w:rsidRPr="00BD4BF9">
        <w:t>experiments, then model their behavior.</w:t>
      </w:r>
    </w:p>
    <w:p w14:paraId="2A1E5E41" w14:textId="77777777" w:rsidR="00D04C83" w:rsidRPr="008671BA" w:rsidRDefault="00D04C83">
      <w:pPr>
        <w:rPr>
          <w:rFonts w:ascii="Arial" w:hAnsi="Arial" w:cs="Arial"/>
          <w:sz w:val="22"/>
          <w:szCs w:val="22"/>
        </w:rPr>
      </w:pPr>
    </w:p>
    <w:p w14:paraId="546B7F3B" w14:textId="7AA52869" w:rsidR="00A30AA8"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lastRenderedPageBreak/>
        <w:fldChar w:fldCharType="begin" w:fldLock="1"/>
      </w:r>
      <w:r w:rsidR="00A30AA8">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A30AA8">
        <w:rPr>
          <w:rFonts w:ascii="Arial" w:hAnsi="Arial" w:cs="Arial"/>
          <w:bCs/>
          <w:noProof/>
          <w:sz w:val="22"/>
          <w:szCs w:val="22"/>
        </w:rPr>
        <w:t>1.</w:t>
      </w:r>
      <w:r w:rsidR="00A30AA8">
        <w:rPr>
          <w:rFonts w:ascii="Arial" w:hAnsi="Arial" w:cs="Arial"/>
          <w:bCs/>
          <w:noProof/>
          <w:sz w:val="22"/>
          <w:szCs w:val="22"/>
        </w:rPr>
        <w:tab/>
        <w:t xml:space="preserve">Wang, E. T. </w:t>
      </w:r>
      <w:r w:rsidR="00A30AA8" w:rsidRPr="00A30AA8">
        <w:rPr>
          <w:rFonts w:ascii="Arial" w:hAnsi="Arial" w:cs="Arial"/>
          <w:bCs/>
          <w:i/>
          <w:noProof/>
          <w:sz w:val="22"/>
          <w:szCs w:val="22"/>
        </w:rPr>
        <w:t>et al.</w:t>
      </w:r>
      <w:r w:rsidR="00A30AA8">
        <w:rPr>
          <w:rFonts w:ascii="Arial" w:hAnsi="Arial" w:cs="Arial"/>
          <w:bCs/>
          <w:noProof/>
          <w:sz w:val="22"/>
          <w:szCs w:val="22"/>
        </w:rPr>
        <w:t xml:space="preserve"> Alternative isoform regulation in human tissue transcriptomes. </w:t>
      </w:r>
      <w:r w:rsidR="00A30AA8" w:rsidRPr="00A30AA8">
        <w:rPr>
          <w:rFonts w:ascii="Arial" w:hAnsi="Arial" w:cs="Arial"/>
          <w:bCs/>
          <w:i/>
          <w:noProof/>
          <w:sz w:val="22"/>
          <w:szCs w:val="22"/>
        </w:rPr>
        <w:t>Nature</w:t>
      </w:r>
      <w:r w:rsidR="00A30AA8">
        <w:rPr>
          <w:rFonts w:ascii="Arial" w:hAnsi="Arial" w:cs="Arial"/>
          <w:bCs/>
          <w:noProof/>
          <w:sz w:val="22"/>
          <w:szCs w:val="22"/>
        </w:rPr>
        <w:t xml:space="preserve"> </w:t>
      </w:r>
      <w:r w:rsidR="00A30AA8" w:rsidRPr="00A30AA8">
        <w:rPr>
          <w:rFonts w:ascii="Arial" w:hAnsi="Arial" w:cs="Arial"/>
          <w:b/>
          <w:bCs/>
          <w:noProof/>
          <w:sz w:val="22"/>
          <w:szCs w:val="22"/>
        </w:rPr>
        <w:t>456</w:t>
      </w:r>
      <w:r w:rsidR="00A30AA8">
        <w:rPr>
          <w:rFonts w:ascii="Arial" w:hAnsi="Arial" w:cs="Arial"/>
          <w:bCs/>
          <w:noProof/>
          <w:sz w:val="22"/>
          <w:szCs w:val="22"/>
        </w:rPr>
        <w:t>, 470–476 (2008).</w:t>
      </w:r>
    </w:p>
    <w:p w14:paraId="141448D1"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A30AA8">
        <w:rPr>
          <w:rFonts w:ascii="Arial" w:hAnsi="Arial" w:cs="Arial"/>
          <w:bCs/>
          <w:i/>
          <w:noProof/>
          <w:sz w:val="22"/>
          <w:szCs w:val="22"/>
        </w:rPr>
        <w:t>Nat. Rev. Genet.</w:t>
      </w:r>
      <w:r>
        <w:rPr>
          <w:rFonts w:ascii="Arial" w:hAnsi="Arial" w:cs="Arial"/>
          <w:bCs/>
          <w:noProof/>
          <w:sz w:val="22"/>
          <w:szCs w:val="22"/>
        </w:rPr>
        <w:t xml:space="preserve"> </w:t>
      </w:r>
      <w:r w:rsidRPr="00A30AA8">
        <w:rPr>
          <w:rFonts w:ascii="Arial" w:hAnsi="Arial" w:cs="Arial"/>
          <w:b/>
          <w:bCs/>
          <w:noProof/>
          <w:sz w:val="22"/>
          <w:szCs w:val="22"/>
        </w:rPr>
        <w:t>17</w:t>
      </w:r>
      <w:r>
        <w:rPr>
          <w:rFonts w:ascii="Arial" w:hAnsi="Arial" w:cs="Arial"/>
          <w:bCs/>
          <w:noProof/>
          <w:sz w:val="22"/>
          <w:szCs w:val="22"/>
        </w:rPr>
        <w:t>, 19–32 (2015).</w:t>
      </w:r>
    </w:p>
    <w:p w14:paraId="3558DF82"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Neil, C. R. </w:t>
      </w:r>
      <w:r w:rsidRPr="00A30AA8">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A30AA8">
        <w:rPr>
          <w:rFonts w:ascii="Arial" w:hAnsi="Arial" w:cs="Arial"/>
          <w:bCs/>
          <w:i/>
          <w:noProof/>
          <w:sz w:val="22"/>
          <w:szCs w:val="22"/>
        </w:rPr>
        <w:t>Trends Pharmacol. Sci.</w:t>
      </w:r>
      <w:r>
        <w:rPr>
          <w:rFonts w:ascii="Arial" w:hAnsi="Arial" w:cs="Arial"/>
          <w:bCs/>
          <w:noProof/>
          <w:sz w:val="22"/>
          <w:szCs w:val="22"/>
        </w:rPr>
        <w:t xml:space="preserve"> </w:t>
      </w:r>
      <w:r w:rsidRPr="00A30AA8">
        <w:rPr>
          <w:rFonts w:ascii="Arial" w:hAnsi="Arial" w:cs="Arial"/>
          <w:b/>
          <w:bCs/>
          <w:noProof/>
          <w:sz w:val="22"/>
          <w:szCs w:val="22"/>
        </w:rPr>
        <w:t>43</w:t>
      </w:r>
      <w:r>
        <w:rPr>
          <w:rFonts w:ascii="Arial" w:hAnsi="Arial" w:cs="Arial"/>
          <w:bCs/>
          <w:noProof/>
          <w:sz w:val="22"/>
          <w:szCs w:val="22"/>
        </w:rPr>
        <w:t>, 437–454 (2022).</w:t>
      </w:r>
    </w:p>
    <w:p w14:paraId="22E1D555"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A30AA8">
        <w:rPr>
          <w:rFonts w:ascii="Arial" w:hAnsi="Arial" w:cs="Arial"/>
          <w:bCs/>
          <w:i/>
          <w:noProof/>
          <w:sz w:val="22"/>
          <w:szCs w:val="22"/>
        </w:rPr>
        <w:t>Wiley Interdiscip. Rev. RNA</w:t>
      </w:r>
      <w:r>
        <w:rPr>
          <w:rFonts w:ascii="Arial" w:hAnsi="Arial" w:cs="Arial"/>
          <w:bCs/>
          <w:noProof/>
          <w:sz w:val="22"/>
          <w:szCs w:val="22"/>
        </w:rPr>
        <w:t xml:space="preserve"> </w:t>
      </w:r>
      <w:r w:rsidRPr="00A30AA8">
        <w:rPr>
          <w:rFonts w:ascii="Arial" w:hAnsi="Arial" w:cs="Arial"/>
          <w:b/>
          <w:bCs/>
          <w:noProof/>
          <w:sz w:val="22"/>
          <w:szCs w:val="22"/>
        </w:rPr>
        <w:t>9</w:t>
      </w:r>
      <w:r>
        <w:rPr>
          <w:rFonts w:ascii="Arial" w:hAnsi="Arial" w:cs="Arial"/>
          <w:bCs/>
          <w:noProof/>
          <w:sz w:val="22"/>
          <w:szCs w:val="22"/>
        </w:rPr>
        <w:t>, e1468 (2018).</w:t>
      </w:r>
    </w:p>
    <w:p w14:paraId="5E21690D"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Hatje, K. </w:t>
      </w:r>
      <w:r w:rsidRPr="00A30AA8">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A30AA8">
        <w:rPr>
          <w:rFonts w:ascii="Arial" w:hAnsi="Arial" w:cs="Arial"/>
          <w:bCs/>
          <w:i/>
          <w:noProof/>
          <w:sz w:val="22"/>
          <w:szCs w:val="22"/>
        </w:rPr>
        <w:t>Mol. Syst. Biol.</w:t>
      </w:r>
      <w:r>
        <w:rPr>
          <w:rFonts w:ascii="Arial" w:hAnsi="Arial" w:cs="Arial"/>
          <w:bCs/>
          <w:noProof/>
          <w:sz w:val="22"/>
          <w:szCs w:val="22"/>
        </w:rPr>
        <w:t xml:space="preserve"> </w:t>
      </w:r>
      <w:r w:rsidRPr="00A30AA8">
        <w:rPr>
          <w:rFonts w:ascii="Arial" w:hAnsi="Arial" w:cs="Arial"/>
          <w:b/>
          <w:bCs/>
          <w:noProof/>
          <w:sz w:val="22"/>
          <w:szCs w:val="22"/>
        </w:rPr>
        <w:t>13</w:t>
      </w:r>
      <w:r>
        <w:rPr>
          <w:rFonts w:ascii="Arial" w:hAnsi="Arial" w:cs="Arial"/>
          <w:bCs/>
          <w:noProof/>
          <w:sz w:val="22"/>
          <w:szCs w:val="22"/>
        </w:rPr>
        <w:t>, 959 (2017).</w:t>
      </w:r>
    </w:p>
    <w:p w14:paraId="0BA2597F"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A30AA8">
        <w:rPr>
          <w:rFonts w:ascii="Arial" w:hAnsi="Arial" w:cs="Arial"/>
          <w:bCs/>
          <w:i/>
          <w:noProof/>
          <w:sz w:val="22"/>
          <w:szCs w:val="22"/>
        </w:rPr>
        <w:t>J. Biol. Chem.</w:t>
      </w:r>
      <w:r>
        <w:rPr>
          <w:rFonts w:ascii="Arial" w:hAnsi="Arial" w:cs="Arial"/>
          <w:bCs/>
          <w:noProof/>
          <w:sz w:val="22"/>
          <w:szCs w:val="22"/>
        </w:rPr>
        <w:t xml:space="preserve"> </w:t>
      </w:r>
      <w:r w:rsidRPr="00A30AA8">
        <w:rPr>
          <w:rFonts w:ascii="Arial" w:hAnsi="Arial" w:cs="Arial"/>
          <w:b/>
          <w:bCs/>
          <w:noProof/>
          <w:sz w:val="22"/>
          <w:szCs w:val="22"/>
        </w:rPr>
        <w:t>261</w:t>
      </w:r>
      <w:r>
        <w:rPr>
          <w:rFonts w:ascii="Arial" w:hAnsi="Arial" w:cs="Arial"/>
          <w:bCs/>
          <w:noProof/>
          <w:sz w:val="22"/>
          <w:szCs w:val="22"/>
        </w:rPr>
        <w:t>, 13807–13812 (1986).</w:t>
      </w:r>
    </w:p>
    <w:p w14:paraId="11749EE2"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Taniguchi, K. </w:t>
      </w:r>
      <w:r w:rsidRPr="00A30AA8">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A30AA8">
        <w:rPr>
          <w:rFonts w:ascii="Arial" w:hAnsi="Arial" w:cs="Arial"/>
          <w:bCs/>
          <w:i/>
          <w:noProof/>
          <w:sz w:val="22"/>
          <w:szCs w:val="22"/>
        </w:rPr>
        <w:t>Sci. Rep.</w:t>
      </w:r>
      <w:r>
        <w:rPr>
          <w:rFonts w:ascii="Arial" w:hAnsi="Arial" w:cs="Arial"/>
          <w:bCs/>
          <w:noProof/>
          <w:sz w:val="22"/>
          <w:szCs w:val="22"/>
        </w:rPr>
        <w:t xml:space="preserve"> </w:t>
      </w:r>
      <w:r w:rsidRPr="00A30AA8">
        <w:rPr>
          <w:rFonts w:ascii="Arial" w:hAnsi="Arial" w:cs="Arial"/>
          <w:b/>
          <w:bCs/>
          <w:noProof/>
          <w:sz w:val="22"/>
          <w:szCs w:val="22"/>
        </w:rPr>
        <w:t>5</w:t>
      </w:r>
      <w:r>
        <w:rPr>
          <w:rFonts w:ascii="Arial" w:hAnsi="Arial" w:cs="Arial"/>
          <w:bCs/>
          <w:noProof/>
          <w:sz w:val="22"/>
          <w:szCs w:val="22"/>
        </w:rPr>
        <w:t>, 1–8 (2015).</w:t>
      </w:r>
    </w:p>
    <w:p w14:paraId="54CDCDB3"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Mazurek, S., Boschek, C. B., Hugo, F. &amp; Eigenbrodt, E. Pyruvate kinase type M2 and its role in tumor growth and spreading. </w:t>
      </w:r>
      <w:r w:rsidRPr="00A30AA8">
        <w:rPr>
          <w:rFonts w:ascii="Arial" w:hAnsi="Arial" w:cs="Arial"/>
          <w:bCs/>
          <w:i/>
          <w:noProof/>
          <w:sz w:val="22"/>
          <w:szCs w:val="22"/>
        </w:rPr>
        <w:t>Semin. Cancer Biol.</w:t>
      </w:r>
      <w:r>
        <w:rPr>
          <w:rFonts w:ascii="Arial" w:hAnsi="Arial" w:cs="Arial"/>
          <w:bCs/>
          <w:noProof/>
          <w:sz w:val="22"/>
          <w:szCs w:val="22"/>
        </w:rPr>
        <w:t xml:space="preserve"> </w:t>
      </w:r>
      <w:r w:rsidRPr="00A30AA8">
        <w:rPr>
          <w:rFonts w:ascii="Arial" w:hAnsi="Arial" w:cs="Arial"/>
          <w:b/>
          <w:bCs/>
          <w:noProof/>
          <w:sz w:val="22"/>
          <w:szCs w:val="22"/>
        </w:rPr>
        <w:t>15</w:t>
      </w:r>
      <w:r>
        <w:rPr>
          <w:rFonts w:ascii="Arial" w:hAnsi="Arial" w:cs="Arial"/>
          <w:bCs/>
          <w:noProof/>
          <w:sz w:val="22"/>
          <w:szCs w:val="22"/>
        </w:rPr>
        <w:t>, 300–308 (2005).</w:t>
      </w:r>
    </w:p>
    <w:p w14:paraId="541FF20E"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Christofk, H. R. </w:t>
      </w:r>
      <w:r w:rsidRPr="00A30AA8">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A30AA8">
        <w:rPr>
          <w:rFonts w:ascii="Arial" w:hAnsi="Arial" w:cs="Arial"/>
          <w:bCs/>
          <w:i/>
          <w:noProof/>
          <w:sz w:val="22"/>
          <w:szCs w:val="22"/>
        </w:rPr>
        <w:t>Nature</w:t>
      </w:r>
      <w:r>
        <w:rPr>
          <w:rFonts w:ascii="Arial" w:hAnsi="Arial" w:cs="Arial"/>
          <w:bCs/>
          <w:noProof/>
          <w:sz w:val="22"/>
          <w:szCs w:val="22"/>
        </w:rPr>
        <w:t xml:space="preserve"> </w:t>
      </w:r>
      <w:r w:rsidRPr="00A30AA8">
        <w:rPr>
          <w:rFonts w:ascii="Arial" w:hAnsi="Arial" w:cs="Arial"/>
          <w:b/>
          <w:bCs/>
          <w:noProof/>
          <w:sz w:val="22"/>
          <w:szCs w:val="22"/>
        </w:rPr>
        <w:t>452</w:t>
      </w:r>
      <w:r>
        <w:rPr>
          <w:rFonts w:ascii="Arial" w:hAnsi="Arial" w:cs="Arial"/>
          <w:bCs/>
          <w:noProof/>
          <w:sz w:val="22"/>
          <w:szCs w:val="22"/>
        </w:rPr>
        <w:t>, 230–233 (2008).</w:t>
      </w:r>
    </w:p>
    <w:p w14:paraId="60392134"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Clower, C. V. </w:t>
      </w:r>
      <w:r w:rsidRPr="00A30AA8">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A30AA8">
        <w:rPr>
          <w:rFonts w:ascii="Arial" w:hAnsi="Arial" w:cs="Arial"/>
          <w:bCs/>
          <w:i/>
          <w:noProof/>
          <w:sz w:val="22"/>
          <w:szCs w:val="22"/>
        </w:rPr>
        <w:t>Proceedings of the National Academy of Sciences</w:t>
      </w:r>
      <w:r>
        <w:rPr>
          <w:rFonts w:ascii="Arial" w:hAnsi="Arial" w:cs="Arial"/>
          <w:bCs/>
          <w:noProof/>
          <w:sz w:val="22"/>
          <w:szCs w:val="22"/>
        </w:rPr>
        <w:t xml:space="preserve"> </w:t>
      </w:r>
      <w:r w:rsidRPr="00A30AA8">
        <w:rPr>
          <w:rFonts w:ascii="Arial" w:hAnsi="Arial" w:cs="Arial"/>
          <w:b/>
          <w:bCs/>
          <w:noProof/>
          <w:sz w:val="22"/>
          <w:szCs w:val="22"/>
        </w:rPr>
        <w:t>107</w:t>
      </w:r>
      <w:r>
        <w:rPr>
          <w:rFonts w:ascii="Arial" w:hAnsi="Arial" w:cs="Arial"/>
          <w:bCs/>
          <w:noProof/>
          <w:sz w:val="22"/>
          <w:szCs w:val="22"/>
        </w:rPr>
        <w:t>, 1894–1899 (2010).</w:t>
      </w:r>
    </w:p>
    <w:p w14:paraId="0140FCE9"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Jurica, M. S. </w:t>
      </w:r>
      <w:r w:rsidRPr="00A30AA8">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A30AA8">
        <w:rPr>
          <w:rFonts w:ascii="Arial" w:hAnsi="Arial" w:cs="Arial"/>
          <w:bCs/>
          <w:i/>
          <w:noProof/>
          <w:sz w:val="22"/>
          <w:szCs w:val="22"/>
        </w:rPr>
        <w:t>Structure</w:t>
      </w:r>
      <w:r>
        <w:rPr>
          <w:rFonts w:ascii="Arial" w:hAnsi="Arial" w:cs="Arial"/>
          <w:bCs/>
          <w:noProof/>
          <w:sz w:val="22"/>
          <w:szCs w:val="22"/>
        </w:rPr>
        <w:t xml:space="preserve"> </w:t>
      </w:r>
      <w:r w:rsidRPr="00A30AA8">
        <w:rPr>
          <w:rFonts w:ascii="Arial" w:hAnsi="Arial" w:cs="Arial"/>
          <w:b/>
          <w:bCs/>
          <w:noProof/>
          <w:sz w:val="22"/>
          <w:szCs w:val="22"/>
        </w:rPr>
        <w:t>6</w:t>
      </w:r>
      <w:r>
        <w:rPr>
          <w:rFonts w:ascii="Arial" w:hAnsi="Arial" w:cs="Arial"/>
          <w:bCs/>
          <w:noProof/>
          <w:sz w:val="22"/>
          <w:szCs w:val="22"/>
        </w:rPr>
        <w:t>, 195–210 (1998).</w:t>
      </w:r>
    </w:p>
    <w:p w14:paraId="05F8038B"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Gao, X., Wang, H., Yang, J. J., Liu, X. &amp; Liu, Z.-R. Pyruvate kinase M2 regulates gene transcription by acting as a protein kinase. </w:t>
      </w:r>
      <w:r w:rsidRPr="00A30AA8">
        <w:rPr>
          <w:rFonts w:ascii="Arial" w:hAnsi="Arial" w:cs="Arial"/>
          <w:bCs/>
          <w:i/>
          <w:noProof/>
          <w:sz w:val="22"/>
          <w:szCs w:val="22"/>
        </w:rPr>
        <w:t>Mol. Cell</w:t>
      </w:r>
      <w:r>
        <w:rPr>
          <w:rFonts w:ascii="Arial" w:hAnsi="Arial" w:cs="Arial"/>
          <w:bCs/>
          <w:noProof/>
          <w:sz w:val="22"/>
          <w:szCs w:val="22"/>
        </w:rPr>
        <w:t xml:space="preserve"> </w:t>
      </w:r>
      <w:r w:rsidRPr="00A30AA8">
        <w:rPr>
          <w:rFonts w:ascii="Arial" w:hAnsi="Arial" w:cs="Arial"/>
          <w:b/>
          <w:bCs/>
          <w:noProof/>
          <w:sz w:val="22"/>
          <w:szCs w:val="22"/>
        </w:rPr>
        <w:t>45</w:t>
      </w:r>
      <w:r>
        <w:rPr>
          <w:rFonts w:ascii="Arial" w:hAnsi="Arial" w:cs="Arial"/>
          <w:bCs/>
          <w:noProof/>
          <w:sz w:val="22"/>
          <w:szCs w:val="22"/>
        </w:rPr>
        <w:t>, 598–609 (2012).</w:t>
      </w:r>
    </w:p>
    <w:p w14:paraId="601FACF7"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13.</w:t>
      </w:r>
      <w:r>
        <w:rPr>
          <w:rFonts w:ascii="Arial" w:hAnsi="Arial" w:cs="Arial"/>
          <w:bCs/>
          <w:noProof/>
          <w:sz w:val="22"/>
          <w:szCs w:val="22"/>
        </w:rPr>
        <w:tab/>
        <w:t xml:space="preserve">Luo, W. </w:t>
      </w:r>
      <w:r w:rsidRPr="00A30AA8">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A30AA8">
        <w:rPr>
          <w:rFonts w:ascii="Arial" w:hAnsi="Arial" w:cs="Arial"/>
          <w:bCs/>
          <w:i/>
          <w:noProof/>
          <w:sz w:val="22"/>
          <w:szCs w:val="22"/>
        </w:rPr>
        <w:t>Cell</w:t>
      </w:r>
      <w:r>
        <w:rPr>
          <w:rFonts w:ascii="Arial" w:hAnsi="Arial" w:cs="Arial"/>
          <w:bCs/>
          <w:noProof/>
          <w:sz w:val="22"/>
          <w:szCs w:val="22"/>
        </w:rPr>
        <w:t xml:space="preserve"> </w:t>
      </w:r>
      <w:r w:rsidRPr="00A30AA8">
        <w:rPr>
          <w:rFonts w:ascii="Arial" w:hAnsi="Arial" w:cs="Arial"/>
          <w:b/>
          <w:bCs/>
          <w:noProof/>
          <w:sz w:val="22"/>
          <w:szCs w:val="22"/>
        </w:rPr>
        <w:t>145</w:t>
      </w:r>
      <w:r>
        <w:rPr>
          <w:rFonts w:ascii="Arial" w:hAnsi="Arial" w:cs="Arial"/>
          <w:bCs/>
          <w:noProof/>
          <w:sz w:val="22"/>
          <w:szCs w:val="22"/>
        </w:rPr>
        <w:t>, 732–744 (2011).</w:t>
      </w:r>
    </w:p>
    <w:p w14:paraId="12F63B8F"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Yang, W. </w:t>
      </w:r>
      <w:r w:rsidRPr="00A30AA8">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A30AA8">
        <w:rPr>
          <w:rFonts w:ascii="Arial" w:hAnsi="Arial" w:cs="Arial"/>
          <w:bCs/>
          <w:i/>
          <w:noProof/>
          <w:sz w:val="22"/>
          <w:szCs w:val="22"/>
        </w:rPr>
        <w:t>Nature</w:t>
      </w:r>
      <w:r>
        <w:rPr>
          <w:rFonts w:ascii="Arial" w:hAnsi="Arial" w:cs="Arial"/>
          <w:bCs/>
          <w:noProof/>
          <w:sz w:val="22"/>
          <w:szCs w:val="22"/>
        </w:rPr>
        <w:t xml:space="preserve"> </w:t>
      </w:r>
      <w:r w:rsidRPr="00A30AA8">
        <w:rPr>
          <w:rFonts w:ascii="Arial" w:hAnsi="Arial" w:cs="Arial"/>
          <w:b/>
          <w:bCs/>
          <w:noProof/>
          <w:sz w:val="22"/>
          <w:szCs w:val="22"/>
        </w:rPr>
        <w:t>480</w:t>
      </w:r>
      <w:r>
        <w:rPr>
          <w:rFonts w:ascii="Arial" w:hAnsi="Arial" w:cs="Arial"/>
          <w:bCs/>
          <w:noProof/>
          <w:sz w:val="22"/>
          <w:szCs w:val="22"/>
        </w:rPr>
        <w:t>, 118–122 (2011).</w:t>
      </w:r>
    </w:p>
    <w:p w14:paraId="26214195"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Ma, W. K. </w:t>
      </w:r>
      <w:r w:rsidRPr="00A30AA8">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A30AA8">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2C341328"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Traxler, L. </w:t>
      </w:r>
      <w:r w:rsidRPr="00A30AA8">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A30AA8">
        <w:rPr>
          <w:rFonts w:ascii="Arial" w:hAnsi="Arial" w:cs="Arial"/>
          <w:bCs/>
          <w:i/>
          <w:noProof/>
          <w:sz w:val="22"/>
          <w:szCs w:val="22"/>
        </w:rPr>
        <w:t>Cell Metab.</w:t>
      </w:r>
      <w:r>
        <w:rPr>
          <w:rFonts w:ascii="Arial" w:hAnsi="Arial" w:cs="Arial"/>
          <w:bCs/>
          <w:noProof/>
          <w:sz w:val="22"/>
          <w:szCs w:val="22"/>
        </w:rPr>
        <w:t xml:space="preserve"> </w:t>
      </w:r>
      <w:r w:rsidRPr="00A30AA8">
        <w:rPr>
          <w:rFonts w:ascii="Arial" w:hAnsi="Arial" w:cs="Arial"/>
          <w:b/>
          <w:bCs/>
          <w:noProof/>
          <w:sz w:val="22"/>
          <w:szCs w:val="22"/>
        </w:rPr>
        <w:t>34</w:t>
      </w:r>
      <w:r>
        <w:rPr>
          <w:rFonts w:ascii="Arial" w:hAnsi="Arial" w:cs="Arial"/>
          <w:bCs/>
          <w:noProof/>
          <w:sz w:val="22"/>
          <w:szCs w:val="22"/>
        </w:rPr>
        <w:t>, 1248-1263.e6 (2022).</w:t>
      </w:r>
    </w:p>
    <w:p w14:paraId="0DC2D5A8"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Liu, C., Liu, C. &amp; Fu, R. Research progress on the role of PKM2 in the immune response. </w:t>
      </w:r>
      <w:r w:rsidRPr="00A30AA8">
        <w:rPr>
          <w:rFonts w:ascii="Arial" w:hAnsi="Arial" w:cs="Arial"/>
          <w:bCs/>
          <w:i/>
          <w:noProof/>
          <w:sz w:val="22"/>
          <w:szCs w:val="22"/>
        </w:rPr>
        <w:t>Front. Immunol.</w:t>
      </w:r>
      <w:r>
        <w:rPr>
          <w:rFonts w:ascii="Arial" w:hAnsi="Arial" w:cs="Arial"/>
          <w:bCs/>
          <w:noProof/>
          <w:sz w:val="22"/>
          <w:szCs w:val="22"/>
        </w:rPr>
        <w:t xml:space="preserve"> </w:t>
      </w:r>
      <w:r w:rsidRPr="00A30AA8">
        <w:rPr>
          <w:rFonts w:ascii="Arial" w:hAnsi="Arial" w:cs="Arial"/>
          <w:b/>
          <w:bCs/>
          <w:noProof/>
          <w:sz w:val="22"/>
          <w:szCs w:val="22"/>
        </w:rPr>
        <w:t>13</w:t>
      </w:r>
      <w:r>
        <w:rPr>
          <w:rFonts w:ascii="Arial" w:hAnsi="Arial" w:cs="Arial"/>
          <w:bCs/>
          <w:noProof/>
          <w:sz w:val="22"/>
          <w:szCs w:val="22"/>
        </w:rPr>
        <w:t>, 936967 (2022).</w:t>
      </w:r>
    </w:p>
    <w:p w14:paraId="3A218633"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Burge, P. S., Johnson, W. S. &amp; Hayward, A. R. Neutrophil pyruvate kinase deficiency with recurrent staphylococcal infections: first reported case. </w:t>
      </w:r>
      <w:r w:rsidRPr="00A30AA8">
        <w:rPr>
          <w:rFonts w:ascii="Arial" w:hAnsi="Arial" w:cs="Arial"/>
          <w:bCs/>
          <w:i/>
          <w:noProof/>
          <w:sz w:val="22"/>
          <w:szCs w:val="22"/>
        </w:rPr>
        <w:t>Br. Med. J.</w:t>
      </w:r>
      <w:r>
        <w:rPr>
          <w:rFonts w:ascii="Arial" w:hAnsi="Arial" w:cs="Arial"/>
          <w:bCs/>
          <w:noProof/>
          <w:sz w:val="22"/>
          <w:szCs w:val="22"/>
        </w:rPr>
        <w:t xml:space="preserve"> </w:t>
      </w:r>
      <w:r w:rsidRPr="00A30AA8">
        <w:rPr>
          <w:rFonts w:ascii="Arial" w:hAnsi="Arial" w:cs="Arial"/>
          <w:b/>
          <w:bCs/>
          <w:noProof/>
          <w:sz w:val="22"/>
          <w:szCs w:val="22"/>
        </w:rPr>
        <w:t>1</w:t>
      </w:r>
      <w:r>
        <w:rPr>
          <w:rFonts w:ascii="Arial" w:hAnsi="Arial" w:cs="Arial"/>
          <w:bCs/>
          <w:noProof/>
          <w:sz w:val="22"/>
          <w:szCs w:val="22"/>
        </w:rPr>
        <w:t>, 742–745 (1976).</w:t>
      </w:r>
    </w:p>
    <w:p w14:paraId="5B193CF7"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Tang, Q. </w:t>
      </w:r>
      <w:r w:rsidRPr="00A30AA8">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A30AA8">
        <w:rPr>
          <w:rFonts w:ascii="Arial" w:hAnsi="Arial" w:cs="Arial"/>
          <w:bCs/>
          <w:i/>
          <w:noProof/>
          <w:sz w:val="22"/>
          <w:szCs w:val="22"/>
        </w:rPr>
        <w:t>Dig. Dis. Sci.</w:t>
      </w:r>
      <w:r>
        <w:rPr>
          <w:rFonts w:ascii="Arial" w:hAnsi="Arial" w:cs="Arial"/>
          <w:bCs/>
          <w:noProof/>
          <w:sz w:val="22"/>
          <w:szCs w:val="22"/>
        </w:rPr>
        <w:t xml:space="preserve"> </w:t>
      </w:r>
      <w:r w:rsidRPr="00A30AA8">
        <w:rPr>
          <w:rFonts w:ascii="Arial" w:hAnsi="Arial" w:cs="Arial"/>
          <w:b/>
          <w:bCs/>
          <w:noProof/>
          <w:sz w:val="22"/>
          <w:szCs w:val="22"/>
        </w:rPr>
        <w:t>60</w:t>
      </w:r>
      <w:r>
        <w:rPr>
          <w:rFonts w:ascii="Arial" w:hAnsi="Arial" w:cs="Arial"/>
          <w:bCs/>
          <w:noProof/>
          <w:sz w:val="22"/>
          <w:szCs w:val="22"/>
        </w:rPr>
        <w:t>, 393–404 (2015).</w:t>
      </w:r>
    </w:p>
    <w:p w14:paraId="2864F013"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Rihan, M. &amp; Sharma, S. S. Role of Pyruvate Kinase M2 (PKM2) in Cardiovascular Diseases. </w:t>
      </w:r>
      <w:r w:rsidRPr="00A30AA8">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E4DF03F"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David, C. J., Chen, M., Assanah, M., Canoll, P. &amp; Manley, J. L. HnRNP proteins controlled by c-Myc deregulate pyruvate kinase mRNA splicing in cancer. </w:t>
      </w:r>
      <w:r w:rsidRPr="00A30AA8">
        <w:rPr>
          <w:rFonts w:ascii="Arial" w:hAnsi="Arial" w:cs="Arial"/>
          <w:bCs/>
          <w:i/>
          <w:noProof/>
          <w:sz w:val="22"/>
          <w:szCs w:val="22"/>
        </w:rPr>
        <w:t>Nature</w:t>
      </w:r>
      <w:r>
        <w:rPr>
          <w:rFonts w:ascii="Arial" w:hAnsi="Arial" w:cs="Arial"/>
          <w:bCs/>
          <w:noProof/>
          <w:sz w:val="22"/>
          <w:szCs w:val="22"/>
        </w:rPr>
        <w:t xml:space="preserve"> </w:t>
      </w:r>
      <w:r w:rsidRPr="00A30AA8">
        <w:rPr>
          <w:rFonts w:ascii="Arial" w:hAnsi="Arial" w:cs="Arial"/>
          <w:b/>
          <w:bCs/>
          <w:noProof/>
          <w:sz w:val="22"/>
          <w:szCs w:val="22"/>
        </w:rPr>
        <w:t>463</w:t>
      </w:r>
      <w:r>
        <w:rPr>
          <w:rFonts w:ascii="Arial" w:hAnsi="Arial" w:cs="Arial"/>
          <w:bCs/>
          <w:noProof/>
          <w:sz w:val="22"/>
          <w:szCs w:val="22"/>
        </w:rPr>
        <w:t>, 364–368 (2010).</w:t>
      </w:r>
    </w:p>
    <w:p w14:paraId="35EEE4DF"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A30AA8">
        <w:rPr>
          <w:rFonts w:ascii="Arial" w:hAnsi="Arial" w:cs="Arial"/>
          <w:bCs/>
          <w:i/>
          <w:noProof/>
          <w:sz w:val="22"/>
          <w:szCs w:val="22"/>
        </w:rPr>
        <w:t>Open Biol.</w:t>
      </w:r>
      <w:r>
        <w:rPr>
          <w:rFonts w:ascii="Arial" w:hAnsi="Arial" w:cs="Arial"/>
          <w:bCs/>
          <w:noProof/>
          <w:sz w:val="22"/>
          <w:szCs w:val="22"/>
        </w:rPr>
        <w:t xml:space="preserve"> </w:t>
      </w:r>
      <w:r w:rsidRPr="00A30AA8">
        <w:rPr>
          <w:rFonts w:ascii="Arial" w:hAnsi="Arial" w:cs="Arial"/>
          <w:b/>
          <w:bCs/>
          <w:noProof/>
          <w:sz w:val="22"/>
          <w:szCs w:val="22"/>
        </w:rPr>
        <w:t>2</w:t>
      </w:r>
      <w:r>
        <w:rPr>
          <w:rFonts w:ascii="Arial" w:hAnsi="Arial" w:cs="Arial"/>
          <w:bCs/>
          <w:noProof/>
          <w:sz w:val="22"/>
          <w:szCs w:val="22"/>
        </w:rPr>
        <w:t>, 120133 (2012).</w:t>
      </w:r>
    </w:p>
    <w:p w14:paraId="2C18D372"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Wang, Z. </w:t>
      </w:r>
      <w:r w:rsidRPr="00A30AA8">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A30AA8">
        <w:rPr>
          <w:rFonts w:ascii="Arial" w:hAnsi="Arial" w:cs="Arial"/>
          <w:bCs/>
          <w:i/>
          <w:noProof/>
          <w:sz w:val="22"/>
          <w:szCs w:val="22"/>
        </w:rPr>
        <w:t>Journal of molecular</w:t>
      </w:r>
      <w:r>
        <w:rPr>
          <w:rFonts w:ascii="Arial" w:hAnsi="Arial" w:cs="Arial"/>
          <w:bCs/>
          <w:noProof/>
          <w:sz w:val="22"/>
          <w:szCs w:val="22"/>
        </w:rPr>
        <w:t xml:space="preserve"> (2012).</w:t>
      </w:r>
    </w:p>
    <w:p w14:paraId="05908FBD"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24.</w:t>
      </w:r>
      <w:r>
        <w:rPr>
          <w:rFonts w:ascii="Arial" w:hAnsi="Arial" w:cs="Arial"/>
          <w:bCs/>
          <w:noProof/>
          <w:sz w:val="22"/>
          <w:szCs w:val="22"/>
        </w:rPr>
        <w:tab/>
        <w:t xml:space="preserve">Ke, S. </w:t>
      </w:r>
      <w:r w:rsidRPr="00A30AA8">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A30AA8">
        <w:rPr>
          <w:rFonts w:ascii="Arial" w:hAnsi="Arial" w:cs="Arial"/>
          <w:bCs/>
          <w:i/>
          <w:noProof/>
          <w:sz w:val="22"/>
          <w:szCs w:val="22"/>
        </w:rPr>
        <w:t>Genome Res.</w:t>
      </w:r>
      <w:r>
        <w:rPr>
          <w:rFonts w:ascii="Arial" w:hAnsi="Arial" w:cs="Arial"/>
          <w:bCs/>
          <w:noProof/>
          <w:sz w:val="22"/>
          <w:szCs w:val="22"/>
        </w:rPr>
        <w:t xml:space="preserve"> </w:t>
      </w:r>
      <w:r w:rsidRPr="00A30AA8">
        <w:rPr>
          <w:rFonts w:ascii="Arial" w:hAnsi="Arial" w:cs="Arial"/>
          <w:b/>
          <w:bCs/>
          <w:noProof/>
          <w:sz w:val="22"/>
          <w:szCs w:val="22"/>
        </w:rPr>
        <w:t>28</w:t>
      </w:r>
      <w:r>
        <w:rPr>
          <w:rFonts w:ascii="Arial" w:hAnsi="Arial" w:cs="Arial"/>
          <w:bCs/>
          <w:noProof/>
          <w:sz w:val="22"/>
          <w:szCs w:val="22"/>
        </w:rPr>
        <w:t>, 11–24 (2018).</w:t>
      </w:r>
    </w:p>
    <w:p w14:paraId="5763D73C"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A30AA8">
        <w:rPr>
          <w:rFonts w:ascii="Arial" w:hAnsi="Arial" w:cs="Arial"/>
          <w:bCs/>
          <w:i/>
          <w:noProof/>
          <w:sz w:val="22"/>
          <w:szCs w:val="22"/>
        </w:rPr>
        <w:t>Nat. Commun.</w:t>
      </w:r>
      <w:r>
        <w:rPr>
          <w:rFonts w:ascii="Arial" w:hAnsi="Arial" w:cs="Arial"/>
          <w:bCs/>
          <w:noProof/>
          <w:sz w:val="22"/>
          <w:szCs w:val="22"/>
        </w:rPr>
        <w:t xml:space="preserve"> </w:t>
      </w:r>
      <w:r w:rsidRPr="00A30AA8">
        <w:rPr>
          <w:rFonts w:ascii="Arial" w:hAnsi="Arial" w:cs="Arial"/>
          <w:b/>
          <w:bCs/>
          <w:noProof/>
          <w:sz w:val="22"/>
          <w:szCs w:val="22"/>
        </w:rPr>
        <w:t>7</w:t>
      </w:r>
      <w:r>
        <w:rPr>
          <w:rFonts w:ascii="Arial" w:hAnsi="Arial" w:cs="Arial"/>
          <w:bCs/>
          <w:noProof/>
          <w:sz w:val="22"/>
          <w:szCs w:val="22"/>
        </w:rPr>
        <w:t>, 1–8 (2016).</w:t>
      </w:r>
    </w:p>
    <w:p w14:paraId="5B4EB059"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A30AA8">
        <w:rPr>
          <w:rFonts w:ascii="Arial" w:hAnsi="Arial" w:cs="Arial"/>
          <w:bCs/>
          <w:i/>
          <w:noProof/>
          <w:sz w:val="22"/>
          <w:szCs w:val="22"/>
        </w:rPr>
        <w:t>Genome Biol.</w:t>
      </w:r>
      <w:r>
        <w:rPr>
          <w:rFonts w:ascii="Arial" w:hAnsi="Arial" w:cs="Arial"/>
          <w:bCs/>
          <w:noProof/>
          <w:sz w:val="22"/>
          <w:szCs w:val="22"/>
        </w:rPr>
        <w:t xml:space="preserve"> </w:t>
      </w:r>
      <w:r w:rsidRPr="00A30AA8">
        <w:rPr>
          <w:rFonts w:ascii="Arial" w:hAnsi="Arial" w:cs="Arial"/>
          <w:b/>
          <w:bCs/>
          <w:noProof/>
          <w:sz w:val="22"/>
          <w:szCs w:val="22"/>
        </w:rPr>
        <w:t>19</w:t>
      </w:r>
      <w:r>
        <w:rPr>
          <w:rFonts w:ascii="Arial" w:hAnsi="Arial" w:cs="Arial"/>
          <w:bCs/>
          <w:noProof/>
          <w:sz w:val="22"/>
          <w:szCs w:val="22"/>
        </w:rPr>
        <w:t>, 71 (2018).</w:t>
      </w:r>
    </w:p>
    <w:p w14:paraId="11179CC8"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Soemedi, R. </w:t>
      </w:r>
      <w:r w:rsidRPr="00A30AA8">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A30AA8">
        <w:rPr>
          <w:rFonts w:ascii="Arial" w:hAnsi="Arial" w:cs="Arial"/>
          <w:bCs/>
          <w:i/>
          <w:noProof/>
          <w:sz w:val="22"/>
          <w:szCs w:val="22"/>
        </w:rPr>
        <w:t>Nat. Genet.</w:t>
      </w:r>
      <w:r>
        <w:rPr>
          <w:rFonts w:ascii="Arial" w:hAnsi="Arial" w:cs="Arial"/>
          <w:bCs/>
          <w:noProof/>
          <w:sz w:val="22"/>
          <w:szCs w:val="22"/>
        </w:rPr>
        <w:t xml:space="preserve"> </w:t>
      </w:r>
      <w:r w:rsidRPr="00A30AA8">
        <w:rPr>
          <w:rFonts w:ascii="Arial" w:hAnsi="Arial" w:cs="Arial"/>
          <w:b/>
          <w:bCs/>
          <w:noProof/>
          <w:sz w:val="22"/>
          <w:szCs w:val="22"/>
        </w:rPr>
        <w:t>49</w:t>
      </w:r>
      <w:r>
        <w:rPr>
          <w:rFonts w:ascii="Arial" w:hAnsi="Arial" w:cs="Arial"/>
          <w:bCs/>
          <w:noProof/>
          <w:sz w:val="22"/>
          <w:szCs w:val="22"/>
        </w:rPr>
        <w:t>, 848–855 (2017).</w:t>
      </w:r>
    </w:p>
    <w:p w14:paraId="0FBB4067"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Cortés-López, M. </w:t>
      </w:r>
      <w:r w:rsidRPr="00A30AA8">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A30AA8">
        <w:rPr>
          <w:rFonts w:ascii="Arial" w:hAnsi="Arial" w:cs="Arial"/>
          <w:bCs/>
          <w:i/>
          <w:noProof/>
          <w:sz w:val="22"/>
          <w:szCs w:val="22"/>
        </w:rPr>
        <w:t>Nat. Commun.</w:t>
      </w:r>
      <w:r>
        <w:rPr>
          <w:rFonts w:ascii="Arial" w:hAnsi="Arial" w:cs="Arial"/>
          <w:bCs/>
          <w:noProof/>
          <w:sz w:val="22"/>
          <w:szCs w:val="22"/>
        </w:rPr>
        <w:t xml:space="preserve"> </w:t>
      </w:r>
      <w:r w:rsidRPr="00A30AA8">
        <w:rPr>
          <w:rFonts w:ascii="Arial" w:hAnsi="Arial" w:cs="Arial"/>
          <w:b/>
          <w:bCs/>
          <w:noProof/>
          <w:sz w:val="22"/>
          <w:szCs w:val="22"/>
        </w:rPr>
        <w:t>13</w:t>
      </w:r>
      <w:r>
        <w:rPr>
          <w:rFonts w:ascii="Arial" w:hAnsi="Arial" w:cs="Arial"/>
          <w:bCs/>
          <w:noProof/>
          <w:sz w:val="22"/>
          <w:szCs w:val="22"/>
        </w:rPr>
        <w:t>, 1–17 (2022).</w:t>
      </w:r>
    </w:p>
    <w:p w14:paraId="2B72AC65"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Schirman, D., Yakhini, Z., Pilpel, Y. &amp; Dahan, O. A broad analysis of splicing regulation in yeast using a large library of synthetic introns. </w:t>
      </w:r>
      <w:r w:rsidRPr="00A30AA8">
        <w:rPr>
          <w:rFonts w:ascii="Arial" w:hAnsi="Arial" w:cs="Arial"/>
          <w:bCs/>
          <w:i/>
          <w:noProof/>
          <w:sz w:val="22"/>
          <w:szCs w:val="22"/>
        </w:rPr>
        <w:t>PLoS Genet.</w:t>
      </w:r>
      <w:r>
        <w:rPr>
          <w:rFonts w:ascii="Arial" w:hAnsi="Arial" w:cs="Arial"/>
          <w:bCs/>
          <w:noProof/>
          <w:sz w:val="22"/>
          <w:szCs w:val="22"/>
        </w:rPr>
        <w:t xml:space="preserve"> </w:t>
      </w:r>
      <w:r w:rsidRPr="00A30AA8">
        <w:rPr>
          <w:rFonts w:ascii="Arial" w:hAnsi="Arial" w:cs="Arial"/>
          <w:b/>
          <w:bCs/>
          <w:noProof/>
          <w:sz w:val="22"/>
          <w:szCs w:val="22"/>
        </w:rPr>
        <w:t>17</w:t>
      </w:r>
      <w:r>
        <w:rPr>
          <w:rFonts w:ascii="Arial" w:hAnsi="Arial" w:cs="Arial"/>
          <w:bCs/>
          <w:noProof/>
          <w:sz w:val="22"/>
          <w:szCs w:val="22"/>
        </w:rPr>
        <w:t>, e1009805 (2021).</w:t>
      </w:r>
    </w:p>
    <w:p w14:paraId="5439F017"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Mikl, M., Hamburg, A., Pilpel, Y. &amp; Segal, E. Dissecting splicing decisions and cell-to-cell variability with designed sequence libraries. </w:t>
      </w:r>
      <w:r w:rsidRPr="00A30AA8">
        <w:rPr>
          <w:rFonts w:ascii="Arial" w:hAnsi="Arial" w:cs="Arial"/>
          <w:bCs/>
          <w:i/>
          <w:noProof/>
          <w:sz w:val="22"/>
          <w:szCs w:val="22"/>
        </w:rPr>
        <w:t>Nat. Commun.</w:t>
      </w:r>
      <w:r>
        <w:rPr>
          <w:rFonts w:ascii="Arial" w:hAnsi="Arial" w:cs="Arial"/>
          <w:bCs/>
          <w:noProof/>
          <w:sz w:val="22"/>
          <w:szCs w:val="22"/>
        </w:rPr>
        <w:t xml:space="preserve"> </w:t>
      </w:r>
      <w:r w:rsidRPr="00A30AA8">
        <w:rPr>
          <w:rFonts w:ascii="Arial" w:hAnsi="Arial" w:cs="Arial"/>
          <w:b/>
          <w:bCs/>
          <w:noProof/>
          <w:sz w:val="22"/>
          <w:szCs w:val="22"/>
        </w:rPr>
        <w:t>10</w:t>
      </w:r>
      <w:r>
        <w:rPr>
          <w:rFonts w:ascii="Arial" w:hAnsi="Arial" w:cs="Arial"/>
          <w:bCs/>
          <w:noProof/>
          <w:sz w:val="22"/>
          <w:szCs w:val="22"/>
        </w:rPr>
        <w:t>, 1–14 (2019).</w:t>
      </w:r>
    </w:p>
    <w:p w14:paraId="56BE1041"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Braun, S. </w:t>
      </w:r>
      <w:r w:rsidRPr="00A30AA8">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A30AA8">
        <w:rPr>
          <w:rFonts w:ascii="Arial" w:hAnsi="Arial" w:cs="Arial"/>
          <w:bCs/>
          <w:i/>
          <w:noProof/>
          <w:sz w:val="22"/>
          <w:szCs w:val="22"/>
        </w:rPr>
        <w:t>Nat. Commun.</w:t>
      </w:r>
      <w:r>
        <w:rPr>
          <w:rFonts w:ascii="Arial" w:hAnsi="Arial" w:cs="Arial"/>
          <w:bCs/>
          <w:noProof/>
          <w:sz w:val="22"/>
          <w:szCs w:val="22"/>
        </w:rPr>
        <w:t xml:space="preserve"> </w:t>
      </w:r>
      <w:r w:rsidRPr="00A30AA8">
        <w:rPr>
          <w:rFonts w:ascii="Arial" w:hAnsi="Arial" w:cs="Arial"/>
          <w:b/>
          <w:bCs/>
          <w:noProof/>
          <w:sz w:val="22"/>
          <w:szCs w:val="22"/>
        </w:rPr>
        <w:t>9</w:t>
      </w:r>
      <w:r>
        <w:rPr>
          <w:rFonts w:ascii="Arial" w:hAnsi="Arial" w:cs="Arial"/>
          <w:bCs/>
          <w:noProof/>
          <w:sz w:val="22"/>
          <w:szCs w:val="22"/>
        </w:rPr>
        <w:t>, 1–18 (2018).</w:t>
      </w:r>
    </w:p>
    <w:p w14:paraId="762954DE"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Souček, P. </w:t>
      </w:r>
      <w:r w:rsidRPr="00A30AA8">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A30AA8">
        <w:rPr>
          <w:rFonts w:ascii="Arial" w:hAnsi="Arial" w:cs="Arial"/>
          <w:bCs/>
          <w:i/>
          <w:noProof/>
          <w:sz w:val="22"/>
          <w:szCs w:val="22"/>
        </w:rPr>
        <w:t>RNA Biol.</w:t>
      </w:r>
      <w:r>
        <w:rPr>
          <w:rFonts w:ascii="Arial" w:hAnsi="Arial" w:cs="Arial"/>
          <w:bCs/>
          <w:noProof/>
          <w:sz w:val="22"/>
          <w:szCs w:val="22"/>
        </w:rPr>
        <w:t xml:space="preserve"> </w:t>
      </w:r>
      <w:r w:rsidRPr="00A30AA8">
        <w:rPr>
          <w:rFonts w:ascii="Arial" w:hAnsi="Arial" w:cs="Arial"/>
          <w:b/>
          <w:bCs/>
          <w:noProof/>
          <w:sz w:val="22"/>
          <w:szCs w:val="22"/>
        </w:rPr>
        <w:t>16</w:t>
      </w:r>
      <w:r>
        <w:rPr>
          <w:rFonts w:ascii="Arial" w:hAnsi="Arial" w:cs="Arial"/>
          <w:bCs/>
          <w:noProof/>
          <w:sz w:val="22"/>
          <w:szCs w:val="22"/>
        </w:rPr>
        <w:t>, 1364–1376 (2019).</w:t>
      </w:r>
    </w:p>
    <w:p w14:paraId="4C6EBD41"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Baeza-Centurion, P., Miñana, B., Valcárcel, J. &amp; Lehner, B. Mutations primarily alter the inclusion of alternatively spliced exons. </w:t>
      </w:r>
      <w:r w:rsidRPr="00A30AA8">
        <w:rPr>
          <w:rFonts w:ascii="Arial" w:hAnsi="Arial" w:cs="Arial"/>
          <w:bCs/>
          <w:i/>
          <w:noProof/>
          <w:sz w:val="22"/>
          <w:szCs w:val="22"/>
        </w:rPr>
        <w:t>Elife</w:t>
      </w:r>
      <w:r>
        <w:rPr>
          <w:rFonts w:ascii="Arial" w:hAnsi="Arial" w:cs="Arial"/>
          <w:bCs/>
          <w:noProof/>
          <w:sz w:val="22"/>
          <w:szCs w:val="22"/>
        </w:rPr>
        <w:t xml:space="preserve"> </w:t>
      </w:r>
      <w:r w:rsidRPr="00A30AA8">
        <w:rPr>
          <w:rFonts w:ascii="Arial" w:hAnsi="Arial" w:cs="Arial"/>
          <w:b/>
          <w:bCs/>
          <w:noProof/>
          <w:sz w:val="22"/>
          <w:szCs w:val="22"/>
        </w:rPr>
        <w:t>9</w:t>
      </w:r>
      <w:r>
        <w:rPr>
          <w:rFonts w:ascii="Arial" w:hAnsi="Arial" w:cs="Arial"/>
          <w:bCs/>
          <w:noProof/>
          <w:sz w:val="22"/>
          <w:szCs w:val="22"/>
        </w:rPr>
        <w:t>, (2020).</w:t>
      </w:r>
    </w:p>
    <w:p w14:paraId="622F2581"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Cheung, R. </w:t>
      </w:r>
      <w:r w:rsidRPr="00A30AA8">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A30AA8">
        <w:rPr>
          <w:rFonts w:ascii="Arial" w:hAnsi="Arial" w:cs="Arial"/>
          <w:bCs/>
          <w:i/>
          <w:noProof/>
          <w:sz w:val="22"/>
          <w:szCs w:val="22"/>
        </w:rPr>
        <w:t>Mol. Cell</w:t>
      </w:r>
      <w:r>
        <w:rPr>
          <w:rFonts w:ascii="Arial" w:hAnsi="Arial" w:cs="Arial"/>
          <w:bCs/>
          <w:noProof/>
          <w:sz w:val="22"/>
          <w:szCs w:val="22"/>
        </w:rPr>
        <w:t xml:space="preserve"> </w:t>
      </w:r>
      <w:r w:rsidRPr="00A30AA8">
        <w:rPr>
          <w:rFonts w:ascii="Arial" w:hAnsi="Arial" w:cs="Arial"/>
          <w:b/>
          <w:bCs/>
          <w:noProof/>
          <w:sz w:val="22"/>
          <w:szCs w:val="22"/>
        </w:rPr>
        <w:t>73</w:t>
      </w:r>
      <w:r>
        <w:rPr>
          <w:rFonts w:ascii="Arial" w:hAnsi="Arial" w:cs="Arial"/>
          <w:bCs/>
          <w:noProof/>
          <w:sz w:val="22"/>
          <w:szCs w:val="22"/>
        </w:rPr>
        <w:t>, 183-194.e8 (2019).</w:t>
      </w:r>
    </w:p>
    <w:p w14:paraId="716AAFE6"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A30AA8">
        <w:rPr>
          <w:rFonts w:ascii="Arial" w:hAnsi="Arial" w:cs="Arial"/>
          <w:bCs/>
          <w:i/>
          <w:noProof/>
          <w:sz w:val="22"/>
          <w:szCs w:val="22"/>
        </w:rPr>
        <w:t>Cell</w:t>
      </w:r>
      <w:r>
        <w:rPr>
          <w:rFonts w:ascii="Arial" w:hAnsi="Arial" w:cs="Arial"/>
          <w:bCs/>
          <w:noProof/>
          <w:sz w:val="22"/>
          <w:szCs w:val="22"/>
        </w:rPr>
        <w:t xml:space="preserve"> </w:t>
      </w:r>
      <w:r w:rsidRPr="00A30AA8">
        <w:rPr>
          <w:rFonts w:ascii="Arial" w:hAnsi="Arial" w:cs="Arial"/>
          <w:b/>
          <w:bCs/>
          <w:noProof/>
          <w:sz w:val="22"/>
          <w:szCs w:val="22"/>
        </w:rPr>
        <w:t>176</w:t>
      </w:r>
      <w:r>
        <w:rPr>
          <w:rFonts w:ascii="Arial" w:hAnsi="Arial" w:cs="Arial"/>
          <w:bCs/>
          <w:noProof/>
          <w:sz w:val="22"/>
          <w:szCs w:val="22"/>
        </w:rPr>
        <w:t>, 549-563.e23 (2019).</w:t>
      </w:r>
    </w:p>
    <w:p w14:paraId="77840991"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A30AA8">
        <w:rPr>
          <w:rFonts w:ascii="Arial" w:hAnsi="Arial" w:cs="Arial"/>
          <w:bCs/>
          <w:i/>
          <w:noProof/>
          <w:sz w:val="22"/>
          <w:szCs w:val="22"/>
        </w:rPr>
        <w:t>Cell</w:t>
      </w:r>
      <w:r>
        <w:rPr>
          <w:rFonts w:ascii="Arial" w:hAnsi="Arial" w:cs="Arial"/>
          <w:bCs/>
          <w:noProof/>
          <w:sz w:val="22"/>
          <w:szCs w:val="22"/>
        </w:rPr>
        <w:t xml:space="preserve"> </w:t>
      </w:r>
      <w:r w:rsidRPr="00A30AA8">
        <w:rPr>
          <w:rFonts w:ascii="Arial" w:hAnsi="Arial" w:cs="Arial"/>
          <w:b/>
          <w:bCs/>
          <w:noProof/>
          <w:sz w:val="22"/>
          <w:szCs w:val="22"/>
        </w:rPr>
        <w:t>163</w:t>
      </w:r>
      <w:r>
        <w:rPr>
          <w:rFonts w:ascii="Arial" w:hAnsi="Arial" w:cs="Arial"/>
          <w:bCs/>
          <w:noProof/>
          <w:sz w:val="22"/>
          <w:szCs w:val="22"/>
        </w:rPr>
        <w:t>, 698–711 (2015).</w:t>
      </w:r>
    </w:p>
    <w:p w14:paraId="2844DAA4"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Wong, M. S., Kinney, J. B. &amp; Krainer, A. R. Quantitative Activity Profile and Context Dependence of All Human 5’ Splice Sites. </w:t>
      </w:r>
      <w:r w:rsidRPr="00A30AA8">
        <w:rPr>
          <w:rFonts w:ascii="Arial" w:hAnsi="Arial" w:cs="Arial"/>
          <w:bCs/>
          <w:i/>
          <w:noProof/>
          <w:sz w:val="22"/>
          <w:szCs w:val="22"/>
        </w:rPr>
        <w:t>Mol. Cell</w:t>
      </w:r>
      <w:r>
        <w:rPr>
          <w:rFonts w:ascii="Arial" w:hAnsi="Arial" w:cs="Arial"/>
          <w:bCs/>
          <w:noProof/>
          <w:sz w:val="22"/>
          <w:szCs w:val="22"/>
        </w:rPr>
        <w:t xml:space="preserve"> </w:t>
      </w:r>
      <w:r w:rsidRPr="00A30AA8">
        <w:rPr>
          <w:rFonts w:ascii="Arial" w:hAnsi="Arial" w:cs="Arial"/>
          <w:b/>
          <w:bCs/>
          <w:noProof/>
          <w:sz w:val="22"/>
          <w:szCs w:val="22"/>
        </w:rPr>
        <w:t>71</w:t>
      </w:r>
      <w:r>
        <w:rPr>
          <w:rFonts w:ascii="Arial" w:hAnsi="Arial" w:cs="Arial"/>
          <w:bCs/>
          <w:noProof/>
          <w:sz w:val="22"/>
          <w:szCs w:val="22"/>
        </w:rPr>
        <w:t>, 1012-1026.e3 (2018).</w:t>
      </w:r>
    </w:p>
    <w:p w14:paraId="75582596"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North, K. </w:t>
      </w:r>
      <w:r w:rsidRPr="00A30AA8">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A30AA8">
        <w:rPr>
          <w:rFonts w:ascii="Arial" w:hAnsi="Arial" w:cs="Arial"/>
          <w:bCs/>
          <w:i/>
          <w:noProof/>
          <w:sz w:val="22"/>
          <w:szCs w:val="22"/>
        </w:rPr>
        <w:t>Nat. Biotechnol.</w:t>
      </w:r>
      <w:r>
        <w:rPr>
          <w:rFonts w:ascii="Arial" w:hAnsi="Arial" w:cs="Arial"/>
          <w:bCs/>
          <w:noProof/>
          <w:sz w:val="22"/>
          <w:szCs w:val="22"/>
        </w:rPr>
        <w:t xml:space="preserve"> </w:t>
      </w:r>
      <w:r w:rsidRPr="00A30AA8">
        <w:rPr>
          <w:rFonts w:ascii="Arial" w:hAnsi="Arial" w:cs="Arial"/>
          <w:b/>
          <w:bCs/>
          <w:noProof/>
          <w:sz w:val="22"/>
          <w:szCs w:val="22"/>
        </w:rPr>
        <w:t>40</w:t>
      </w:r>
      <w:r>
        <w:rPr>
          <w:rFonts w:ascii="Arial" w:hAnsi="Arial" w:cs="Arial"/>
          <w:bCs/>
          <w:noProof/>
          <w:sz w:val="22"/>
          <w:szCs w:val="22"/>
        </w:rPr>
        <w:t>, 1103–1113 (2022).</w:t>
      </w:r>
    </w:p>
    <w:p w14:paraId="096B177C"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Piovesan, A. </w:t>
      </w:r>
      <w:r w:rsidRPr="00A30AA8">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A30AA8">
        <w:rPr>
          <w:rFonts w:ascii="Arial" w:hAnsi="Arial" w:cs="Arial"/>
          <w:bCs/>
          <w:i/>
          <w:noProof/>
          <w:sz w:val="22"/>
          <w:szCs w:val="22"/>
        </w:rPr>
        <w:t>BMC Res. Notes</w:t>
      </w:r>
      <w:r>
        <w:rPr>
          <w:rFonts w:ascii="Arial" w:hAnsi="Arial" w:cs="Arial"/>
          <w:bCs/>
          <w:noProof/>
          <w:sz w:val="22"/>
          <w:szCs w:val="22"/>
        </w:rPr>
        <w:t xml:space="preserve"> </w:t>
      </w:r>
      <w:r w:rsidRPr="00A30AA8">
        <w:rPr>
          <w:rFonts w:ascii="Arial" w:hAnsi="Arial" w:cs="Arial"/>
          <w:b/>
          <w:bCs/>
          <w:noProof/>
          <w:sz w:val="22"/>
          <w:szCs w:val="22"/>
        </w:rPr>
        <w:t>12</w:t>
      </w:r>
      <w:r>
        <w:rPr>
          <w:rFonts w:ascii="Arial" w:hAnsi="Arial" w:cs="Arial"/>
          <w:bCs/>
          <w:noProof/>
          <w:sz w:val="22"/>
          <w:szCs w:val="22"/>
        </w:rPr>
        <w:t>, 315 (2019).</w:t>
      </w:r>
    </w:p>
    <w:p w14:paraId="43FEE055"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Hardwick, S. A. </w:t>
      </w:r>
      <w:r w:rsidRPr="00A30AA8">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A30AA8">
        <w:rPr>
          <w:rFonts w:ascii="Arial" w:hAnsi="Arial" w:cs="Arial"/>
          <w:bCs/>
          <w:i/>
          <w:noProof/>
          <w:sz w:val="22"/>
          <w:szCs w:val="22"/>
        </w:rPr>
        <w:t>Nat. Methods</w:t>
      </w:r>
      <w:r>
        <w:rPr>
          <w:rFonts w:ascii="Arial" w:hAnsi="Arial" w:cs="Arial"/>
          <w:bCs/>
          <w:noProof/>
          <w:sz w:val="22"/>
          <w:szCs w:val="22"/>
        </w:rPr>
        <w:t xml:space="preserve"> </w:t>
      </w:r>
      <w:r w:rsidRPr="00A30AA8">
        <w:rPr>
          <w:rFonts w:ascii="Arial" w:hAnsi="Arial" w:cs="Arial"/>
          <w:b/>
          <w:bCs/>
          <w:noProof/>
          <w:sz w:val="22"/>
          <w:szCs w:val="22"/>
        </w:rPr>
        <w:t>13</w:t>
      </w:r>
      <w:r>
        <w:rPr>
          <w:rFonts w:ascii="Arial" w:hAnsi="Arial" w:cs="Arial"/>
          <w:bCs/>
          <w:noProof/>
          <w:sz w:val="22"/>
          <w:szCs w:val="22"/>
        </w:rPr>
        <w:t>, 792–798 (2016).</w:t>
      </w:r>
    </w:p>
    <w:p w14:paraId="74847BF9"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Escalona, M., Rocha, S. &amp; Posada, D. A comparison of tools for the simulation of genomic next-generation sequencing data. </w:t>
      </w:r>
      <w:r w:rsidRPr="00A30AA8">
        <w:rPr>
          <w:rFonts w:ascii="Arial" w:hAnsi="Arial" w:cs="Arial"/>
          <w:bCs/>
          <w:i/>
          <w:noProof/>
          <w:sz w:val="22"/>
          <w:szCs w:val="22"/>
        </w:rPr>
        <w:t>Nat. Rev. Genet.</w:t>
      </w:r>
      <w:r>
        <w:rPr>
          <w:rFonts w:ascii="Arial" w:hAnsi="Arial" w:cs="Arial"/>
          <w:bCs/>
          <w:noProof/>
          <w:sz w:val="22"/>
          <w:szCs w:val="22"/>
        </w:rPr>
        <w:t xml:space="preserve"> </w:t>
      </w:r>
      <w:r w:rsidRPr="00A30AA8">
        <w:rPr>
          <w:rFonts w:ascii="Arial" w:hAnsi="Arial" w:cs="Arial"/>
          <w:b/>
          <w:bCs/>
          <w:noProof/>
          <w:sz w:val="22"/>
          <w:szCs w:val="22"/>
        </w:rPr>
        <w:t>17</w:t>
      </w:r>
      <w:r>
        <w:rPr>
          <w:rFonts w:ascii="Arial" w:hAnsi="Arial" w:cs="Arial"/>
          <w:bCs/>
          <w:noProof/>
          <w:sz w:val="22"/>
          <w:szCs w:val="22"/>
        </w:rPr>
        <w:t>, 459–469 (2016).</w:t>
      </w:r>
    </w:p>
    <w:p w14:paraId="02495D5B"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Wick, R. Badread: simulation of error-prone long reads. </w:t>
      </w:r>
      <w:r w:rsidRPr="00A30AA8">
        <w:rPr>
          <w:rFonts w:ascii="Arial" w:hAnsi="Arial" w:cs="Arial"/>
          <w:bCs/>
          <w:i/>
          <w:noProof/>
          <w:sz w:val="22"/>
          <w:szCs w:val="22"/>
        </w:rPr>
        <w:t>J. Open Source Softw.</w:t>
      </w:r>
      <w:r>
        <w:rPr>
          <w:rFonts w:ascii="Arial" w:hAnsi="Arial" w:cs="Arial"/>
          <w:bCs/>
          <w:noProof/>
          <w:sz w:val="22"/>
          <w:szCs w:val="22"/>
        </w:rPr>
        <w:t xml:space="preserve"> </w:t>
      </w:r>
      <w:r w:rsidRPr="00A30AA8">
        <w:rPr>
          <w:rFonts w:ascii="Arial" w:hAnsi="Arial" w:cs="Arial"/>
          <w:b/>
          <w:bCs/>
          <w:noProof/>
          <w:sz w:val="22"/>
          <w:szCs w:val="22"/>
        </w:rPr>
        <w:t>4</w:t>
      </w:r>
      <w:r>
        <w:rPr>
          <w:rFonts w:ascii="Arial" w:hAnsi="Arial" w:cs="Arial"/>
          <w:bCs/>
          <w:noProof/>
          <w:sz w:val="22"/>
          <w:szCs w:val="22"/>
        </w:rPr>
        <w:t>, 1316 (2019).</w:t>
      </w:r>
    </w:p>
    <w:p w14:paraId="33804A8B"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Hafezqorani, S. </w:t>
      </w:r>
      <w:r w:rsidRPr="00A30AA8">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A30AA8">
        <w:rPr>
          <w:rFonts w:ascii="Arial" w:hAnsi="Arial" w:cs="Arial"/>
          <w:bCs/>
          <w:i/>
          <w:noProof/>
          <w:sz w:val="22"/>
          <w:szCs w:val="22"/>
        </w:rPr>
        <w:t>Gigascience</w:t>
      </w:r>
      <w:r>
        <w:rPr>
          <w:rFonts w:ascii="Arial" w:hAnsi="Arial" w:cs="Arial"/>
          <w:bCs/>
          <w:noProof/>
          <w:sz w:val="22"/>
          <w:szCs w:val="22"/>
        </w:rPr>
        <w:t xml:space="preserve"> </w:t>
      </w:r>
      <w:r w:rsidRPr="00A30AA8">
        <w:rPr>
          <w:rFonts w:ascii="Arial" w:hAnsi="Arial" w:cs="Arial"/>
          <w:b/>
          <w:bCs/>
          <w:noProof/>
          <w:sz w:val="22"/>
          <w:szCs w:val="22"/>
        </w:rPr>
        <w:t>9</w:t>
      </w:r>
      <w:r>
        <w:rPr>
          <w:rFonts w:ascii="Arial" w:hAnsi="Arial" w:cs="Arial"/>
          <w:bCs/>
          <w:noProof/>
          <w:sz w:val="22"/>
          <w:szCs w:val="22"/>
        </w:rPr>
        <w:t>, (2020).</w:t>
      </w:r>
    </w:p>
    <w:p w14:paraId="677275C2"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Ono, Y., Hamada, M. &amp; Asai, K. PBSIM3: a simulator for all types of PacBio and ONT long reads. </w:t>
      </w:r>
      <w:r w:rsidRPr="00A30AA8">
        <w:rPr>
          <w:rFonts w:ascii="Arial" w:hAnsi="Arial" w:cs="Arial"/>
          <w:bCs/>
          <w:i/>
          <w:noProof/>
          <w:sz w:val="22"/>
          <w:szCs w:val="22"/>
        </w:rPr>
        <w:t>NAR Genom Bioinform</w:t>
      </w:r>
      <w:r>
        <w:rPr>
          <w:rFonts w:ascii="Arial" w:hAnsi="Arial" w:cs="Arial"/>
          <w:bCs/>
          <w:noProof/>
          <w:sz w:val="22"/>
          <w:szCs w:val="22"/>
        </w:rPr>
        <w:t xml:space="preserve"> </w:t>
      </w:r>
      <w:r w:rsidRPr="00A30AA8">
        <w:rPr>
          <w:rFonts w:ascii="Arial" w:hAnsi="Arial" w:cs="Arial"/>
          <w:b/>
          <w:bCs/>
          <w:noProof/>
          <w:sz w:val="22"/>
          <w:szCs w:val="22"/>
        </w:rPr>
        <w:t>4</w:t>
      </w:r>
      <w:r>
        <w:rPr>
          <w:rFonts w:ascii="Arial" w:hAnsi="Arial" w:cs="Arial"/>
          <w:bCs/>
          <w:noProof/>
          <w:sz w:val="22"/>
          <w:szCs w:val="22"/>
        </w:rPr>
        <w:t>, lqac092 (2022).</w:t>
      </w:r>
    </w:p>
    <w:p w14:paraId="37A5E212"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Lau, B. </w:t>
      </w:r>
      <w:r w:rsidRPr="00A30AA8">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A30AA8">
        <w:rPr>
          <w:rFonts w:ascii="Arial" w:hAnsi="Arial" w:cs="Arial"/>
          <w:bCs/>
          <w:i/>
          <w:noProof/>
          <w:sz w:val="22"/>
          <w:szCs w:val="22"/>
        </w:rPr>
        <w:t>Bioinformatics</w:t>
      </w:r>
      <w:r>
        <w:rPr>
          <w:rFonts w:ascii="Arial" w:hAnsi="Arial" w:cs="Arial"/>
          <w:bCs/>
          <w:noProof/>
          <w:sz w:val="22"/>
          <w:szCs w:val="22"/>
        </w:rPr>
        <w:t xml:space="preserve"> </w:t>
      </w:r>
      <w:r w:rsidRPr="00A30AA8">
        <w:rPr>
          <w:rFonts w:ascii="Arial" w:hAnsi="Arial" w:cs="Arial"/>
          <w:b/>
          <w:bCs/>
          <w:noProof/>
          <w:sz w:val="22"/>
          <w:szCs w:val="22"/>
        </w:rPr>
        <w:t>32</w:t>
      </w:r>
      <w:r>
        <w:rPr>
          <w:rFonts w:ascii="Arial" w:hAnsi="Arial" w:cs="Arial"/>
          <w:bCs/>
          <w:noProof/>
          <w:sz w:val="22"/>
          <w:szCs w:val="22"/>
        </w:rPr>
        <w:t>, 3829–3832 (2016).</w:t>
      </w:r>
    </w:p>
    <w:p w14:paraId="37936238"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Zhang, W., Jia, B. &amp; Wei, C. PaSS: a sequencing simulator for PacBio sequencing. </w:t>
      </w:r>
      <w:r w:rsidRPr="00A30AA8">
        <w:rPr>
          <w:rFonts w:ascii="Arial" w:hAnsi="Arial" w:cs="Arial"/>
          <w:bCs/>
          <w:i/>
          <w:noProof/>
          <w:sz w:val="22"/>
          <w:szCs w:val="22"/>
        </w:rPr>
        <w:t>BMC Bioinformatics</w:t>
      </w:r>
      <w:r>
        <w:rPr>
          <w:rFonts w:ascii="Arial" w:hAnsi="Arial" w:cs="Arial"/>
          <w:bCs/>
          <w:noProof/>
          <w:sz w:val="22"/>
          <w:szCs w:val="22"/>
        </w:rPr>
        <w:t xml:space="preserve"> </w:t>
      </w:r>
      <w:r w:rsidRPr="00A30AA8">
        <w:rPr>
          <w:rFonts w:ascii="Arial" w:hAnsi="Arial" w:cs="Arial"/>
          <w:b/>
          <w:bCs/>
          <w:noProof/>
          <w:sz w:val="22"/>
          <w:szCs w:val="22"/>
        </w:rPr>
        <w:t>20</w:t>
      </w:r>
      <w:r>
        <w:rPr>
          <w:rFonts w:ascii="Arial" w:hAnsi="Arial" w:cs="Arial"/>
          <w:bCs/>
          <w:noProof/>
          <w:sz w:val="22"/>
          <w:szCs w:val="22"/>
        </w:rPr>
        <w:t>, 352 (2019).</w:t>
      </w:r>
    </w:p>
    <w:p w14:paraId="2850BD6A"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47.</w:t>
      </w:r>
      <w:r>
        <w:rPr>
          <w:rFonts w:ascii="Arial" w:hAnsi="Arial" w:cs="Arial"/>
          <w:bCs/>
          <w:noProof/>
          <w:sz w:val="22"/>
          <w:szCs w:val="22"/>
        </w:rPr>
        <w:tab/>
        <w:t xml:space="preserve">Schmeing, S. &amp; Robinson, M. D. ReSeq simulates realistic Illumina high-throughput sequencing data. </w:t>
      </w:r>
      <w:r w:rsidRPr="00A30AA8">
        <w:rPr>
          <w:rFonts w:ascii="Arial" w:hAnsi="Arial" w:cs="Arial"/>
          <w:bCs/>
          <w:i/>
          <w:noProof/>
          <w:sz w:val="22"/>
          <w:szCs w:val="22"/>
        </w:rPr>
        <w:t>Genome Biol.</w:t>
      </w:r>
      <w:r>
        <w:rPr>
          <w:rFonts w:ascii="Arial" w:hAnsi="Arial" w:cs="Arial"/>
          <w:bCs/>
          <w:noProof/>
          <w:sz w:val="22"/>
          <w:szCs w:val="22"/>
        </w:rPr>
        <w:t xml:space="preserve"> </w:t>
      </w:r>
      <w:r w:rsidRPr="00A30AA8">
        <w:rPr>
          <w:rFonts w:ascii="Arial" w:hAnsi="Arial" w:cs="Arial"/>
          <w:b/>
          <w:bCs/>
          <w:noProof/>
          <w:sz w:val="22"/>
          <w:szCs w:val="22"/>
        </w:rPr>
        <w:t>22</w:t>
      </w:r>
      <w:r>
        <w:rPr>
          <w:rFonts w:ascii="Arial" w:hAnsi="Arial" w:cs="Arial"/>
          <w:bCs/>
          <w:noProof/>
          <w:sz w:val="22"/>
          <w:szCs w:val="22"/>
        </w:rPr>
        <w:t>, 67 (2021).</w:t>
      </w:r>
    </w:p>
    <w:p w14:paraId="1D625859" w14:textId="77777777" w:rsidR="00A30AA8" w:rsidRDefault="00A30AA8"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Amarasinghe, S. L. </w:t>
      </w:r>
      <w:r w:rsidRPr="00A30AA8">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A30AA8">
        <w:rPr>
          <w:rFonts w:ascii="Arial" w:hAnsi="Arial" w:cs="Arial"/>
          <w:bCs/>
          <w:i/>
          <w:noProof/>
          <w:sz w:val="22"/>
          <w:szCs w:val="22"/>
        </w:rPr>
        <w:t>Genome Biol.</w:t>
      </w:r>
      <w:r>
        <w:rPr>
          <w:rFonts w:ascii="Arial" w:hAnsi="Arial" w:cs="Arial"/>
          <w:bCs/>
          <w:noProof/>
          <w:sz w:val="22"/>
          <w:szCs w:val="22"/>
        </w:rPr>
        <w:t xml:space="preserve"> </w:t>
      </w:r>
      <w:r w:rsidRPr="00A30AA8">
        <w:rPr>
          <w:rFonts w:ascii="Arial" w:hAnsi="Arial" w:cs="Arial"/>
          <w:b/>
          <w:bCs/>
          <w:noProof/>
          <w:sz w:val="22"/>
          <w:szCs w:val="22"/>
        </w:rPr>
        <w:t>21</w:t>
      </w:r>
      <w:r>
        <w:rPr>
          <w:rFonts w:ascii="Arial" w:hAnsi="Arial" w:cs="Arial"/>
          <w:bCs/>
          <w:noProof/>
          <w:sz w:val="22"/>
          <w:szCs w:val="22"/>
        </w:rPr>
        <w:t>, 30 (2020).</w:t>
      </w:r>
    </w:p>
    <w:p w14:paraId="1C1C0747" w14:textId="60E419C8" w:rsidR="00CA0D47" w:rsidRPr="00EB5B39" w:rsidRDefault="00A30AA8"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49.</w:t>
      </w:r>
      <w:r>
        <w:rPr>
          <w:rFonts w:ascii="Arial" w:hAnsi="Arial" w:cs="Arial"/>
          <w:bCs/>
          <w:noProof/>
          <w:sz w:val="22"/>
          <w:szCs w:val="22"/>
        </w:rPr>
        <w:tab/>
        <w:t xml:space="preserve">Tareen, A. </w:t>
      </w:r>
      <w:r w:rsidRPr="00A30AA8">
        <w:rPr>
          <w:rFonts w:ascii="Arial" w:hAnsi="Arial" w:cs="Arial"/>
          <w:bCs/>
          <w:i/>
          <w:noProof/>
          <w:sz w:val="22"/>
          <w:szCs w:val="22"/>
        </w:rPr>
        <w:t>et al.</w:t>
      </w:r>
      <w:r>
        <w:rPr>
          <w:rFonts w:ascii="Arial" w:hAnsi="Arial" w:cs="Arial"/>
          <w:bCs/>
          <w:noProof/>
          <w:sz w:val="22"/>
          <w:szCs w:val="22"/>
        </w:rPr>
        <w:t xml:space="preserve"> MAVE-NN: learning genotype-phenotype maps from multiplex assays of variant effect. </w:t>
      </w:r>
      <w:r w:rsidRPr="00A30AA8">
        <w:rPr>
          <w:rFonts w:ascii="Arial" w:hAnsi="Arial" w:cs="Arial"/>
          <w:bCs/>
          <w:i/>
          <w:noProof/>
          <w:sz w:val="22"/>
          <w:szCs w:val="22"/>
        </w:rPr>
        <w:t>Genome Biol.</w:t>
      </w:r>
      <w:r>
        <w:rPr>
          <w:rFonts w:ascii="Arial" w:hAnsi="Arial" w:cs="Arial"/>
          <w:bCs/>
          <w:noProof/>
          <w:sz w:val="22"/>
          <w:szCs w:val="22"/>
        </w:rPr>
        <w:t xml:space="preserve"> </w:t>
      </w:r>
      <w:r w:rsidRPr="00A30AA8">
        <w:rPr>
          <w:rFonts w:ascii="Arial" w:hAnsi="Arial" w:cs="Arial"/>
          <w:b/>
          <w:bCs/>
          <w:noProof/>
          <w:sz w:val="22"/>
          <w:szCs w:val="22"/>
        </w:rPr>
        <w:t>23</w:t>
      </w:r>
      <w:r>
        <w:rPr>
          <w:rFonts w:ascii="Arial" w:hAnsi="Arial" w:cs="Arial"/>
          <w:bCs/>
          <w:noProof/>
          <w:sz w:val="22"/>
          <w:szCs w:val="22"/>
        </w:rPr>
        <w:t>, 98 (2022).</w:t>
      </w:r>
      <w:r w:rsidR="00CA0D47">
        <w:rPr>
          <w:rFonts w:ascii="Arial" w:hAnsi="Arial" w:cs="Arial"/>
          <w:b/>
          <w:bCs/>
          <w:sz w:val="22"/>
          <w:szCs w:val="22"/>
        </w:rPr>
        <w:fldChar w:fldCharType="end"/>
      </w:r>
    </w:p>
    <w:sectPr w:rsidR="00CA0D47" w:rsidRPr="00EB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1"/>
  </w:num>
  <w:num w:numId="2" w16cid:durableId="2023821509">
    <w:abstractNumId w:val="0"/>
  </w:num>
  <w:num w:numId="3" w16cid:durableId="360060340">
    <w:abstractNumId w:val="2"/>
  </w:num>
  <w:num w:numId="4" w16cid:durableId="1147284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6E96"/>
    <w:rsid w:val="000078B4"/>
    <w:rsid w:val="0002290E"/>
    <w:rsid w:val="000427E3"/>
    <w:rsid w:val="000904AC"/>
    <w:rsid w:val="00097277"/>
    <w:rsid w:val="000B1E41"/>
    <w:rsid w:val="000C4D62"/>
    <w:rsid w:val="000D2F94"/>
    <w:rsid w:val="000D650F"/>
    <w:rsid w:val="000E0D01"/>
    <w:rsid w:val="000E443D"/>
    <w:rsid w:val="00114868"/>
    <w:rsid w:val="00132BB8"/>
    <w:rsid w:val="00142359"/>
    <w:rsid w:val="00146700"/>
    <w:rsid w:val="001A1677"/>
    <w:rsid w:val="00200566"/>
    <w:rsid w:val="00260826"/>
    <w:rsid w:val="00284C66"/>
    <w:rsid w:val="002954E7"/>
    <w:rsid w:val="002A4487"/>
    <w:rsid w:val="002A764C"/>
    <w:rsid w:val="002A7B30"/>
    <w:rsid w:val="002C0C24"/>
    <w:rsid w:val="002D759D"/>
    <w:rsid w:val="002E030C"/>
    <w:rsid w:val="002E6BAC"/>
    <w:rsid w:val="00306448"/>
    <w:rsid w:val="003666F1"/>
    <w:rsid w:val="00371BE0"/>
    <w:rsid w:val="00394E75"/>
    <w:rsid w:val="003B7F7F"/>
    <w:rsid w:val="003C628F"/>
    <w:rsid w:val="003D46B6"/>
    <w:rsid w:val="00423233"/>
    <w:rsid w:val="004232E5"/>
    <w:rsid w:val="004464C4"/>
    <w:rsid w:val="00480BF9"/>
    <w:rsid w:val="00493EAE"/>
    <w:rsid w:val="004B78F7"/>
    <w:rsid w:val="00564853"/>
    <w:rsid w:val="00595A27"/>
    <w:rsid w:val="0060210C"/>
    <w:rsid w:val="0060261D"/>
    <w:rsid w:val="00614613"/>
    <w:rsid w:val="00622755"/>
    <w:rsid w:val="00624BAA"/>
    <w:rsid w:val="00641115"/>
    <w:rsid w:val="00677E2A"/>
    <w:rsid w:val="00706ECD"/>
    <w:rsid w:val="0078423E"/>
    <w:rsid w:val="00786D26"/>
    <w:rsid w:val="0079764C"/>
    <w:rsid w:val="007C0215"/>
    <w:rsid w:val="008241C1"/>
    <w:rsid w:val="008671BA"/>
    <w:rsid w:val="008C7AD9"/>
    <w:rsid w:val="008D1AA0"/>
    <w:rsid w:val="008E6DE3"/>
    <w:rsid w:val="00914DEF"/>
    <w:rsid w:val="00937364"/>
    <w:rsid w:val="00976121"/>
    <w:rsid w:val="009F0B68"/>
    <w:rsid w:val="00A121C1"/>
    <w:rsid w:val="00A30AA8"/>
    <w:rsid w:val="00A453A8"/>
    <w:rsid w:val="00A50B68"/>
    <w:rsid w:val="00A51174"/>
    <w:rsid w:val="00A513C1"/>
    <w:rsid w:val="00A638F8"/>
    <w:rsid w:val="00AA5E16"/>
    <w:rsid w:val="00B01AFE"/>
    <w:rsid w:val="00B106B7"/>
    <w:rsid w:val="00B11743"/>
    <w:rsid w:val="00B24656"/>
    <w:rsid w:val="00B554B0"/>
    <w:rsid w:val="00BB0821"/>
    <w:rsid w:val="00BF110C"/>
    <w:rsid w:val="00C1261B"/>
    <w:rsid w:val="00C32715"/>
    <w:rsid w:val="00C72932"/>
    <w:rsid w:val="00C75DAD"/>
    <w:rsid w:val="00C97664"/>
    <w:rsid w:val="00CA0D47"/>
    <w:rsid w:val="00CD16DE"/>
    <w:rsid w:val="00CE20AB"/>
    <w:rsid w:val="00CE264C"/>
    <w:rsid w:val="00CE5379"/>
    <w:rsid w:val="00CF150B"/>
    <w:rsid w:val="00CF41ED"/>
    <w:rsid w:val="00D04C83"/>
    <w:rsid w:val="00D234F8"/>
    <w:rsid w:val="00D45262"/>
    <w:rsid w:val="00D5145D"/>
    <w:rsid w:val="00DA516F"/>
    <w:rsid w:val="00DA5C46"/>
    <w:rsid w:val="00DD3170"/>
    <w:rsid w:val="00DE2F35"/>
    <w:rsid w:val="00DE630F"/>
    <w:rsid w:val="00DF2BC9"/>
    <w:rsid w:val="00E111A6"/>
    <w:rsid w:val="00E32F9D"/>
    <w:rsid w:val="00E330A0"/>
    <w:rsid w:val="00E93CDC"/>
    <w:rsid w:val="00EB2395"/>
    <w:rsid w:val="00EB5B39"/>
    <w:rsid w:val="00EC5BA9"/>
    <w:rsid w:val="00ED5A3F"/>
    <w:rsid w:val="00EE219B"/>
    <w:rsid w:val="00F26383"/>
    <w:rsid w:val="00F3041D"/>
    <w:rsid w:val="00F37B07"/>
    <w:rsid w:val="00F46115"/>
    <w:rsid w:val="00F54B0C"/>
    <w:rsid w:val="00F9772C"/>
    <w:rsid w:val="00FA759F"/>
    <w:rsid w:val="00FB42BA"/>
    <w:rsid w:val="00FB6579"/>
    <w:rsid w:val="00FC0257"/>
    <w:rsid w:val="00FE469D"/>
    <w:rsid w:val="00FE6CEB"/>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10</Pages>
  <Words>32775</Words>
  <Characters>180268</Characters>
  <Application>Microsoft Office Word</Application>
  <DocSecurity>0</DocSecurity>
  <Lines>2690</Lines>
  <Paragraphs>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38</cp:revision>
  <dcterms:created xsi:type="dcterms:W3CDTF">2023-03-30T14:01:00Z</dcterms:created>
  <dcterms:modified xsi:type="dcterms:W3CDTF">2023-04-01T03:09:00Z</dcterms:modified>
</cp:coreProperties>
</file>