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commentRangeStart w:id="0"/>
      <w:r>
        <w:rPr>
          <w:rFonts w:ascii="Arial" w:hAnsi="Arial" w:cs="Arial"/>
          <w:b/>
          <w:bCs/>
          <w:sz w:val="22"/>
          <w:szCs w:val="22"/>
        </w:rPr>
        <w:t>Significance</w:t>
      </w:r>
      <w:commentRangeEnd w:id="0"/>
      <w:r w:rsidR="00455B33">
        <w:rPr>
          <w:rStyle w:val="CommentReference"/>
          <w:rFonts w:ascii="Arial" w:eastAsia="Arial" w:hAnsi="Arial" w:cs="Arial"/>
        </w:rPr>
        <w:commentReference w:id="0"/>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34E76E38" w14:textId="773F55C3" w:rsidR="000031A1" w:rsidRPr="002E32BF" w:rsidRDefault="008A54C9" w:rsidP="008A54C9">
      <w:pPr>
        <w:tabs>
          <w:tab w:val="left" w:pos="1158"/>
        </w:tabs>
        <w:spacing w:after="120"/>
        <w:rPr>
          <w:rFonts w:ascii="Arial" w:hAnsi="Arial" w:cs="Arial"/>
          <w:sz w:val="22"/>
          <w:szCs w:val="22"/>
        </w:rPr>
      </w:pPr>
      <w:r>
        <w:rPr>
          <w:rFonts w:ascii="Arial" w:hAnsi="Arial" w:cs="Arial"/>
          <w:sz w:val="22"/>
          <w:szCs w:val="22"/>
        </w:rPr>
        <w:t xml:space="preserve">A major outstanding question in the field of splicing is </w:t>
      </w:r>
      <w:r w:rsidR="008B1174">
        <w:rPr>
          <w:rFonts w:ascii="Arial" w:hAnsi="Arial" w:cs="Arial"/>
          <w:sz w:val="22"/>
          <w:szCs w:val="22"/>
        </w:rPr>
        <w:t>how are the</w:t>
      </w:r>
      <w:r w:rsidR="002E32BF">
        <w:rPr>
          <w:rFonts w:ascii="Arial" w:hAnsi="Arial" w:cs="Arial"/>
          <w:sz w:val="22"/>
          <w:szCs w:val="22"/>
        </w:rPr>
        <w:t xml:space="preserve"> parts of a pre-mRNA to include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002E32BF">
        <w:rPr>
          <w:rFonts w:ascii="Arial" w:hAnsi="Arial" w:cs="Arial"/>
          <w:sz w:val="22"/>
          <w:szCs w:val="22"/>
        </w:rPr>
        <w:t xml:space="preserve">, which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 have revolutionized our ability to understand the regulatory mechanisms of splicing.</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286CA2">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These assays</w:t>
      </w:r>
      <w:r w:rsidR="00CC4BC4">
        <w:rPr>
          <w:rFonts w:ascii="Arial" w:hAnsi="Arial" w:cs="Arial"/>
          <w:sz w:val="22"/>
          <w:szCs w:val="22"/>
        </w:rPr>
        <w:t xml:space="preserve"> </w:t>
      </w:r>
      <w:r w:rsidR="00CC4BC4">
        <w:rPr>
          <w:rFonts w:ascii="Arial" w:hAnsi="Arial" w:cs="Arial"/>
          <w:sz w:val="22"/>
          <w:szCs w:val="22"/>
        </w:rPr>
        <w:t>link the sequence of the pre-mRNA to a</w:t>
      </w:r>
      <w:r w:rsidR="00CC4BC4">
        <w:rPr>
          <w:rFonts w:ascii="Arial" w:hAnsi="Arial" w:cs="Arial"/>
          <w:sz w:val="22"/>
          <w:szCs w:val="22"/>
        </w:rPr>
        <w:t xml:space="preserve"> barcode and then either compare barcode abundances between two conditions as a proxy for splicing or directly sequence the splice junction of interest and the barcode to observe the isoform distribution of each variant. These ass</w:t>
      </w:r>
      <w:r w:rsidR="003F4DBF">
        <w:rPr>
          <w:rFonts w:ascii="Arial" w:hAnsi="Arial" w:cs="Arial"/>
          <w:sz w:val="22"/>
          <w:szCs w:val="22"/>
        </w:rPr>
        <w:t>ays have allowed large scale identification of human sequence variants that cause isoform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286CA2">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286CA2">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286CA2">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sidR="008B1174">
        <w:rPr>
          <w:rFonts w:ascii="Arial" w:hAnsi="Arial" w:cs="Arial"/>
          <w:sz w:val="22"/>
          <w:szCs w:val="22"/>
        </w:rPr>
        <w:t xml:space="preserve"> studies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48F8801C" w14:textId="344E8E76" w:rsidR="000031A1" w:rsidRPr="00FF5F23"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636CB9" w:rsidRPr="00286CA2">
        <w:rPr>
          <w:rFonts w:ascii="Arial" w:hAnsi="Arial" w:cs="Arial"/>
          <w:noProof/>
          <w:sz w:val="22"/>
          <w:szCs w:val="22"/>
          <w:vertAlign w:val="superscript"/>
        </w:rPr>
        <w:t>5,9,16,17</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forcibly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286CA2">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636CB9" w:rsidRPr="00286CA2">
        <w:rPr>
          <w:rFonts w:ascii="Arial" w:hAnsi="Arial" w:cs="Arial"/>
          <w:noProof/>
          <w:sz w:val="22"/>
          <w:szCs w:val="22"/>
          <w:vertAlign w:val="superscript"/>
        </w:rPr>
        <w:t>18</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286CA2" w:rsidRPr="00286CA2">
        <w:rPr>
          <w:rFonts w:ascii="Arial" w:hAnsi="Arial" w:cs="Arial"/>
          <w:noProof/>
          <w:color w:val="000000" w:themeColor="text1"/>
          <w:sz w:val="22"/>
          <w:szCs w:val="22"/>
          <w:vertAlign w:val="superscript"/>
        </w:rPr>
        <w:t>16,17,19–21</w:t>
      </w:r>
      <w:r w:rsidR="00286CA2">
        <w:rPr>
          <w:rFonts w:ascii="Arial" w:hAnsi="Arial" w:cs="Arial"/>
          <w:color w:val="000000" w:themeColor="text1"/>
          <w:sz w:val="22"/>
          <w:szCs w:val="22"/>
        </w:rPr>
        <w:fldChar w:fldCharType="end"/>
      </w:r>
      <w:r w:rsidR="00636CB9">
        <w:rPr>
          <w:rFonts w:ascii="Arial" w:hAnsi="Arial" w:cs="Arial"/>
          <w:sz w:val="22"/>
          <w:szCs w:val="22"/>
        </w:rPr>
        <w:t xml:space="preserve"> so this strategy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This problem does not only occur in the context of large introns, splicing phenomenon where the splicing fate of more than one exon is important can also easily generate isoforms with no included introns that are too large to be covered by an illumina read.</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286CA2" w:rsidRPr="00286CA2">
        <w:rPr>
          <w:rFonts w:ascii="Arial" w:hAnsi="Arial" w:cs="Arial"/>
          <w:noProof/>
          <w:sz w:val="22"/>
          <w:szCs w:val="22"/>
          <w:vertAlign w:val="superscript"/>
        </w:rPr>
        <w:t>16</w:t>
      </w:r>
      <w:r w:rsidR="00286CA2">
        <w:rPr>
          <w:rFonts w:ascii="Arial" w:hAnsi="Arial" w:cs="Arial"/>
          <w:sz w:val="22"/>
          <w:szCs w:val="22"/>
        </w:rPr>
        <w:fldChar w:fldCharType="end"/>
      </w:r>
      <w:r w:rsidR="00286CA2">
        <w:rPr>
          <w:rFonts w:ascii="Arial" w:hAnsi="Arial" w:cs="Arial"/>
          <w:sz w:val="22"/>
          <w:szCs w:val="22"/>
        </w:rPr>
        <w:t xml:space="preserve"> Creating MPSA methods that are able to measure the full diversity of isoforms produced by alternative splicing will allow both higher quality data in simple splicing contexts and allow extension of MPSA methods </w:t>
      </w:r>
      <w:r w:rsidR="000A477A">
        <w:rPr>
          <w:rFonts w:ascii="Arial" w:hAnsi="Arial" w:cs="Arial"/>
          <w:sz w:val="22"/>
          <w:szCs w:val="22"/>
        </w:rPr>
        <w:t>to the study of more complicated splicing events.</w:t>
      </w:r>
    </w:p>
    <w:p w14:paraId="62ECAE8B" w14:textId="38971D18"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Pr>
          <w:rFonts w:ascii="Arial" w:hAnsi="Arial" w:cs="Arial"/>
          <w:sz w:val="22"/>
          <w:szCs w:val="22"/>
          <w:u w:val="single"/>
        </w:rPr>
        <w:t>2</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both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821520">
        <w:rPr>
          <w:rFonts w:ascii="Arial" w:hAnsi="Arial" w:cs="Arial"/>
          <w:sz w:val="22"/>
          <w:szCs w:val="22"/>
        </w:rPr>
        <w:t xml:space="preserve">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02D73178" w14:textId="0D237060" w:rsidR="00EE6656" w:rsidRPr="00D72824" w:rsidRDefault="0014166D" w:rsidP="00FC0257">
      <w:pPr>
        <w:spacing w:after="120"/>
        <w:rPr>
          <w:rFonts w:ascii="Arial" w:hAnsi="Arial" w:cs="Arial"/>
          <w:sz w:val="22"/>
          <w:szCs w:val="22"/>
        </w:rPr>
      </w:pPr>
      <w:r>
        <w:rPr>
          <w:rFonts w:ascii="Arial" w:hAnsi="Arial" w:cs="Arial"/>
          <w:sz w:val="22"/>
          <w:szCs w:val="22"/>
          <w:u w:val="single"/>
        </w:rPr>
        <w:t xml:space="preserve">Barrier to progress 3: There is no MPSA </w:t>
      </w:r>
      <w:r w:rsidR="00D72824">
        <w:rPr>
          <w:rFonts w:ascii="Arial" w:hAnsi="Arial" w:cs="Arial"/>
          <w:sz w:val="22"/>
          <w:szCs w:val="22"/>
          <w:u w:val="single"/>
        </w:rPr>
        <w:t>technique optimized for understanding correlated splicing.</w:t>
      </w:r>
      <w:r w:rsidR="00D72824">
        <w:rPr>
          <w:rFonts w:ascii="Arial" w:hAnsi="Arial" w:cs="Arial"/>
          <w:sz w:val="22"/>
          <w:szCs w:val="22"/>
        </w:rPr>
        <w:t xml:space="preserve"> Recent work has revealed that correlated splicing is far more common than previously understood.</w:t>
      </w:r>
      <w:r w:rsidR="00D72824">
        <w:rPr>
          <w:rFonts w:ascii="Arial" w:hAnsi="Arial" w:cs="Arial"/>
          <w:sz w:val="22"/>
          <w:szCs w:val="22"/>
        </w:rPr>
        <w:fldChar w:fldCharType="begin" w:fldLock="1"/>
      </w:r>
      <w:r w:rsidR="00D72824">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D72824">
        <w:rPr>
          <w:rFonts w:ascii="Arial" w:hAnsi="Arial" w:cs="Arial"/>
          <w:sz w:val="22"/>
          <w:szCs w:val="22"/>
        </w:rPr>
        <w:fldChar w:fldCharType="separate"/>
      </w:r>
      <w:r w:rsidR="00D72824" w:rsidRPr="00D72824">
        <w:rPr>
          <w:rFonts w:ascii="Arial" w:hAnsi="Arial" w:cs="Arial"/>
          <w:noProof/>
          <w:sz w:val="22"/>
          <w:szCs w:val="22"/>
          <w:vertAlign w:val="superscript"/>
        </w:rPr>
        <w:t>22–25</w:t>
      </w:r>
      <w:r w:rsidR="00D72824">
        <w:rPr>
          <w:rFonts w:ascii="Arial" w:hAnsi="Arial" w:cs="Arial"/>
          <w:sz w:val="22"/>
          <w:szCs w:val="22"/>
        </w:rPr>
        <w:fldChar w:fldCharType="end"/>
      </w:r>
      <w:r w:rsidR="00D72824">
        <w:rPr>
          <w:rFonts w:ascii="Arial" w:hAnsi="Arial" w:cs="Arial"/>
          <w:sz w:val="22"/>
          <w:szCs w:val="22"/>
        </w:rPr>
        <w:t xml:space="preserve"> The simplest and best characterized form of correlated splicing is known as mutually exclusive exon splicing. </w:t>
      </w:r>
      <w:r w:rsidR="00D72824">
        <w:rPr>
          <w:rFonts w:ascii="Arial" w:hAnsi="Arial" w:cs="Arial"/>
          <w:sz w:val="22"/>
          <w:szCs w:val="22"/>
        </w:rPr>
        <w:t>Mutually exclusive exons are clusters of exons where exactly one exon from the cluster is included in the final transcript.</w:t>
      </w:r>
      <w:r w:rsidR="00D72824">
        <w:rPr>
          <w:rFonts w:ascii="Arial" w:hAnsi="Arial" w:cs="Arial"/>
          <w:sz w:val="22"/>
          <w:szCs w:val="22"/>
        </w:rPr>
        <w:t xml:space="preserve"> </w:t>
      </w:r>
      <w:r w:rsidR="00D72824">
        <w:rPr>
          <w:rFonts w:ascii="Arial" w:hAnsi="Arial" w:cs="Arial"/>
          <w:sz w:val="22"/>
          <w:szCs w:val="22"/>
        </w:rPr>
        <w:t>Mutually exclusive exons are important for regulating a wide variety of processes including cell fate determination, neural development, and muscle development.</w:t>
      </w:r>
      <w:r w:rsidR="00D72824">
        <w:rPr>
          <w:rFonts w:ascii="Arial" w:hAnsi="Arial" w:cs="Arial"/>
          <w:sz w:val="22"/>
          <w:szCs w:val="22"/>
        </w:rPr>
        <w:fldChar w:fldCharType="begin" w:fldLock="1"/>
      </w:r>
      <w:r w:rsidR="00D72824">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72824">
        <w:rPr>
          <w:rFonts w:ascii="Arial" w:hAnsi="Arial" w:cs="Arial"/>
          <w:sz w:val="22"/>
          <w:szCs w:val="22"/>
        </w:rPr>
        <w:fldChar w:fldCharType="separate"/>
      </w:r>
      <w:r w:rsidR="00D72824" w:rsidRPr="00286CA2">
        <w:rPr>
          <w:rFonts w:ascii="Arial" w:hAnsi="Arial" w:cs="Arial"/>
          <w:noProof/>
          <w:sz w:val="22"/>
          <w:szCs w:val="22"/>
          <w:vertAlign w:val="superscript"/>
        </w:rPr>
        <w:t>19</w:t>
      </w:r>
      <w:r w:rsidR="00D72824">
        <w:rPr>
          <w:rFonts w:ascii="Arial" w:hAnsi="Arial" w:cs="Arial"/>
          <w:sz w:val="22"/>
          <w:szCs w:val="22"/>
        </w:rPr>
        <w:fldChar w:fldCharType="end"/>
      </w:r>
      <w:r w:rsidR="00D72824">
        <w:rPr>
          <w:rFonts w:ascii="Arial" w:hAnsi="Arial" w:cs="Arial"/>
          <w:sz w:val="22"/>
          <w:szCs w:val="22"/>
        </w:rPr>
        <w:t xml:space="preserve"> Furthermore, mutations in mutually exclusive exons or changes in their splicing are involved in diseases including Timothy syndrome, cancer, heart disease, and cardiomyopathy.</w:t>
      </w:r>
      <w:r w:rsidR="00D72824">
        <w:rPr>
          <w:rFonts w:ascii="Arial" w:hAnsi="Arial" w:cs="Arial"/>
          <w:sz w:val="22"/>
          <w:szCs w:val="22"/>
        </w:rPr>
        <w:fldChar w:fldCharType="begin" w:fldLock="1"/>
      </w:r>
      <w:r w:rsidR="00D72824">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72824">
        <w:rPr>
          <w:rFonts w:ascii="Arial" w:hAnsi="Arial" w:cs="Arial"/>
          <w:sz w:val="22"/>
          <w:szCs w:val="22"/>
        </w:rPr>
        <w:fldChar w:fldCharType="separate"/>
      </w:r>
      <w:r w:rsidR="00D72824" w:rsidRPr="00286CA2">
        <w:rPr>
          <w:rFonts w:ascii="Arial" w:hAnsi="Arial" w:cs="Arial"/>
          <w:noProof/>
          <w:sz w:val="22"/>
          <w:szCs w:val="22"/>
          <w:vertAlign w:val="superscript"/>
        </w:rPr>
        <w:t>19</w:t>
      </w:r>
      <w:r w:rsidR="00D72824">
        <w:rPr>
          <w:rFonts w:ascii="Arial" w:hAnsi="Arial" w:cs="Arial"/>
          <w:sz w:val="22"/>
          <w:szCs w:val="22"/>
        </w:rPr>
        <w:fldChar w:fldCharType="end"/>
      </w:r>
      <w:r w:rsidR="00D72824">
        <w:rPr>
          <w:rFonts w:ascii="Arial" w:hAnsi="Arial" w:cs="Arial"/>
          <w:sz w:val="22"/>
          <w:szCs w:val="22"/>
        </w:rPr>
        <w:t xml:space="preserve"> </w:t>
      </w:r>
      <w:r w:rsidR="00B93B6D">
        <w:rPr>
          <w:rFonts w:ascii="Arial" w:hAnsi="Arial" w:cs="Arial"/>
          <w:sz w:val="22"/>
          <w:szCs w:val="22"/>
        </w:rPr>
        <w:t>Despite their importance to biological processes</w:t>
      </w:r>
      <w:r w:rsidR="00D72824">
        <w:rPr>
          <w:rFonts w:ascii="Arial" w:hAnsi="Arial" w:cs="Arial"/>
          <w:sz w:val="22"/>
          <w:szCs w:val="22"/>
        </w:rPr>
        <w:t>, more than 75% of human mutually exclusive exon clusters have no known mechanism of maintaining mutual exclusivity.</w:t>
      </w:r>
      <w:r w:rsidR="00D72824">
        <w:rPr>
          <w:rFonts w:ascii="Arial" w:hAnsi="Arial" w:cs="Arial"/>
          <w:sz w:val="22"/>
          <w:szCs w:val="22"/>
        </w:rPr>
        <w:fldChar w:fldCharType="begin" w:fldLock="1"/>
      </w:r>
      <w:r w:rsidR="00D72824">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72824">
        <w:rPr>
          <w:rFonts w:ascii="Arial" w:hAnsi="Arial" w:cs="Arial"/>
          <w:sz w:val="22"/>
          <w:szCs w:val="22"/>
        </w:rPr>
        <w:fldChar w:fldCharType="separate"/>
      </w:r>
      <w:r w:rsidR="00D72824" w:rsidRPr="00D72824">
        <w:rPr>
          <w:rFonts w:ascii="Arial" w:hAnsi="Arial" w:cs="Arial"/>
          <w:noProof/>
          <w:sz w:val="22"/>
          <w:szCs w:val="22"/>
          <w:vertAlign w:val="superscript"/>
        </w:rPr>
        <w:t>22</w:t>
      </w:r>
      <w:r w:rsidR="00D72824">
        <w:rPr>
          <w:rFonts w:ascii="Arial" w:hAnsi="Arial" w:cs="Arial"/>
          <w:sz w:val="22"/>
          <w:szCs w:val="22"/>
        </w:rPr>
        <w:fldChar w:fldCharType="end"/>
      </w:r>
      <w:r w:rsidR="00B93B6D">
        <w:rPr>
          <w:rFonts w:ascii="Arial" w:hAnsi="Arial" w:cs="Arial"/>
          <w:sz w:val="22"/>
          <w:szCs w:val="22"/>
        </w:rPr>
        <w:t xml:space="preserve"> </w:t>
      </w:r>
      <w:r w:rsidR="005F7DDA">
        <w:rPr>
          <w:rFonts w:ascii="Arial" w:hAnsi="Arial" w:cs="Arial"/>
          <w:sz w:val="22"/>
          <w:szCs w:val="22"/>
        </w:rPr>
        <w:t xml:space="preserve">Correlated splicing and mutually exclusive exons represent an important class of splicing events that has been largely inaccessible to MPSA techniques. This </w:t>
      </w:r>
      <w:r w:rsidR="00036619">
        <w:rPr>
          <w:rFonts w:ascii="Arial" w:hAnsi="Arial" w:cs="Arial"/>
          <w:sz w:val="22"/>
          <w:szCs w:val="22"/>
        </w:rPr>
        <w:t>is due to the need for MPSAs that are open to the diversity of isoforms that can be produced by these systems (see barrier to progress 1) and to the need for new data analysis methods that can handle this data (see barrier to progress 2), but also to the lack of experimental methods designed and optimized for picking apart this type of regulation.</w:t>
      </w:r>
    </w:p>
    <w:p w14:paraId="6F763E52" w14:textId="7F43F022" w:rsidR="00125AB4" w:rsidRPr="008A54C9" w:rsidRDefault="008A54C9" w:rsidP="00FC0257">
      <w:pPr>
        <w:spacing w:after="120"/>
        <w:rPr>
          <w:rFonts w:ascii="Arial" w:hAnsi="Arial" w:cs="Arial"/>
          <w:i/>
          <w:iCs/>
          <w:sz w:val="22"/>
          <w:szCs w:val="22"/>
        </w:rPr>
      </w:pPr>
      <w:r>
        <w:rPr>
          <w:rFonts w:ascii="Arial" w:hAnsi="Arial" w:cs="Arial"/>
          <w:i/>
          <w:iCs/>
          <w:sz w:val="22"/>
          <w:szCs w:val="22"/>
        </w:rPr>
        <w:t xml:space="preserve">This proposal will overcome these barriers to </w:t>
      </w:r>
    </w:p>
    <w:p w14:paraId="37E03FB0" w14:textId="22287095" w:rsidR="00CA0D47" w:rsidRDefault="00B11743" w:rsidP="00FC0257">
      <w:pPr>
        <w:spacing w:after="120"/>
        <w:rPr>
          <w:rFonts w:ascii="Arial" w:hAnsi="Arial" w:cs="Arial"/>
          <w:sz w:val="22"/>
          <w:szCs w:val="22"/>
        </w:rPr>
      </w:pPr>
      <w:r>
        <w:rPr>
          <w:rFonts w:ascii="Arial" w:hAnsi="Arial" w:cs="Arial"/>
          <w:sz w:val="22"/>
          <w:szCs w:val="22"/>
        </w:rPr>
        <w:lastRenderedPageBreak/>
        <w:t xml:space="preserve">.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D72824" w:rsidRPr="00D72824">
        <w:rPr>
          <w:rFonts w:ascii="Arial" w:hAnsi="Arial" w:cs="Arial"/>
          <w:noProof/>
          <w:sz w:val="22"/>
          <w:szCs w:val="22"/>
          <w:vertAlign w:val="superscript"/>
        </w:rPr>
        <w:t>26</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D72824" w:rsidRPr="00D72824">
        <w:rPr>
          <w:rFonts w:ascii="Arial" w:hAnsi="Arial" w:cs="Arial"/>
          <w:noProof/>
          <w:sz w:val="22"/>
          <w:szCs w:val="22"/>
          <w:vertAlign w:val="superscript"/>
        </w:rPr>
        <w:t>27</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D72824" w:rsidRPr="00D72824">
        <w:rPr>
          <w:rFonts w:ascii="Arial" w:hAnsi="Arial" w:cs="Arial"/>
          <w:noProof/>
          <w:sz w:val="22"/>
          <w:szCs w:val="22"/>
          <w:vertAlign w:val="superscript"/>
        </w:rPr>
        <w:t>28</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 xml:space="preserve">Improving our understanding of splicing will deepen our knowledge of development and differentiation </w:t>
      </w:r>
      <w:r w:rsidR="00466E15">
        <w:rPr>
          <w:rFonts w:ascii="Arial" w:hAnsi="Arial" w:cs="Arial"/>
          <w:sz w:val="22"/>
          <w:szCs w:val="22"/>
        </w:rPr>
        <w:t>as well as improve</w:t>
      </w:r>
      <w:r w:rsidR="00493EAE" w:rsidRPr="00493EAE">
        <w:rPr>
          <w:rFonts w:ascii="Arial" w:hAnsi="Arial" w:cs="Arial"/>
          <w:sz w:val="22"/>
          <w:szCs w:val="22"/>
        </w:rPr>
        <w:t xml:space="preserve"> our ability to target these processes with therapeutics.</w:t>
      </w:r>
      <w:r w:rsidR="00CA0D47">
        <w:rPr>
          <w:rFonts w:ascii="Arial" w:hAnsi="Arial" w:cs="Arial"/>
          <w:sz w:val="22"/>
          <w:szCs w:val="22"/>
        </w:rPr>
        <w:t xml:space="preserve"> </w:t>
      </w:r>
    </w:p>
    <w:p w14:paraId="54F1F965" w14:textId="68C3EAC9"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t>
      </w:r>
      <w:r w:rsidR="006723B0">
        <w:rPr>
          <w:rFonts w:ascii="Arial" w:hAnsi="Arial" w:cs="Arial"/>
          <w:sz w:val="22"/>
          <w:szCs w:val="22"/>
        </w:rPr>
        <w:t>where</w:t>
      </w:r>
      <w:r w:rsidR="003728B0">
        <w:rPr>
          <w:rFonts w:ascii="Arial" w:hAnsi="Arial" w:cs="Arial"/>
          <w:sz w:val="22"/>
          <w:szCs w:val="22"/>
        </w:rPr>
        <w:t xml:space="preserve"> exactly</w:t>
      </w:r>
      <w:r w:rsidR="00677E2A">
        <w:rPr>
          <w:rFonts w:ascii="Arial" w:hAnsi="Arial" w:cs="Arial"/>
          <w:sz w:val="22"/>
          <w:szCs w:val="22"/>
        </w:rPr>
        <w:t xml:space="preserve"> one exon from the cluster is inclu</w:t>
      </w:r>
      <w:r w:rsidR="006723B0">
        <w:rPr>
          <w:rFonts w:ascii="Arial" w:hAnsi="Arial" w:cs="Arial"/>
          <w:sz w:val="22"/>
          <w:szCs w:val="22"/>
        </w:rPr>
        <w:t>ded</w:t>
      </w:r>
      <w:r w:rsidR="00677E2A">
        <w:rPr>
          <w:rFonts w:ascii="Arial" w:hAnsi="Arial" w:cs="Arial"/>
          <w:sz w:val="22"/>
          <w:szCs w:val="22"/>
        </w:rPr>
        <w:t xml:space="preserve">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286CA2" w:rsidRPr="00286CA2">
        <w:rPr>
          <w:rFonts w:ascii="Arial" w:hAnsi="Arial" w:cs="Arial"/>
          <w:noProof/>
          <w:sz w:val="22"/>
          <w:szCs w:val="22"/>
          <w:vertAlign w:val="superscript"/>
        </w:rPr>
        <w:t>19</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t>
      </w:r>
      <w:r w:rsidR="006723B0">
        <w:rPr>
          <w:rFonts w:ascii="Arial" w:hAnsi="Arial" w:cs="Arial"/>
          <w:sz w:val="22"/>
          <w:szCs w:val="22"/>
        </w:rPr>
        <w:t>in</w:t>
      </w:r>
      <w:r w:rsidR="0060261D">
        <w:rPr>
          <w:rFonts w:ascii="Arial" w:hAnsi="Arial" w:cs="Arial"/>
          <w:sz w:val="22"/>
          <w:szCs w:val="22"/>
        </w:rPr>
        <w:t xml:space="preserve">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286CA2" w:rsidRPr="00286CA2">
        <w:rPr>
          <w:rFonts w:ascii="Arial" w:hAnsi="Arial" w:cs="Arial"/>
          <w:noProof/>
          <w:sz w:val="22"/>
          <w:szCs w:val="22"/>
          <w:vertAlign w:val="superscript"/>
        </w:rPr>
        <w:t>19</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w:t>
      </w:r>
      <w:r w:rsidR="003728B0" w:rsidRPr="003728B0">
        <w:rPr>
          <w:rFonts w:ascii="Arial" w:hAnsi="Arial" w:cs="Arial"/>
          <w:sz w:val="22"/>
          <w:szCs w:val="22"/>
        </w:rPr>
        <w:t xml:space="preserve">pathogenic </w:t>
      </w:r>
      <w:r w:rsidR="006723B0">
        <w:rPr>
          <w:rFonts w:ascii="Arial" w:hAnsi="Arial" w:cs="Arial"/>
          <w:sz w:val="22"/>
          <w:szCs w:val="22"/>
        </w:rPr>
        <w:t>variants</w:t>
      </w:r>
      <w:r w:rsidR="0060261D">
        <w:rPr>
          <w:rFonts w:ascii="Arial" w:hAnsi="Arial" w:cs="Arial"/>
          <w:sz w:val="22"/>
          <w:szCs w:val="22"/>
        </w:rPr>
        <w:t xml:space="preserve"> in </w:t>
      </w:r>
      <w:proofErr w:type="spellStart"/>
      <w:r w:rsidR="0060261D">
        <w:rPr>
          <w:rFonts w:ascii="Arial" w:hAnsi="Arial" w:cs="Arial"/>
          <w:sz w:val="22"/>
          <w:szCs w:val="22"/>
        </w:rPr>
        <w:t>clinvar</w:t>
      </w:r>
      <w:proofErr w:type="spellEnd"/>
      <w:r w:rsidR="006723B0">
        <w:rPr>
          <w:rFonts w:ascii="Arial" w:hAnsi="Arial" w:cs="Arial"/>
          <w:sz w:val="22"/>
          <w:szCs w:val="22"/>
        </w:rPr>
        <w:t xml:space="preserve"> as exons generally</w:t>
      </w:r>
      <w:r w:rsidR="0060261D">
        <w:rPr>
          <w:rFonts w:ascii="Arial" w:hAnsi="Arial" w:cs="Arial"/>
          <w:sz w:val="22"/>
          <w:szCs w:val="22"/>
        </w:rPr>
        <w: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D72824" w:rsidRPr="00D72824">
        <w:rPr>
          <w:rFonts w:ascii="Arial" w:hAnsi="Arial" w:cs="Arial"/>
          <w:noProof/>
          <w:sz w:val="22"/>
          <w:szCs w:val="22"/>
          <w:vertAlign w:val="superscript"/>
        </w:rPr>
        <w:t>22</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 xml:space="preserve">se </w:t>
      </w:r>
      <w:r w:rsidR="006723B0">
        <w:rPr>
          <w:rFonts w:ascii="Arial" w:hAnsi="Arial" w:cs="Arial"/>
          <w:sz w:val="22"/>
          <w:szCs w:val="22"/>
        </w:rPr>
        <w:t>variants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72824" w:rsidRPr="00D72824">
        <w:rPr>
          <w:rFonts w:ascii="Arial" w:hAnsi="Arial" w:cs="Arial"/>
          <w:noProof/>
          <w:sz w:val="22"/>
          <w:szCs w:val="22"/>
          <w:vertAlign w:val="superscript"/>
        </w:rPr>
        <w:t>22</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w:t>
      </w:r>
      <w:r w:rsidR="006723B0">
        <w:rPr>
          <w:rFonts w:ascii="Arial" w:hAnsi="Arial" w:cs="Arial"/>
          <w:sz w:val="22"/>
          <w:szCs w:val="22"/>
        </w:rPr>
        <w:t>considered</w:t>
      </w:r>
      <w:r w:rsidR="00DE2F35">
        <w:rPr>
          <w:rFonts w:ascii="Arial" w:hAnsi="Arial" w:cs="Arial"/>
          <w:sz w:val="22"/>
          <w:szCs w:val="22"/>
        </w:rPr>
        <w:t xml:space="preserve"> uncommon, recent studies have uncovered far more instances tha</w:t>
      </w:r>
      <w:r w:rsidR="003728B0">
        <w:rPr>
          <w:rFonts w:ascii="Arial" w:hAnsi="Arial" w:cs="Arial"/>
          <w:sz w:val="22"/>
          <w:szCs w:val="22"/>
        </w:rPr>
        <w:t>n</w:t>
      </w:r>
      <w:r w:rsidR="00DE2F35">
        <w:rPr>
          <w:rFonts w:ascii="Arial" w:hAnsi="Arial" w:cs="Arial"/>
          <w:sz w:val="22"/>
          <w:szCs w:val="22"/>
        </w:rPr>
        <w:t xml:space="preserve">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72824" w:rsidRPr="00D72824">
        <w:rPr>
          <w:rFonts w:ascii="Arial" w:hAnsi="Arial" w:cs="Arial"/>
          <w:noProof/>
          <w:sz w:val="22"/>
          <w:szCs w:val="22"/>
          <w:vertAlign w:val="superscript"/>
        </w:rPr>
        <w:t>22</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w:t>
      </w:r>
      <w:r w:rsidR="006723B0">
        <w:rPr>
          <w:rFonts w:ascii="Arial" w:hAnsi="Arial" w:cs="Arial"/>
          <w:sz w:val="22"/>
          <w:szCs w:val="22"/>
        </w:rPr>
        <w:t>s</w:t>
      </w:r>
      <w:r w:rsidR="00DE2F35">
        <w:rPr>
          <w:rFonts w:ascii="Arial" w:hAnsi="Arial" w:cs="Arial"/>
          <w:sz w:val="22"/>
          <w:szCs w:val="22"/>
        </w:rPr>
        <w:t>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286CA2" w:rsidRPr="00286CA2">
        <w:rPr>
          <w:rFonts w:ascii="Arial" w:hAnsi="Arial" w:cs="Arial"/>
          <w:noProof/>
          <w:sz w:val="22"/>
          <w:szCs w:val="22"/>
          <w:vertAlign w:val="superscript"/>
        </w:rPr>
        <w:t>19</w:t>
      </w:r>
      <w:r w:rsidR="00DE2F35">
        <w:rPr>
          <w:rFonts w:ascii="Arial" w:hAnsi="Arial" w:cs="Arial"/>
          <w:sz w:val="22"/>
          <w:szCs w:val="22"/>
        </w:rPr>
        <w:fldChar w:fldCharType="end"/>
      </w:r>
      <w:r w:rsidR="003D46B6">
        <w:rPr>
          <w:rFonts w:ascii="Arial" w:hAnsi="Arial" w:cs="Arial"/>
          <w:sz w:val="22"/>
          <w:szCs w:val="22"/>
        </w:rPr>
        <w:t xml:space="preserve"> However</w:t>
      </w:r>
      <w:r w:rsidR="003728B0">
        <w:rPr>
          <w:rFonts w:ascii="Arial" w:hAnsi="Arial" w:cs="Arial"/>
          <w:sz w:val="22"/>
          <w:szCs w:val="22"/>
        </w:rPr>
        <w:t xml:space="preserve">, </w:t>
      </w:r>
      <w:r w:rsidR="003D46B6">
        <w:rPr>
          <w:rFonts w:ascii="Arial" w:hAnsi="Arial" w:cs="Arial"/>
          <w:sz w:val="22"/>
          <w:szCs w:val="22"/>
        </w:rPr>
        <w:t>more than 75% of human mutually exclusive exon clusters have no known mechanism</w:t>
      </w:r>
      <w:r w:rsidR="003728B0">
        <w:rPr>
          <w:rFonts w:ascii="Arial" w:hAnsi="Arial" w:cs="Arial"/>
          <w:sz w:val="22"/>
          <w:szCs w:val="22"/>
        </w:rPr>
        <w:t xml:space="preserve"> of maintaining mutual exclusivity</w:t>
      </w:r>
      <w:r w:rsidR="003D46B6">
        <w:rPr>
          <w:rFonts w:ascii="Arial" w:hAnsi="Arial" w:cs="Arial"/>
          <w:sz w:val="22"/>
          <w:szCs w:val="22"/>
        </w:rPr>
        <w:t>.</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D72824" w:rsidRPr="00D72824">
        <w:rPr>
          <w:rFonts w:ascii="Arial" w:hAnsi="Arial" w:cs="Arial"/>
          <w:noProof/>
          <w:sz w:val="22"/>
          <w:szCs w:val="22"/>
          <w:vertAlign w:val="superscript"/>
        </w:rPr>
        <w:t>22</w:t>
      </w:r>
      <w:r w:rsidR="003D46B6">
        <w:rPr>
          <w:rFonts w:ascii="Arial" w:hAnsi="Arial" w:cs="Arial"/>
          <w:sz w:val="22"/>
          <w:szCs w:val="22"/>
        </w:rPr>
        <w:fldChar w:fldCharType="end"/>
      </w:r>
    </w:p>
    <w:p w14:paraId="069B45D8" w14:textId="6C35E3D8"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D72824" w:rsidRPr="00D72824">
        <w:rPr>
          <w:rFonts w:ascii="Arial" w:hAnsi="Arial" w:cs="Arial"/>
          <w:noProof/>
          <w:sz w:val="22"/>
          <w:szCs w:val="22"/>
          <w:vertAlign w:val="superscript"/>
        </w:rPr>
        <w:t>29</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allosterically regulated 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72824" w:rsidRPr="00D72824">
        <w:rPr>
          <w:rFonts w:ascii="Arial" w:hAnsi="Arial" w:cs="Arial"/>
          <w:noProof/>
          <w:sz w:val="22"/>
          <w:szCs w:val="22"/>
          <w:vertAlign w:val="superscript"/>
        </w:rPr>
        <w:t>30–34</w:t>
      </w:r>
      <w:r w:rsidR="002A7B30">
        <w:rPr>
          <w:rFonts w:ascii="Arial" w:hAnsi="Arial" w:cs="Arial"/>
          <w:sz w:val="22"/>
          <w:szCs w:val="22"/>
        </w:rPr>
        <w:fldChar w:fldCharType="end"/>
      </w:r>
      <w:r w:rsidR="00142359">
        <w:rPr>
          <w:rFonts w:ascii="Arial" w:hAnsi="Arial" w:cs="Arial"/>
          <w:sz w:val="22"/>
          <w:szCs w:val="22"/>
        </w:rPr>
        <w:t xml:space="preserve"> PKM2</w:t>
      </w:r>
      <w:r w:rsidR="00B227C8">
        <w:rPr>
          <w:rFonts w:ascii="Arial" w:hAnsi="Arial" w:cs="Arial"/>
          <w:sz w:val="22"/>
          <w:szCs w:val="22"/>
        </w:rPr>
        <w:t xml:space="preserve"> regulation acts through changes in</w:t>
      </w:r>
      <w:r w:rsidR="00142359">
        <w:rPr>
          <w:rFonts w:ascii="Arial" w:hAnsi="Arial" w:cs="Arial"/>
          <w:sz w:val="22"/>
          <w:szCs w:val="22"/>
        </w:rPr>
        <w:t xml:space="preserve"> </w:t>
      </w:r>
      <w:r w:rsidR="00B227C8">
        <w:rPr>
          <w:rFonts w:ascii="Arial" w:hAnsi="Arial" w:cs="Arial"/>
          <w:sz w:val="22"/>
          <w:szCs w:val="22"/>
        </w:rPr>
        <w:t>oligomerization state</w:t>
      </w:r>
      <w:r w:rsidR="00142359">
        <w:rPr>
          <w:rFonts w:ascii="Arial" w:hAnsi="Arial" w:cs="Arial"/>
          <w:sz w:val="22"/>
          <w:szCs w:val="22"/>
        </w:rPr>
        <w:t xml:space="preserve"> </w:t>
      </w:r>
      <w:r w:rsidR="00B227C8">
        <w:rPr>
          <w:rFonts w:ascii="Arial" w:hAnsi="Arial" w:cs="Arial"/>
          <w:sz w:val="22"/>
          <w:szCs w:val="22"/>
        </w:rPr>
        <w:t>between</w:t>
      </w:r>
      <w:r w:rsidR="00142359">
        <w:rPr>
          <w:rFonts w:ascii="Arial" w:hAnsi="Arial" w:cs="Arial"/>
          <w:sz w:val="22"/>
          <w:szCs w:val="22"/>
        </w:rPr>
        <w:t xml:space="preserve"> a tetrameric form which is competent as a pyruvate kinase </w:t>
      </w:r>
      <w:r w:rsidR="00B227C8">
        <w:rPr>
          <w:rFonts w:ascii="Arial" w:hAnsi="Arial" w:cs="Arial"/>
          <w:sz w:val="22"/>
          <w:szCs w:val="22"/>
        </w:rPr>
        <w:t>and</w:t>
      </w:r>
      <w:r w:rsidR="00142359">
        <w:rPr>
          <w:rFonts w:ascii="Arial" w:hAnsi="Arial" w:cs="Arial"/>
          <w:sz w:val="22"/>
          <w:szCs w:val="22"/>
        </w:rPr>
        <w:t xml:space="preserve">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D72824" w:rsidRPr="00D72824">
        <w:rPr>
          <w:rFonts w:ascii="Arial" w:hAnsi="Arial" w:cs="Arial"/>
          <w:noProof/>
          <w:sz w:val="22"/>
          <w:szCs w:val="22"/>
          <w:vertAlign w:val="superscript"/>
        </w:rPr>
        <w:t>31</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D72824" w:rsidRPr="00D72824">
        <w:rPr>
          <w:rFonts w:ascii="Arial" w:hAnsi="Arial" w:cs="Arial"/>
          <w:noProof/>
          <w:sz w:val="22"/>
          <w:szCs w:val="22"/>
          <w:vertAlign w:val="superscript"/>
        </w:rPr>
        <w:t>35–37</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D72824" w:rsidRPr="00D72824">
        <w:rPr>
          <w:rFonts w:ascii="Arial" w:hAnsi="Arial" w:cs="Arial"/>
          <w:noProof/>
          <w:sz w:val="22"/>
          <w:szCs w:val="22"/>
          <w:vertAlign w:val="superscript"/>
        </w:rPr>
        <w:t>30–33,35</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D72824" w:rsidRPr="00D72824">
        <w:rPr>
          <w:rFonts w:ascii="Arial" w:hAnsi="Arial" w:cs="Arial"/>
          <w:noProof/>
          <w:sz w:val="22"/>
          <w:szCs w:val="22"/>
          <w:vertAlign w:val="superscript"/>
        </w:rPr>
        <w:t>32,33,36–38</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D72824" w:rsidRPr="00D72824">
        <w:rPr>
          <w:rFonts w:ascii="Arial" w:hAnsi="Arial" w:cs="Arial"/>
          <w:noProof/>
          <w:sz w:val="22"/>
          <w:szCs w:val="22"/>
          <w:vertAlign w:val="superscript"/>
        </w:rPr>
        <w:t>39</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72824" w:rsidRPr="00D72824">
        <w:rPr>
          <w:rFonts w:ascii="Arial" w:hAnsi="Arial" w:cs="Arial"/>
          <w:noProof/>
          <w:sz w:val="22"/>
          <w:szCs w:val="22"/>
          <w:vertAlign w:val="superscript"/>
        </w:rPr>
        <w:t>40–42</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B227C8">
        <w:rPr>
          <w:rFonts w:ascii="Arial" w:hAnsi="Arial" w:cs="Arial"/>
          <w:sz w:val="22"/>
          <w:szCs w:val="22"/>
        </w:rPr>
        <w:t>,</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D72824" w:rsidRPr="00D72824">
        <w:rPr>
          <w:rFonts w:ascii="Arial" w:hAnsi="Arial" w:cs="Arial"/>
          <w:noProof/>
          <w:sz w:val="22"/>
          <w:szCs w:val="22"/>
          <w:vertAlign w:val="superscript"/>
        </w:rPr>
        <w:t>43</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w:t>
      </w:r>
      <w:r w:rsidR="00242D15">
        <w:rPr>
          <w:rFonts w:ascii="Arial" w:hAnsi="Arial" w:cs="Arial"/>
          <w:sz w:val="22"/>
          <w:szCs w:val="22"/>
        </w:rPr>
        <w:t>s</w:t>
      </w:r>
      <w:r w:rsidR="00624BAA">
        <w:rPr>
          <w:rFonts w:ascii="Arial" w:hAnsi="Arial" w:cs="Arial"/>
          <w:sz w:val="22"/>
          <w:szCs w:val="22"/>
        </w:rPr>
        <w:t xml:space="preserve"> 9 and 10 in PKM, </w:t>
      </w:r>
      <w:r w:rsidR="00B227C8">
        <w:rPr>
          <w:rFonts w:ascii="Arial" w:hAnsi="Arial" w:cs="Arial"/>
          <w:sz w:val="22"/>
          <w:szCs w:val="22"/>
        </w:rPr>
        <w:t>the</w:t>
      </w:r>
      <w:r w:rsidR="00624BAA">
        <w:rPr>
          <w:rFonts w:ascii="Arial" w:hAnsi="Arial" w:cs="Arial"/>
          <w:sz w:val="22"/>
          <w:szCs w:val="22"/>
        </w:rPr>
        <w:t xml:space="preserve"> mechanism for maintaining mutual exclusivity between the exons has</w:t>
      </w:r>
      <w:r w:rsidR="00B227C8">
        <w:rPr>
          <w:rFonts w:ascii="Arial" w:hAnsi="Arial" w:cs="Arial"/>
          <w:sz w:val="22"/>
          <w:szCs w:val="22"/>
        </w:rPr>
        <w:t xml:space="preserve"> not</w:t>
      </w:r>
      <w:r w:rsidR="00624BAA">
        <w:rPr>
          <w:rFonts w:ascii="Arial" w:hAnsi="Arial" w:cs="Arial"/>
          <w:sz w:val="22"/>
          <w:szCs w:val="22"/>
        </w:rPr>
        <w:t xml:space="preserve"> been demonstrated</w:t>
      </w:r>
      <w:r w:rsidR="00B227C8">
        <w:rPr>
          <w:rFonts w:ascii="Arial" w:hAnsi="Arial" w:cs="Arial"/>
          <w:sz w:val="22"/>
          <w:szCs w:val="22"/>
        </w:rPr>
        <w:t xml:space="preserve"> and a comprehensive screen for splicing regulatory elements is lacking</w:t>
      </w:r>
      <w:r w:rsidR="00624BAA">
        <w:rPr>
          <w:rFonts w:ascii="Arial" w:hAnsi="Arial" w:cs="Arial"/>
          <w:sz w:val="22"/>
          <w:szCs w:val="22"/>
        </w:rPr>
        <w:t>.</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D72824" w:rsidRPr="00D72824">
        <w:rPr>
          <w:rFonts w:ascii="Arial" w:hAnsi="Arial" w:cs="Arial"/>
          <w:noProof/>
          <w:sz w:val="22"/>
          <w:szCs w:val="22"/>
          <w:vertAlign w:val="superscript"/>
        </w:rPr>
        <w:t>16,17,33,44</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 mechanisms</w:t>
      </w:r>
      <w:r w:rsidR="00242D15">
        <w:rPr>
          <w:rFonts w:ascii="Arial" w:hAnsi="Arial" w:cs="Arial"/>
          <w:sz w:val="22"/>
          <w:szCs w:val="22"/>
        </w:rPr>
        <w:t xml:space="preserve"> of PKM splicing regulation</w:t>
      </w:r>
      <w:r w:rsidR="003B7F7F">
        <w:rPr>
          <w:rFonts w:ascii="Arial" w:hAnsi="Arial" w:cs="Arial"/>
          <w:sz w:val="22"/>
          <w:szCs w:val="22"/>
        </w:rPr>
        <w:t xml:space="preserve"> would both deepen our understanding of </w:t>
      </w:r>
      <w:r w:rsidR="00242D15">
        <w:rPr>
          <w:rFonts w:ascii="Arial" w:hAnsi="Arial" w:cs="Arial"/>
          <w:sz w:val="22"/>
          <w:szCs w:val="22"/>
        </w:rPr>
        <w:t xml:space="preserve">PKM’s biology </w:t>
      </w:r>
      <w:r w:rsidR="003B7F7F">
        <w:rPr>
          <w:rFonts w:ascii="Arial" w:hAnsi="Arial" w:cs="Arial"/>
          <w:sz w:val="22"/>
          <w:szCs w:val="22"/>
        </w:rPr>
        <w:t>and provide insight into the many diseases it is linked with.</w:t>
      </w:r>
    </w:p>
    <w:p w14:paraId="0F5A22DC" w14:textId="1FC484DC" w:rsidR="0045148A" w:rsidRDefault="007C7620" w:rsidP="00FC0257">
      <w:pPr>
        <w:spacing w:after="120"/>
        <w:rPr>
          <w:rFonts w:ascii="Arial" w:hAnsi="Arial" w:cs="Arial"/>
          <w:sz w:val="22"/>
          <w:szCs w:val="22"/>
        </w:rPr>
      </w:pPr>
      <w:r>
        <w:rPr>
          <w:rFonts w:ascii="Arial" w:hAnsi="Arial" w:cs="Arial"/>
          <w:sz w:val="22"/>
          <w:szCs w:val="22"/>
        </w:rPr>
        <w:t>Current m</w:t>
      </w:r>
      <w:r w:rsidR="00B01AFE">
        <w:rPr>
          <w:rFonts w:ascii="Arial" w:hAnsi="Arial" w:cs="Arial"/>
          <w:sz w:val="22"/>
          <w:szCs w:val="22"/>
        </w:rPr>
        <w:t xml:space="preserve">assively parallel splicing assays (MPSAs) provide a window into splicing regulation but </w:t>
      </w:r>
      <w:r w:rsidR="007F24A5">
        <w:rPr>
          <w:rFonts w:ascii="Arial" w:hAnsi="Arial" w:cs="Arial"/>
          <w:sz w:val="22"/>
          <w:szCs w:val="22"/>
        </w:rPr>
        <w:t>cannot capture the full isoform diversity of variants</w:t>
      </w:r>
      <w:r w:rsidR="0045148A">
        <w:rPr>
          <w:rFonts w:ascii="Arial" w:hAnsi="Arial" w:cs="Arial"/>
          <w:sz w:val="22"/>
          <w:szCs w:val="22"/>
        </w:rPr>
        <w:t xml:space="preserve"> in their regulatory context</w:t>
      </w:r>
      <w:r w:rsidR="00B01AFE">
        <w:rPr>
          <w:rFonts w:ascii="Arial" w:hAnsi="Arial" w:cs="Arial"/>
          <w:sz w:val="22"/>
          <w:szCs w:val="22"/>
        </w:rPr>
        <w:t>. In recent years</w:t>
      </w:r>
      <w:r w:rsidR="007F24A5">
        <w:rPr>
          <w:rFonts w:ascii="Arial" w:hAnsi="Arial" w:cs="Arial"/>
          <w:sz w:val="22"/>
          <w:szCs w:val="22"/>
        </w:rPr>
        <w:t>,</w:t>
      </w:r>
      <w:r w:rsidR="00B01AFE">
        <w:rPr>
          <w:rFonts w:ascii="Arial" w:hAnsi="Arial" w:cs="Arial"/>
          <w:sz w:val="22"/>
          <w:szCs w:val="22"/>
        </w:rPr>
        <w:t xml:space="preserve"> MPSAs have been used to interrogate the mechanisms of splicing.</w:t>
      </w:r>
      <w:bookmarkStart w:id="1" w:name="OLE_LINK1"/>
      <w:bookmarkStart w:id="2" w:name="OLE_LINK2"/>
      <w:r w:rsidR="00B01AFE">
        <w:rPr>
          <w:rFonts w:ascii="Arial" w:hAnsi="Arial" w:cs="Arial"/>
          <w:sz w:val="22"/>
          <w:szCs w:val="22"/>
        </w:rPr>
        <w:fldChar w:fldCharType="begin" w:fldLock="1"/>
      </w:r>
      <w:r w:rsidR="00726468">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B01AFE">
        <w:rPr>
          <w:rFonts w:ascii="Arial" w:hAnsi="Arial" w:cs="Arial"/>
          <w:sz w:val="22"/>
          <w:szCs w:val="22"/>
        </w:rPr>
        <w:fldChar w:fldCharType="separate"/>
      </w:r>
      <w:r w:rsidR="005E6055" w:rsidRPr="00286CA2">
        <w:rPr>
          <w:rFonts w:ascii="Arial" w:hAnsi="Arial" w:cs="Arial"/>
          <w:noProof/>
          <w:sz w:val="22"/>
          <w:szCs w:val="22"/>
          <w:vertAlign w:val="superscript"/>
        </w:rPr>
        <w:t>1–15</w:t>
      </w:r>
      <w:r w:rsidR="00B01AFE">
        <w:rPr>
          <w:rFonts w:ascii="Arial" w:hAnsi="Arial" w:cs="Arial"/>
          <w:sz w:val="22"/>
          <w:szCs w:val="22"/>
        </w:rPr>
        <w:fldChar w:fldCharType="end"/>
      </w:r>
      <w:bookmarkEnd w:id="1"/>
      <w:bookmarkEnd w:id="2"/>
      <w:r w:rsidR="00B01AFE">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3F4DBF">
        <w:rPr>
          <w:rFonts w:ascii="Arial" w:hAnsi="Arial" w:cs="Arial"/>
          <w:sz w:val="22"/>
          <w:szCs w:val="22"/>
        </w:rPr>
        <w:instrText>ADDIN paperpile_citation &lt;clusterId&gt;V338J686F176C761&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CE5379">
        <w:rPr>
          <w:rFonts w:ascii="Arial" w:hAnsi="Arial" w:cs="Arial"/>
          <w:sz w:val="22"/>
          <w:szCs w:val="22"/>
        </w:rPr>
        <w:fldChar w:fldCharType="separate"/>
      </w:r>
      <w:r w:rsidR="005E6055" w:rsidRPr="00286CA2">
        <w:rPr>
          <w:rFonts w:ascii="Arial" w:hAnsi="Arial" w:cs="Arial"/>
          <w:noProof/>
          <w:sz w:val="22"/>
          <w:szCs w:val="22"/>
          <w:vertAlign w:val="superscript"/>
        </w:rPr>
        <w:t>1–15</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7F24A5">
        <w:rPr>
          <w:rFonts w:ascii="Arial" w:hAnsi="Arial" w:cs="Arial"/>
          <w:sz w:val="22"/>
          <w:szCs w:val="22"/>
        </w:rPr>
        <w:t>These broadly split into two categories</w:t>
      </w:r>
      <w:r w:rsidR="0045148A">
        <w:rPr>
          <w:rFonts w:ascii="Arial" w:hAnsi="Arial" w:cs="Arial"/>
          <w:sz w:val="22"/>
          <w:szCs w:val="22"/>
        </w:rPr>
        <w:t>,</w:t>
      </w:r>
      <w:r w:rsidR="007F24A5">
        <w:rPr>
          <w:rFonts w:ascii="Arial" w:hAnsi="Arial" w:cs="Arial"/>
          <w:sz w:val="22"/>
          <w:szCs w:val="22"/>
        </w:rPr>
        <w:t xml:space="preserve"> methods that measure a proxy of splicing and methods that directly sequence the splice junction of interest. However, neither strategy is capable of capturing the full diversity of splicing outcomes in the context of the native</w:t>
      </w:r>
      <w:r w:rsidR="00242D15">
        <w:rPr>
          <w:rFonts w:ascii="Arial" w:hAnsi="Arial" w:cs="Arial"/>
          <w:sz w:val="22"/>
          <w:szCs w:val="22"/>
        </w:rPr>
        <w:t xml:space="preserve"> regulatory context</w:t>
      </w:r>
      <w:r w:rsidR="007F24A5">
        <w:rPr>
          <w:rFonts w:ascii="Arial" w:hAnsi="Arial" w:cs="Arial"/>
          <w:sz w:val="22"/>
          <w:szCs w:val="22"/>
        </w:rPr>
        <w:t>.</w:t>
      </w:r>
      <w:r w:rsidR="0045148A">
        <w:rPr>
          <w:rFonts w:ascii="Arial" w:hAnsi="Arial" w:cs="Arial"/>
          <w:sz w:val="22"/>
          <w:szCs w:val="22"/>
        </w:rPr>
        <w:t xml:space="preserve"> </w:t>
      </w:r>
      <w:r>
        <w:rPr>
          <w:rFonts w:ascii="Arial" w:hAnsi="Arial" w:cs="Arial"/>
          <w:sz w:val="22"/>
          <w:szCs w:val="22"/>
        </w:rPr>
        <w:t>I</w:t>
      </w:r>
      <w:r w:rsidR="0045148A">
        <w:rPr>
          <w:rFonts w:ascii="Arial" w:hAnsi="Arial" w:cs="Arial"/>
          <w:sz w:val="22"/>
          <w:szCs w:val="22"/>
        </w:rPr>
        <w:t>t is common for there to be multiple alternative isoforms that can arise from mutations.</w:t>
      </w:r>
      <w:r w:rsidR="0045148A">
        <w:rPr>
          <w:rFonts w:ascii="Arial" w:hAnsi="Arial" w:cs="Arial"/>
          <w:sz w:val="22"/>
          <w:szCs w:val="22"/>
        </w:rPr>
        <w:fldChar w:fldCharType="begin" w:fldLock="1"/>
      </w:r>
      <w:r w:rsidR="00636CB9">
        <w:rPr>
          <w:rFonts w:ascii="Arial" w:hAnsi="Arial" w:cs="Arial"/>
          <w:sz w:val="22"/>
          <w:szCs w:val="22"/>
        </w:rPr>
        <w:instrText>ADDIN paperpile_citation &lt;clusterId&gt;N648B996Q486N191&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45148A">
        <w:rPr>
          <w:rFonts w:ascii="Arial" w:hAnsi="Arial" w:cs="Arial"/>
          <w:sz w:val="22"/>
          <w:szCs w:val="22"/>
        </w:rPr>
        <w:fldChar w:fldCharType="separate"/>
      </w:r>
      <w:r w:rsidR="00636CB9" w:rsidRPr="00286CA2">
        <w:rPr>
          <w:rFonts w:ascii="Arial" w:hAnsi="Arial" w:cs="Arial"/>
          <w:noProof/>
          <w:sz w:val="22"/>
          <w:szCs w:val="22"/>
          <w:vertAlign w:val="superscript"/>
        </w:rPr>
        <w:t>5,9,16,17</w:t>
      </w:r>
      <w:r w:rsidR="0045148A">
        <w:rPr>
          <w:rFonts w:ascii="Arial" w:hAnsi="Arial" w:cs="Arial"/>
          <w:sz w:val="22"/>
          <w:szCs w:val="22"/>
        </w:rPr>
        <w:fldChar w:fldCharType="end"/>
      </w:r>
      <w:r w:rsidR="0045148A">
        <w:rPr>
          <w:rFonts w:ascii="Arial" w:hAnsi="Arial" w:cs="Arial"/>
          <w:sz w:val="22"/>
          <w:szCs w:val="22"/>
        </w:rPr>
        <w:t xml:space="preserve"> </w:t>
      </w:r>
      <w:r>
        <w:rPr>
          <w:rFonts w:ascii="Arial" w:hAnsi="Arial" w:cs="Arial"/>
          <w:sz w:val="22"/>
          <w:szCs w:val="22"/>
        </w:rPr>
        <w:t xml:space="preserve">Missing this diversity can cause two problems for an MPSA. </w:t>
      </w:r>
      <w:r w:rsidR="0045148A">
        <w:rPr>
          <w:rFonts w:ascii="Arial" w:hAnsi="Arial" w:cs="Arial"/>
          <w:sz w:val="22"/>
          <w:szCs w:val="22"/>
        </w:rPr>
        <w:t xml:space="preserve">The first is that a large amount of information that could </w:t>
      </w:r>
      <w:r>
        <w:rPr>
          <w:rFonts w:ascii="Arial" w:hAnsi="Arial" w:cs="Arial"/>
          <w:sz w:val="22"/>
          <w:szCs w:val="22"/>
        </w:rPr>
        <w:t>provide</w:t>
      </w:r>
      <w:r w:rsidR="0045148A">
        <w:rPr>
          <w:rFonts w:ascii="Arial" w:hAnsi="Arial" w:cs="Arial"/>
          <w:sz w:val="22"/>
          <w:szCs w:val="22"/>
        </w:rPr>
        <w:t xml:space="preserve"> insight into the mechanisms of splicing regulation</w:t>
      </w:r>
      <w:r>
        <w:rPr>
          <w:rFonts w:ascii="Arial" w:hAnsi="Arial" w:cs="Arial"/>
          <w:sz w:val="22"/>
          <w:szCs w:val="22"/>
        </w:rPr>
        <w:t xml:space="preserve"> is lost</w:t>
      </w:r>
      <w:r w:rsidR="0045148A">
        <w:rPr>
          <w:rFonts w:ascii="Arial" w:hAnsi="Arial" w:cs="Arial"/>
          <w:sz w:val="22"/>
          <w:szCs w:val="22"/>
        </w:rPr>
        <w:t xml:space="preserve">. The second, is that unexpected isoforms </w:t>
      </w:r>
      <w:r>
        <w:rPr>
          <w:rFonts w:ascii="Arial" w:hAnsi="Arial" w:cs="Arial"/>
          <w:sz w:val="22"/>
          <w:szCs w:val="22"/>
        </w:rPr>
        <w:t xml:space="preserve">can be </w:t>
      </w:r>
      <w:r w:rsidR="0045148A">
        <w:rPr>
          <w:rFonts w:ascii="Arial" w:hAnsi="Arial" w:cs="Arial"/>
          <w:sz w:val="22"/>
          <w:szCs w:val="22"/>
        </w:rPr>
        <w:t xml:space="preserve">incorrectly counted </w:t>
      </w:r>
      <w:r w:rsidR="00242D15">
        <w:rPr>
          <w:rFonts w:ascii="Arial" w:hAnsi="Arial" w:cs="Arial"/>
          <w:sz w:val="22"/>
          <w:szCs w:val="22"/>
        </w:rPr>
        <w:t xml:space="preserve">reducing accuracy of the </w:t>
      </w:r>
      <w:r>
        <w:rPr>
          <w:rFonts w:ascii="Arial" w:hAnsi="Arial" w:cs="Arial"/>
          <w:sz w:val="22"/>
          <w:szCs w:val="22"/>
        </w:rPr>
        <w:t>data</w:t>
      </w:r>
      <w:r w:rsidR="0045148A">
        <w:rPr>
          <w:rFonts w:ascii="Arial" w:hAnsi="Arial" w:cs="Arial"/>
          <w:sz w:val="22"/>
          <w:szCs w:val="22"/>
        </w:rPr>
        <w:t>.</w:t>
      </w:r>
      <w:r w:rsidR="00417D68">
        <w:rPr>
          <w:rFonts w:ascii="Arial" w:hAnsi="Arial" w:cs="Arial"/>
          <w:sz w:val="22"/>
          <w:szCs w:val="22"/>
        </w:rPr>
        <w:t xml:space="preserve"> </w:t>
      </w:r>
      <w:r w:rsidR="0045148A">
        <w:rPr>
          <w:rFonts w:ascii="Arial" w:hAnsi="Arial" w:cs="Arial"/>
          <w:color w:val="000000" w:themeColor="text1"/>
          <w:sz w:val="22"/>
          <w:szCs w:val="22"/>
        </w:rPr>
        <w:t xml:space="preserve">Loss of the </w:t>
      </w:r>
      <w:r w:rsidR="00C07B1F">
        <w:rPr>
          <w:rFonts w:ascii="Arial" w:hAnsi="Arial" w:cs="Arial"/>
          <w:sz w:val="22"/>
          <w:szCs w:val="22"/>
        </w:rPr>
        <w:t>regulatory context</w:t>
      </w:r>
      <w:r w:rsidR="00C07B1F">
        <w:rPr>
          <w:rFonts w:ascii="Arial" w:hAnsi="Arial" w:cs="Arial"/>
          <w:color w:val="000000" w:themeColor="text1"/>
          <w:sz w:val="22"/>
          <w:szCs w:val="22"/>
        </w:rPr>
        <w:t xml:space="preserve"> </w:t>
      </w:r>
      <w:r w:rsidR="0045148A">
        <w:rPr>
          <w:rFonts w:ascii="Arial" w:hAnsi="Arial" w:cs="Arial"/>
          <w:color w:val="000000" w:themeColor="text1"/>
          <w:sz w:val="22"/>
          <w:szCs w:val="22"/>
        </w:rPr>
        <w:t>is</w:t>
      </w:r>
      <w:r>
        <w:rPr>
          <w:rFonts w:ascii="Arial" w:hAnsi="Arial" w:cs="Arial"/>
          <w:color w:val="000000" w:themeColor="text1"/>
          <w:sz w:val="22"/>
          <w:szCs w:val="22"/>
        </w:rPr>
        <w:t xml:space="preserve"> also</w:t>
      </w:r>
      <w:r w:rsidR="0045148A">
        <w:rPr>
          <w:rFonts w:ascii="Arial" w:hAnsi="Arial" w:cs="Arial"/>
          <w:color w:val="000000" w:themeColor="text1"/>
          <w:sz w:val="22"/>
          <w:szCs w:val="22"/>
        </w:rPr>
        <w:t xml:space="preserve"> problematic because sequences in </w:t>
      </w:r>
      <w:r w:rsidR="00C07B1F">
        <w:rPr>
          <w:rFonts w:ascii="Arial" w:hAnsi="Arial" w:cs="Arial"/>
          <w:color w:val="000000" w:themeColor="text1"/>
          <w:sz w:val="22"/>
          <w:szCs w:val="22"/>
        </w:rPr>
        <w:t>both the</w:t>
      </w:r>
      <w:r w:rsidR="0045148A">
        <w:rPr>
          <w:rFonts w:ascii="Arial" w:hAnsi="Arial" w:cs="Arial"/>
          <w:color w:val="000000" w:themeColor="text1"/>
          <w:sz w:val="22"/>
          <w:szCs w:val="22"/>
        </w:rPr>
        <w:t xml:space="preserve"> introns</w:t>
      </w:r>
      <w:r w:rsidR="00C07B1F">
        <w:rPr>
          <w:rFonts w:ascii="Arial" w:hAnsi="Arial" w:cs="Arial"/>
          <w:color w:val="000000" w:themeColor="text1"/>
          <w:sz w:val="22"/>
          <w:szCs w:val="22"/>
        </w:rPr>
        <w:t xml:space="preserve"> and exons</w:t>
      </w:r>
      <w:r w:rsidR="0045148A">
        <w:rPr>
          <w:rFonts w:ascii="Arial" w:hAnsi="Arial" w:cs="Arial"/>
          <w:color w:val="000000" w:themeColor="text1"/>
          <w:sz w:val="22"/>
          <w:szCs w:val="22"/>
        </w:rPr>
        <w:t xml:space="preserve"> can be important regulators of alternative splicing affecting exon inclusion probability and establishing mutual exclusivity between exons.</w:t>
      </w:r>
      <w:r w:rsidR="0045148A">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Z421N577C968Z682&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45148A">
        <w:rPr>
          <w:rFonts w:ascii="Arial" w:hAnsi="Arial" w:cs="Arial"/>
          <w:color w:val="000000" w:themeColor="text1"/>
          <w:sz w:val="22"/>
          <w:szCs w:val="22"/>
        </w:rPr>
        <w:fldChar w:fldCharType="separate"/>
      </w:r>
      <w:r w:rsidR="00286CA2" w:rsidRPr="00286CA2">
        <w:rPr>
          <w:rFonts w:ascii="Arial" w:hAnsi="Arial" w:cs="Arial"/>
          <w:noProof/>
          <w:color w:val="000000" w:themeColor="text1"/>
          <w:sz w:val="22"/>
          <w:szCs w:val="22"/>
          <w:vertAlign w:val="superscript"/>
        </w:rPr>
        <w:t>16,17,19–21</w:t>
      </w:r>
      <w:r w:rsidR="0045148A">
        <w:rPr>
          <w:rFonts w:ascii="Arial" w:hAnsi="Arial" w:cs="Arial"/>
          <w:color w:val="000000" w:themeColor="text1"/>
          <w:sz w:val="22"/>
          <w:szCs w:val="22"/>
        </w:rPr>
        <w:fldChar w:fldCharType="end"/>
      </w:r>
    </w:p>
    <w:p w14:paraId="3DF97E2D" w14:textId="50627157" w:rsidR="00097A26" w:rsidRDefault="00726468" w:rsidP="00FC0257">
      <w:pPr>
        <w:spacing w:after="120"/>
        <w:rPr>
          <w:rFonts w:ascii="Arial" w:hAnsi="Arial" w:cs="Arial"/>
          <w:sz w:val="22"/>
          <w:szCs w:val="22"/>
        </w:rPr>
      </w:pPr>
      <w:r>
        <w:rPr>
          <w:rFonts w:ascii="Arial" w:hAnsi="Arial" w:cs="Arial"/>
          <w:sz w:val="22"/>
          <w:szCs w:val="22"/>
        </w:rPr>
        <w:lastRenderedPageBreak/>
        <w:t>Proxies of splicing allow performing an MPSA without needing to sequence over the splicing junction but lose isoform information. This form of MPSA includes</w:t>
      </w:r>
      <w:r w:rsidR="00242D15">
        <w:rPr>
          <w:rFonts w:ascii="Arial" w:hAnsi="Arial" w:cs="Arial"/>
          <w:sz w:val="22"/>
          <w:szCs w:val="22"/>
        </w:rPr>
        <w:t xml:space="preserve"> a family of</w:t>
      </w:r>
      <w:r>
        <w:rPr>
          <w:rFonts w:ascii="Arial" w:hAnsi="Arial" w:cs="Arial"/>
          <w:sz w:val="22"/>
          <w:szCs w:val="22"/>
        </w:rPr>
        <w:t xml:space="preserve"> techniques </w:t>
      </w:r>
      <w:r w:rsidR="00242D15">
        <w:rPr>
          <w:rFonts w:ascii="Arial" w:hAnsi="Arial" w:cs="Arial"/>
          <w:sz w:val="22"/>
          <w:szCs w:val="22"/>
        </w:rPr>
        <w:t>which</w:t>
      </w:r>
      <w:r>
        <w:rPr>
          <w:rFonts w:ascii="Arial" w:hAnsi="Arial" w:cs="Arial"/>
          <w:sz w:val="22"/>
          <w:szCs w:val="22"/>
        </w:rPr>
        <w:t xml:space="preserve"> </w:t>
      </w:r>
      <w:r w:rsidR="00242D15">
        <w:rPr>
          <w:rFonts w:ascii="Arial" w:hAnsi="Arial" w:cs="Arial"/>
          <w:sz w:val="22"/>
          <w:szCs w:val="22"/>
        </w:rPr>
        <w:t xml:space="preserve">place </w:t>
      </w:r>
      <w:r>
        <w:rPr>
          <w:rFonts w:ascii="Arial" w:hAnsi="Arial" w:cs="Arial"/>
          <w:sz w:val="22"/>
          <w:szCs w:val="22"/>
        </w:rPr>
        <w:t xml:space="preserve">an intron so that splicing restores </w:t>
      </w:r>
      <w:r w:rsidR="002249F6">
        <w:rPr>
          <w:rFonts w:ascii="Arial" w:hAnsi="Arial" w:cs="Arial"/>
          <w:sz w:val="22"/>
          <w:szCs w:val="22"/>
        </w:rPr>
        <w:t>the reading frame of a fluorescent protein</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2249F6">
        <w:rPr>
          <w:rFonts w:ascii="Arial" w:hAnsi="Arial" w:cs="Arial"/>
          <w:sz w:val="22"/>
          <w:szCs w:val="22"/>
        </w:rPr>
        <w:fldChar w:fldCharType="separate"/>
      </w:r>
      <w:r w:rsidR="005E6055" w:rsidRPr="00286CA2">
        <w:rPr>
          <w:rFonts w:ascii="Arial" w:hAnsi="Arial" w:cs="Arial"/>
          <w:noProof/>
          <w:sz w:val="22"/>
          <w:szCs w:val="22"/>
          <w:vertAlign w:val="superscript"/>
        </w:rPr>
        <w:t>7,11</w:t>
      </w:r>
      <w:r w:rsidR="002249F6">
        <w:rPr>
          <w:rFonts w:ascii="Arial" w:hAnsi="Arial" w:cs="Arial"/>
          <w:sz w:val="22"/>
          <w:szCs w:val="22"/>
        </w:rPr>
        <w:fldChar w:fldCharType="end"/>
      </w:r>
      <w:r w:rsidR="002249F6">
        <w:rPr>
          <w:rFonts w:ascii="Arial" w:hAnsi="Arial" w:cs="Arial"/>
          <w:sz w:val="22"/>
          <w:szCs w:val="22"/>
        </w:rPr>
        <w:t xml:space="preserve"> or counter selectable marker.</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2249F6">
        <w:rPr>
          <w:rFonts w:ascii="Arial" w:hAnsi="Arial" w:cs="Arial"/>
          <w:sz w:val="22"/>
          <w:szCs w:val="22"/>
        </w:rPr>
        <w:fldChar w:fldCharType="separate"/>
      </w:r>
      <w:r w:rsidR="00D72824" w:rsidRPr="00D72824">
        <w:rPr>
          <w:rFonts w:ascii="Arial" w:hAnsi="Arial" w:cs="Arial"/>
          <w:noProof/>
          <w:sz w:val="22"/>
          <w:szCs w:val="22"/>
          <w:vertAlign w:val="superscript"/>
        </w:rPr>
        <w:t>45</w:t>
      </w:r>
      <w:r w:rsidR="002249F6">
        <w:rPr>
          <w:rFonts w:ascii="Arial" w:hAnsi="Arial" w:cs="Arial"/>
          <w:sz w:val="22"/>
          <w:szCs w:val="22"/>
        </w:rPr>
        <w:fldChar w:fldCharType="end"/>
      </w:r>
      <w:r w:rsidR="00C01C8A">
        <w:rPr>
          <w:rFonts w:ascii="Arial" w:hAnsi="Arial" w:cs="Arial"/>
          <w:sz w:val="22"/>
          <w:szCs w:val="22"/>
        </w:rPr>
        <w:t xml:space="preserve"> </w:t>
      </w:r>
      <w:r w:rsidR="00C07B1F">
        <w:rPr>
          <w:rFonts w:ascii="Arial" w:hAnsi="Arial" w:cs="Arial"/>
          <w:sz w:val="22"/>
          <w:szCs w:val="22"/>
        </w:rPr>
        <w:t xml:space="preserve">Splicing can then be measured by using massively parallel variant </w:t>
      </w:r>
      <w:r w:rsidR="00242D15">
        <w:rPr>
          <w:rFonts w:ascii="Arial" w:hAnsi="Arial" w:cs="Arial"/>
          <w:sz w:val="22"/>
          <w:szCs w:val="22"/>
        </w:rPr>
        <w:t>effect assays</w:t>
      </w:r>
      <w:r w:rsidR="00C07B1F">
        <w:rPr>
          <w:rFonts w:ascii="Arial" w:hAnsi="Arial" w:cs="Arial"/>
          <w:sz w:val="22"/>
          <w:szCs w:val="22"/>
        </w:rPr>
        <w:t xml:space="preserve"> that </w:t>
      </w:r>
      <w:r w:rsidR="00242D15">
        <w:rPr>
          <w:rFonts w:ascii="Arial" w:hAnsi="Arial" w:cs="Arial"/>
          <w:sz w:val="22"/>
          <w:szCs w:val="22"/>
        </w:rPr>
        <w:t>read out</w:t>
      </w:r>
      <w:r w:rsidR="00C07B1F">
        <w:rPr>
          <w:rFonts w:ascii="Arial" w:hAnsi="Arial" w:cs="Arial"/>
          <w:sz w:val="22"/>
          <w:szCs w:val="22"/>
        </w:rPr>
        <w:t xml:space="preserve"> protein function and assuming that there are only two isoforms</w:t>
      </w:r>
      <w:r w:rsidR="00242D15">
        <w:rPr>
          <w:rFonts w:ascii="Arial" w:hAnsi="Arial" w:cs="Arial"/>
          <w:sz w:val="22"/>
          <w:szCs w:val="22"/>
        </w:rPr>
        <w:t>,</w:t>
      </w:r>
      <w:r w:rsidR="00C07B1F">
        <w:rPr>
          <w:rFonts w:ascii="Arial" w:hAnsi="Arial" w:cs="Arial"/>
          <w:sz w:val="22"/>
          <w:szCs w:val="22"/>
        </w:rPr>
        <w:t xml:space="preserve"> spliced and un-spliced. In addition to compressing all isoform diversity into a binary choice, this requires embedding the splice junction in a marker protein</w:t>
      </w:r>
      <w:r w:rsidR="00242D15">
        <w:rPr>
          <w:rFonts w:ascii="Arial" w:hAnsi="Arial" w:cs="Arial"/>
          <w:sz w:val="22"/>
          <w:szCs w:val="22"/>
        </w:rPr>
        <w:t>,</w:t>
      </w:r>
      <w:r w:rsidR="00C07B1F">
        <w:rPr>
          <w:rFonts w:ascii="Arial" w:hAnsi="Arial" w:cs="Arial"/>
          <w:sz w:val="22"/>
          <w:szCs w:val="22"/>
        </w:rPr>
        <w:t xml:space="preserve"> </w:t>
      </w:r>
      <w:r w:rsidR="00242D15">
        <w:rPr>
          <w:rFonts w:ascii="Arial" w:hAnsi="Arial" w:cs="Arial"/>
          <w:sz w:val="22"/>
          <w:szCs w:val="22"/>
        </w:rPr>
        <w:t>losing</w:t>
      </w:r>
      <w:r w:rsidR="00C07B1F">
        <w:rPr>
          <w:rFonts w:ascii="Arial" w:hAnsi="Arial" w:cs="Arial"/>
          <w:sz w:val="22"/>
          <w:szCs w:val="22"/>
        </w:rPr>
        <w:t xml:space="preserve"> the local regulatory environment. Proxy based MPSAs also</w:t>
      </w:r>
      <w:r w:rsidR="002249F6">
        <w:rPr>
          <w:rFonts w:ascii="Arial" w:hAnsi="Arial" w:cs="Arial"/>
          <w:sz w:val="22"/>
          <w:szCs w:val="22"/>
        </w:rPr>
        <w:t xml:space="preserve"> include strategies that use </w:t>
      </w:r>
      <w:r w:rsidR="00466FC7">
        <w:rPr>
          <w:rFonts w:ascii="Arial" w:hAnsi="Arial" w:cs="Arial"/>
          <w:sz w:val="22"/>
          <w:szCs w:val="22"/>
        </w:rPr>
        <w:t>amplicon sequencing of known isoforms</w:t>
      </w:r>
      <w:r w:rsidR="002249F6">
        <w:rPr>
          <w:rFonts w:ascii="Arial" w:hAnsi="Arial" w:cs="Arial"/>
          <w:sz w:val="22"/>
          <w:szCs w:val="22"/>
        </w:rPr>
        <w:t xml:space="preserve"> either based on isoform specific primers,</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N612B769X349U764&lt;/clusterId&gt;&lt;metadata&gt;&lt;citation&gt;&lt;id&gt;88990ccb-0828-481b-a8d3-58cbb9ed2942&lt;/id&gt;&lt;/citation&gt;&lt;citation&gt;&lt;id&gt;ab0db5b8-f64d-4f1f-848c-37f3c84cf1f5&lt;/id&gt;&lt;/citation&gt;&lt;/metadata&gt;&lt;data&gt;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&lt;/data&gt; \* MERGEFORMAT</w:instrText>
      </w:r>
      <w:r w:rsidR="002249F6">
        <w:rPr>
          <w:rFonts w:ascii="Arial" w:hAnsi="Arial" w:cs="Arial"/>
          <w:sz w:val="22"/>
          <w:szCs w:val="22"/>
        </w:rPr>
        <w:fldChar w:fldCharType="separate"/>
      </w:r>
      <w:r w:rsidR="005E6055" w:rsidRPr="00286CA2">
        <w:rPr>
          <w:rFonts w:ascii="Arial" w:hAnsi="Arial" w:cs="Arial"/>
          <w:noProof/>
          <w:sz w:val="22"/>
          <w:szCs w:val="22"/>
          <w:vertAlign w:val="superscript"/>
        </w:rPr>
        <w:t>14,15</w:t>
      </w:r>
      <w:r w:rsidR="002249F6">
        <w:rPr>
          <w:rFonts w:ascii="Arial" w:hAnsi="Arial" w:cs="Arial"/>
          <w:sz w:val="22"/>
          <w:szCs w:val="22"/>
        </w:rPr>
        <w:fldChar w:fldCharType="end"/>
      </w:r>
      <w:r w:rsidR="002249F6">
        <w:rPr>
          <w:rFonts w:ascii="Arial" w:hAnsi="Arial" w:cs="Arial"/>
          <w:sz w:val="22"/>
          <w:szCs w:val="22"/>
        </w:rPr>
        <w:t xml:space="preserve"> or gel extracting the isoform of interest.</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2249F6">
        <w:rPr>
          <w:rFonts w:ascii="Arial" w:hAnsi="Arial" w:cs="Arial"/>
          <w:sz w:val="22"/>
          <w:szCs w:val="22"/>
        </w:rPr>
        <w:fldChar w:fldCharType="separate"/>
      </w:r>
      <w:r w:rsidR="005E6055" w:rsidRPr="00286CA2">
        <w:rPr>
          <w:rFonts w:ascii="Arial" w:hAnsi="Arial" w:cs="Arial"/>
          <w:noProof/>
          <w:sz w:val="22"/>
          <w:szCs w:val="22"/>
          <w:vertAlign w:val="superscript"/>
        </w:rPr>
        <w:t>1,10,12</w:t>
      </w:r>
      <w:r w:rsidR="002249F6">
        <w:rPr>
          <w:rFonts w:ascii="Arial" w:hAnsi="Arial" w:cs="Arial"/>
          <w:sz w:val="22"/>
          <w:szCs w:val="22"/>
        </w:rPr>
        <w:fldChar w:fldCharType="end"/>
      </w:r>
      <w:r w:rsidR="00C01C8A">
        <w:rPr>
          <w:rFonts w:ascii="Arial" w:hAnsi="Arial" w:cs="Arial"/>
          <w:sz w:val="22"/>
          <w:szCs w:val="22"/>
        </w:rPr>
        <w:t xml:space="preserve"> </w:t>
      </w:r>
      <w:r w:rsidR="00097A26">
        <w:rPr>
          <w:rFonts w:ascii="Arial" w:hAnsi="Arial" w:cs="Arial"/>
          <w:sz w:val="22"/>
          <w:szCs w:val="22"/>
        </w:rPr>
        <w:t>These assays can occur in more native contexts than the protein based screens, but still suffer from an inability to account for isoform diversity.</w:t>
      </w:r>
    </w:p>
    <w:p w14:paraId="7EDFCF6C" w14:textId="4D025484" w:rsidR="00FC5BFA" w:rsidRDefault="00097A26" w:rsidP="00D74A59">
      <w:pPr>
        <w:spacing w:after="120"/>
        <w:rPr>
          <w:rFonts w:ascii="Arial" w:hAnsi="Arial" w:cs="Arial"/>
          <w:sz w:val="22"/>
          <w:szCs w:val="22"/>
        </w:rPr>
      </w:pPr>
      <w:r>
        <w:rPr>
          <w:rFonts w:ascii="Arial" w:hAnsi="Arial" w:cs="Arial"/>
          <w:sz w:val="22"/>
          <w:szCs w:val="22"/>
        </w:rPr>
        <w:t>Direct sequencing of splicing junctions</w:t>
      </w:r>
      <w:r w:rsidR="007F685F">
        <w:rPr>
          <w:rFonts w:ascii="Arial" w:hAnsi="Arial" w:cs="Arial"/>
          <w:sz w:val="22"/>
          <w:szCs w:val="22"/>
        </w:rPr>
        <w:t xml:space="preserve"> </w:t>
      </w:r>
      <w:r w:rsidR="004A3FF2">
        <w:rPr>
          <w:rFonts w:ascii="Arial" w:hAnsi="Arial" w:cs="Arial"/>
          <w:sz w:val="22"/>
          <w:szCs w:val="22"/>
        </w:rPr>
        <w:t>offers a potential</w:t>
      </w:r>
      <w:r w:rsidR="00F93F46">
        <w:rPr>
          <w:rFonts w:ascii="Arial" w:hAnsi="Arial" w:cs="Arial"/>
          <w:sz w:val="22"/>
          <w:szCs w:val="22"/>
        </w:rPr>
        <w:t xml:space="preserve"> solution</w:t>
      </w:r>
      <w:r w:rsidR="007F685F">
        <w:rPr>
          <w:rFonts w:ascii="Arial" w:hAnsi="Arial" w:cs="Arial"/>
          <w:sz w:val="22"/>
          <w:szCs w:val="22"/>
        </w:rPr>
        <w:t>, but is hindere</w:t>
      </w:r>
      <w:r w:rsidR="00F93F46">
        <w:rPr>
          <w:rFonts w:ascii="Arial" w:hAnsi="Arial" w:cs="Arial"/>
          <w:sz w:val="22"/>
          <w:szCs w:val="22"/>
        </w:rPr>
        <w:t xml:space="preserve">d by short reads. Direct sequencing of splicing junctions uses RT-PCR to amplify </w:t>
      </w:r>
      <w:r w:rsidR="00D74A59">
        <w:rPr>
          <w:rFonts w:ascii="Arial" w:hAnsi="Arial" w:cs="Arial"/>
          <w:sz w:val="22"/>
          <w:szCs w:val="22"/>
        </w:rPr>
        <w:t>a</w:t>
      </w:r>
      <w:r w:rsidR="00F93F46">
        <w:rPr>
          <w:rFonts w:ascii="Arial" w:hAnsi="Arial" w:cs="Arial"/>
          <w:sz w:val="22"/>
          <w:szCs w:val="22"/>
        </w:rPr>
        <w:t xml:space="preserve"> region including the splice junction of interest and a variant barcode. </w:t>
      </w:r>
      <w:r w:rsidR="002C0706">
        <w:rPr>
          <w:rFonts w:ascii="Arial" w:hAnsi="Arial" w:cs="Arial"/>
          <w:sz w:val="22"/>
          <w:szCs w:val="22"/>
        </w:rPr>
        <w:t>S</w:t>
      </w:r>
      <w:r w:rsidR="00F93F46">
        <w:rPr>
          <w:rFonts w:ascii="Arial" w:hAnsi="Arial" w:cs="Arial"/>
          <w:sz w:val="22"/>
          <w:szCs w:val="22"/>
        </w:rPr>
        <w:t>equencing is then used to identify and quantify the observed isoforms and match them to the variant that produced them using the barcode</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93F46">
        <w:rPr>
          <w:rFonts w:ascii="Arial" w:hAnsi="Arial" w:cs="Arial"/>
          <w:sz w:val="22"/>
          <w:szCs w:val="22"/>
        </w:rPr>
        <w:fldChar w:fldCharType="separate"/>
      </w:r>
      <w:r w:rsidR="005E6055" w:rsidRPr="00286CA2">
        <w:rPr>
          <w:rFonts w:ascii="Arial" w:hAnsi="Arial" w:cs="Arial"/>
          <w:noProof/>
          <w:sz w:val="22"/>
          <w:szCs w:val="22"/>
          <w:vertAlign w:val="superscript"/>
        </w:rPr>
        <w:t>3,5–7,9,13</w:t>
      </w:r>
      <w:r w:rsidR="00F93F46">
        <w:rPr>
          <w:rFonts w:ascii="Arial" w:hAnsi="Arial" w:cs="Arial"/>
          <w:sz w:val="22"/>
          <w:szCs w:val="22"/>
        </w:rPr>
        <w:fldChar w:fldCharType="end"/>
      </w:r>
      <w:r w:rsidR="00F93F46">
        <w:rPr>
          <w:rFonts w:ascii="Arial" w:hAnsi="Arial" w:cs="Arial"/>
          <w:sz w:val="22"/>
          <w:szCs w:val="22"/>
        </w:rPr>
        <w:t xml:space="preserve"> This</w:t>
      </w:r>
      <w:r w:rsidR="002C0706">
        <w:rPr>
          <w:rFonts w:ascii="Arial" w:hAnsi="Arial" w:cs="Arial"/>
          <w:sz w:val="22"/>
          <w:szCs w:val="22"/>
        </w:rPr>
        <w:t xml:space="preserve"> technique</w:t>
      </w:r>
      <w:r w:rsidR="00F93F46">
        <w:rPr>
          <w:rFonts w:ascii="Arial" w:hAnsi="Arial" w:cs="Arial"/>
          <w:sz w:val="22"/>
          <w:szCs w:val="22"/>
        </w:rPr>
        <w:t xml:space="preserve"> allows </w:t>
      </w:r>
      <w:r w:rsidR="002C0706">
        <w:rPr>
          <w:rFonts w:ascii="Arial" w:hAnsi="Arial" w:cs="Arial"/>
          <w:sz w:val="22"/>
          <w:szCs w:val="22"/>
        </w:rPr>
        <w:t>unbiased</w:t>
      </w:r>
      <w:r w:rsidR="00F93F46">
        <w:rPr>
          <w:rFonts w:ascii="Arial" w:hAnsi="Arial" w:cs="Arial"/>
          <w:sz w:val="22"/>
          <w:szCs w:val="22"/>
        </w:rPr>
        <w:t xml:space="preserve"> quantification of isoforms</w:t>
      </w:r>
      <w:r w:rsidR="002C0706">
        <w:rPr>
          <w:rFonts w:ascii="Arial" w:hAnsi="Arial" w:cs="Arial"/>
          <w:sz w:val="22"/>
          <w:szCs w:val="22"/>
        </w:rPr>
        <w:t>. However, current methods use Illumina short-read sequencing which limits them to isoforms</w:t>
      </w:r>
      <w:r w:rsidR="00F93F46">
        <w:rPr>
          <w:rFonts w:ascii="Arial" w:hAnsi="Arial" w:cs="Arial"/>
          <w:sz w:val="22"/>
          <w:szCs w:val="22"/>
        </w:rPr>
        <w:t xml:space="preserve"> </w:t>
      </w:r>
      <w:r w:rsidR="002C0706">
        <w:rPr>
          <w:rFonts w:ascii="Arial" w:hAnsi="Arial" w:cs="Arial"/>
          <w:sz w:val="22"/>
          <w:szCs w:val="22"/>
        </w:rPr>
        <w:t>that</w:t>
      </w:r>
      <w:r w:rsidR="00F93F46">
        <w:rPr>
          <w:rFonts w:ascii="Arial" w:hAnsi="Arial" w:cs="Arial"/>
          <w:sz w:val="22"/>
          <w:szCs w:val="22"/>
        </w:rPr>
        <w:t xml:space="preserve"> are small enough to be covered by a short read.</w:t>
      </w:r>
      <w:r w:rsidR="002C0706">
        <w:rPr>
          <w:rFonts w:ascii="Arial" w:hAnsi="Arial" w:cs="Arial"/>
          <w:sz w:val="22"/>
          <w:szCs w:val="22"/>
        </w:rPr>
        <w:fldChar w:fldCharType="begin" w:fldLock="1"/>
      </w:r>
      <w:r w:rsidR="00636CB9">
        <w:rPr>
          <w:rFonts w:ascii="Arial" w:hAnsi="Arial" w:cs="Arial"/>
          <w:sz w:val="22"/>
          <w:szCs w:val="22"/>
        </w:rPr>
        <w:instrText>ADDIN paperpile_citation &lt;clusterId&gt;T298H385W966A669&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2C0706">
        <w:rPr>
          <w:rFonts w:ascii="Arial" w:hAnsi="Arial" w:cs="Arial"/>
          <w:sz w:val="22"/>
          <w:szCs w:val="22"/>
        </w:rPr>
        <w:fldChar w:fldCharType="separate"/>
      </w:r>
      <w:r w:rsidR="005E6055" w:rsidRPr="00286CA2">
        <w:rPr>
          <w:rFonts w:ascii="Arial" w:hAnsi="Arial" w:cs="Arial"/>
          <w:noProof/>
          <w:sz w:val="22"/>
          <w:szCs w:val="22"/>
          <w:vertAlign w:val="superscript"/>
        </w:rPr>
        <w:t>3,5–7,9,13</w:t>
      </w:r>
      <w:r w:rsidR="002C0706">
        <w:rPr>
          <w:rFonts w:ascii="Arial" w:hAnsi="Arial" w:cs="Arial"/>
          <w:sz w:val="22"/>
          <w:szCs w:val="22"/>
        </w:rPr>
        <w:fldChar w:fldCharType="end"/>
      </w:r>
      <w:r w:rsidR="002C0706">
        <w:rPr>
          <w:rFonts w:ascii="Arial" w:hAnsi="Arial" w:cs="Arial"/>
          <w:sz w:val="22"/>
          <w:szCs w:val="22"/>
        </w:rPr>
        <w:t xml:space="preserve"> </w:t>
      </w:r>
      <w:r w:rsidR="00F93F46">
        <w:rPr>
          <w:rFonts w:ascii="Arial" w:hAnsi="Arial" w:cs="Arial"/>
          <w:sz w:val="22"/>
          <w:szCs w:val="22"/>
        </w:rPr>
        <w:t>Since the median</w:t>
      </w:r>
      <w:r w:rsidR="002C0706">
        <w:rPr>
          <w:rFonts w:ascii="Arial" w:hAnsi="Arial" w:cs="Arial"/>
          <w:sz w:val="22"/>
          <w:szCs w:val="22"/>
        </w:rPr>
        <w:t xml:space="preserve"> human</w:t>
      </w:r>
      <w:r w:rsidR="00F93F46">
        <w:rPr>
          <w:rFonts w:ascii="Arial" w:hAnsi="Arial" w:cs="Arial"/>
          <w:sz w:val="22"/>
          <w:szCs w:val="22"/>
        </w:rPr>
        <w:t xml:space="preserve"> intron is 1.7 kb</w:t>
      </w:r>
      <w:r w:rsidR="002C0706">
        <w:rPr>
          <w:rFonts w:ascii="Arial" w:hAnsi="Arial" w:cs="Arial"/>
          <w:sz w:val="22"/>
          <w:szCs w:val="22"/>
        </w:rPr>
        <w:t>,</w:t>
      </w:r>
      <w:r w:rsidR="00F93F46">
        <w:rPr>
          <w:rFonts w:ascii="Arial" w:hAnsi="Arial" w:cs="Arial"/>
          <w:sz w:val="22"/>
          <w:szCs w:val="22"/>
        </w:rPr>
        <w:fldChar w:fldCharType="begin" w:fldLock="1"/>
      </w:r>
      <w:r w:rsidR="00636CB9">
        <w:rPr>
          <w:rFonts w:ascii="Arial" w:hAnsi="Arial" w:cs="Arial"/>
          <w:sz w:val="22"/>
          <w:szCs w:val="22"/>
        </w:rPr>
        <w:instrText>ADDIN paperpile_citation &lt;clusterId&gt;W676K736G426D847&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F93F46">
        <w:rPr>
          <w:rFonts w:ascii="Arial" w:hAnsi="Arial" w:cs="Arial"/>
          <w:sz w:val="22"/>
          <w:szCs w:val="22"/>
        </w:rPr>
        <w:fldChar w:fldCharType="separate"/>
      </w:r>
      <w:r w:rsidR="00636CB9" w:rsidRPr="00286CA2">
        <w:rPr>
          <w:rFonts w:ascii="Arial" w:hAnsi="Arial" w:cs="Arial"/>
          <w:noProof/>
          <w:sz w:val="22"/>
          <w:szCs w:val="22"/>
          <w:vertAlign w:val="superscript"/>
        </w:rPr>
        <w:t>18</w:t>
      </w:r>
      <w:r w:rsidR="00F93F46">
        <w:rPr>
          <w:rFonts w:ascii="Arial" w:hAnsi="Arial" w:cs="Arial"/>
          <w:sz w:val="22"/>
          <w:szCs w:val="22"/>
        </w:rPr>
        <w:fldChar w:fldCharType="end"/>
      </w:r>
      <w:r w:rsidR="00F93F46">
        <w:rPr>
          <w:rFonts w:ascii="Arial" w:hAnsi="Arial" w:cs="Arial"/>
          <w:sz w:val="22"/>
          <w:szCs w:val="22"/>
        </w:rPr>
        <w:t xml:space="preserve"> </w:t>
      </w:r>
      <w:r w:rsidR="002C0706">
        <w:rPr>
          <w:rFonts w:ascii="Arial" w:hAnsi="Arial" w:cs="Arial"/>
          <w:sz w:val="22"/>
          <w:szCs w:val="22"/>
        </w:rPr>
        <w:t xml:space="preserve">this technique cannot distinguish isoforms that contain some or all of the intron for most human splice junctions unless the native introns are replaced with smaller non-native introns. </w:t>
      </w:r>
      <w:r w:rsidR="00400B36">
        <w:rPr>
          <w:rFonts w:ascii="Arial" w:hAnsi="Arial" w:cs="Arial"/>
          <w:sz w:val="22"/>
          <w:szCs w:val="22"/>
        </w:rPr>
        <w:t>Additionally, in mutually exclusive exon contexts isoforms with multiple exons included can become too large to be covered by an Illumina read. For example, the PKM mini</w:t>
      </w:r>
      <w:r w:rsidR="00D74A59">
        <w:rPr>
          <w:rFonts w:ascii="Arial" w:hAnsi="Arial" w:cs="Arial"/>
          <w:sz w:val="22"/>
          <w:szCs w:val="22"/>
        </w:rPr>
        <w:t>-</w:t>
      </w:r>
      <w:r w:rsidR="00400B36">
        <w:rPr>
          <w:rFonts w:ascii="Arial" w:hAnsi="Arial" w:cs="Arial"/>
          <w:sz w:val="22"/>
          <w:szCs w:val="22"/>
        </w:rPr>
        <w:t>gene used to study mutually exclusive splicing of exons 9 and 10 is</w:t>
      </w:r>
      <w:r w:rsidR="00B332DC">
        <w:rPr>
          <w:rFonts w:ascii="Arial" w:hAnsi="Arial" w:cs="Arial"/>
          <w:sz w:val="22"/>
          <w:szCs w:val="22"/>
        </w:rPr>
        <w:t xml:space="preserve"> more than</w:t>
      </w:r>
      <w:r w:rsidR="00400B36">
        <w:rPr>
          <w:rFonts w:ascii="Arial" w:hAnsi="Arial" w:cs="Arial"/>
          <w:sz w:val="22"/>
          <w:szCs w:val="22"/>
        </w:rPr>
        <w:t xml:space="preserve"> 6 kb </w:t>
      </w:r>
      <w:r w:rsidR="00B332DC">
        <w:rPr>
          <w:rFonts w:ascii="Arial" w:hAnsi="Arial" w:cs="Arial"/>
          <w:sz w:val="22"/>
          <w:szCs w:val="22"/>
        </w:rPr>
        <w:t xml:space="preserve">including the introns and the isoform containing both exons 9 and 10 is too long </w:t>
      </w:r>
      <w:r w:rsidR="003662B0">
        <w:rPr>
          <w:rFonts w:ascii="Arial" w:hAnsi="Arial" w:cs="Arial"/>
          <w:sz w:val="22"/>
          <w:szCs w:val="22"/>
        </w:rPr>
        <w:t>for existing junction sequencing MPSAs</w:t>
      </w:r>
      <w:r w:rsidR="00B332DC">
        <w:rPr>
          <w:rFonts w:ascii="Arial" w:hAnsi="Arial" w:cs="Arial"/>
          <w:sz w:val="22"/>
          <w:szCs w:val="22"/>
        </w:rPr>
        <w:t>. Both double exon inclusion and cryptic intronic splice sites have been observed with this construct.</w:t>
      </w:r>
      <w:r w:rsidR="00B332DC">
        <w:rPr>
          <w:rFonts w:ascii="Arial" w:hAnsi="Arial" w:cs="Arial"/>
          <w:sz w:val="22"/>
          <w:szCs w:val="22"/>
        </w:rPr>
        <w:fldChar w:fldCharType="begin" w:fldLock="1"/>
      </w:r>
      <w:r w:rsidR="00636CB9">
        <w:rPr>
          <w:rFonts w:ascii="Arial" w:hAnsi="Arial" w:cs="Arial"/>
          <w:sz w:val="22"/>
          <w:szCs w:val="22"/>
        </w:rPr>
        <w:instrText>ADDIN paperpile_citation &lt;clusterId&gt;S151F241B531Z322&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B332DC">
        <w:rPr>
          <w:rFonts w:ascii="Arial" w:hAnsi="Arial" w:cs="Arial"/>
          <w:sz w:val="22"/>
          <w:szCs w:val="22"/>
        </w:rPr>
        <w:fldChar w:fldCharType="separate"/>
      </w:r>
      <w:r w:rsidR="00636CB9" w:rsidRPr="00286CA2">
        <w:rPr>
          <w:rFonts w:ascii="Arial" w:hAnsi="Arial" w:cs="Arial"/>
          <w:noProof/>
          <w:sz w:val="22"/>
          <w:szCs w:val="22"/>
          <w:vertAlign w:val="superscript"/>
        </w:rPr>
        <w:t>16</w:t>
      </w:r>
      <w:r w:rsidR="00B332DC">
        <w:rPr>
          <w:rFonts w:ascii="Arial" w:hAnsi="Arial" w:cs="Arial"/>
          <w:sz w:val="22"/>
          <w:szCs w:val="22"/>
        </w:rPr>
        <w:fldChar w:fldCharType="end"/>
      </w:r>
      <w:r w:rsidR="00B332DC">
        <w:rPr>
          <w:rFonts w:ascii="Arial" w:hAnsi="Arial" w:cs="Arial"/>
          <w:sz w:val="22"/>
          <w:szCs w:val="22"/>
        </w:rPr>
        <w:t xml:space="preserve"> </w:t>
      </w:r>
      <w:r w:rsidR="003662B0">
        <w:rPr>
          <w:rFonts w:ascii="Arial" w:hAnsi="Arial" w:cs="Arial"/>
          <w:sz w:val="22"/>
          <w:szCs w:val="22"/>
        </w:rPr>
        <w:t>S</w:t>
      </w:r>
      <w:r w:rsidR="00B332DC">
        <w:rPr>
          <w:rFonts w:ascii="Arial" w:hAnsi="Arial" w:cs="Arial"/>
          <w:sz w:val="22"/>
          <w:szCs w:val="22"/>
        </w:rPr>
        <w:t xml:space="preserve">pace constraints get even tighter if you consider using </w:t>
      </w:r>
      <w:r w:rsidR="001F3F72">
        <w:rPr>
          <w:rFonts w:ascii="Arial" w:hAnsi="Arial" w:cs="Arial"/>
          <w:sz w:val="22"/>
          <w:szCs w:val="22"/>
        </w:rPr>
        <w:t xml:space="preserve">5’ and 3’ barcodes or unique molecular identifiers </w:t>
      </w:r>
      <w:r w:rsidR="003662B0">
        <w:rPr>
          <w:rFonts w:ascii="Arial" w:hAnsi="Arial" w:cs="Arial"/>
          <w:sz w:val="22"/>
          <w:szCs w:val="22"/>
        </w:rPr>
        <w:t xml:space="preserve">to </w:t>
      </w:r>
      <w:r w:rsidR="00FC5BFA">
        <w:rPr>
          <w:rFonts w:ascii="Arial" w:hAnsi="Arial" w:cs="Arial"/>
          <w:sz w:val="22"/>
          <w:szCs w:val="22"/>
        </w:rPr>
        <w:t>reduce artifacts from library preparation</w:t>
      </w:r>
      <w:r w:rsidR="00D74A59">
        <w:rPr>
          <w:rFonts w:ascii="Arial" w:hAnsi="Arial" w:cs="Arial"/>
          <w:sz w:val="22"/>
          <w:szCs w:val="22"/>
        </w:rPr>
        <w:t>. A</w:t>
      </w:r>
      <w:r w:rsidR="00FC5BFA">
        <w:rPr>
          <w:rFonts w:ascii="Arial" w:hAnsi="Arial" w:cs="Arial"/>
          <w:sz w:val="22"/>
          <w:szCs w:val="22"/>
        </w:rPr>
        <w:t>ccordingly, current MPSAs have not used these techniques.</w:t>
      </w:r>
      <w:r w:rsidR="00FC5BFA">
        <w:rPr>
          <w:rFonts w:ascii="Arial" w:hAnsi="Arial" w:cs="Arial"/>
          <w:sz w:val="22"/>
          <w:szCs w:val="22"/>
        </w:rPr>
        <w:fldChar w:fldCharType="begin" w:fldLock="1"/>
      </w:r>
      <w:r w:rsidR="00761713">
        <w:rPr>
          <w:rFonts w:ascii="Arial" w:hAnsi="Arial" w:cs="Arial"/>
          <w:sz w:val="22"/>
          <w:szCs w:val="22"/>
        </w:rPr>
        <w:instrText>ADDIN paperpile_citation &lt;clusterId&gt;A751O811K292H922&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C5BFA">
        <w:rPr>
          <w:rFonts w:ascii="Arial" w:hAnsi="Arial" w:cs="Arial"/>
          <w:sz w:val="22"/>
          <w:szCs w:val="22"/>
        </w:rPr>
        <w:fldChar w:fldCharType="separate"/>
      </w:r>
      <w:r w:rsidR="005E6055" w:rsidRPr="00286CA2">
        <w:rPr>
          <w:rFonts w:ascii="Arial" w:hAnsi="Arial" w:cs="Arial"/>
          <w:noProof/>
          <w:sz w:val="22"/>
          <w:szCs w:val="22"/>
          <w:vertAlign w:val="superscript"/>
        </w:rPr>
        <w:t>3,5–7,9,13</w:t>
      </w:r>
      <w:r w:rsidR="00FC5BFA">
        <w:rPr>
          <w:rFonts w:ascii="Arial" w:hAnsi="Arial" w:cs="Arial"/>
          <w:sz w:val="22"/>
          <w:szCs w:val="22"/>
        </w:rPr>
        <w:fldChar w:fldCharType="end"/>
      </w:r>
      <w:r w:rsidR="00FC5BFA">
        <w:rPr>
          <w:rFonts w:ascii="Arial" w:hAnsi="Arial" w:cs="Arial"/>
          <w:sz w:val="22"/>
          <w:szCs w:val="22"/>
        </w:rPr>
        <w:t xml:space="preserve"> </w:t>
      </w:r>
      <w:r w:rsidR="00D74A59">
        <w:rPr>
          <w:rFonts w:ascii="Arial" w:hAnsi="Arial" w:cs="Arial"/>
          <w:sz w:val="22"/>
          <w:szCs w:val="22"/>
        </w:rPr>
        <w:t xml:space="preserve">The current versions of junction sequencing MPSAs are not able to handle </w:t>
      </w:r>
      <w:r w:rsidR="006736F7">
        <w:rPr>
          <w:rFonts w:ascii="Arial" w:hAnsi="Arial" w:cs="Arial"/>
          <w:sz w:val="22"/>
          <w:szCs w:val="22"/>
        </w:rPr>
        <w:t>large isoforms generated from splice junctions in their natural regulatory context</w:t>
      </w:r>
      <w:r w:rsidR="00D74A59">
        <w:rPr>
          <w:rFonts w:ascii="Arial" w:hAnsi="Arial" w:cs="Arial"/>
          <w:sz w:val="22"/>
          <w:szCs w:val="22"/>
        </w:rPr>
        <w:t>, but adapting them to a long read platform could overcome these issues</w:t>
      </w:r>
      <w:r w:rsidR="006736F7">
        <w:rPr>
          <w:rFonts w:ascii="Arial" w:hAnsi="Arial" w:cs="Arial"/>
          <w:sz w:val="22"/>
          <w:szCs w:val="22"/>
        </w:rPr>
        <w:t>.</w:t>
      </w:r>
    </w:p>
    <w:p w14:paraId="50739F79" w14:textId="2700DCA6" w:rsidR="00B2349F" w:rsidRPr="008737A6" w:rsidRDefault="00972626" w:rsidP="00FC0257">
      <w:pPr>
        <w:spacing w:after="120"/>
        <w:rPr>
          <w:rFonts w:ascii="Arial" w:hAnsi="Arial" w:cs="Arial"/>
          <w:sz w:val="22"/>
          <w:szCs w:val="22"/>
        </w:rPr>
      </w:pPr>
      <w:r>
        <w:rPr>
          <w:rFonts w:ascii="Arial" w:hAnsi="Arial" w:cs="Arial"/>
          <w:sz w:val="22"/>
          <w:szCs w:val="22"/>
        </w:rPr>
        <w:t>Furthermore, c</w:t>
      </w:r>
      <w:r w:rsidR="00BA6FF0">
        <w:rPr>
          <w:rFonts w:ascii="Arial" w:hAnsi="Arial" w:cs="Arial"/>
          <w:sz w:val="22"/>
          <w:szCs w:val="22"/>
        </w:rPr>
        <w:t>urrent MPSA techniques have been independently developed and few experiments have th</w:t>
      </w:r>
      <w:r w:rsidR="008737A6">
        <w:rPr>
          <w:rFonts w:ascii="Arial" w:hAnsi="Arial" w:cs="Arial"/>
          <w:sz w:val="22"/>
          <w:szCs w:val="22"/>
        </w:rPr>
        <w:t>e</w:t>
      </w:r>
      <w:r w:rsidR="00BA6FF0">
        <w:rPr>
          <w:rFonts w:ascii="Arial" w:hAnsi="Arial" w:cs="Arial"/>
          <w:sz w:val="22"/>
          <w:szCs w:val="22"/>
        </w:rPr>
        <w:t xml:space="preserve"> same experimental design or analysis methods. </w:t>
      </w:r>
      <w:r w:rsidR="008737A6">
        <w:rPr>
          <w:rFonts w:ascii="Arial" w:hAnsi="Arial" w:cs="Arial"/>
          <w:sz w:val="22"/>
          <w:szCs w:val="22"/>
        </w:rPr>
        <w:t xml:space="preserve">These factors make it hard to compare findings across multiple </w:t>
      </w:r>
      <w:r>
        <w:rPr>
          <w:rFonts w:ascii="Arial" w:hAnsi="Arial" w:cs="Arial"/>
          <w:sz w:val="22"/>
          <w:szCs w:val="22"/>
        </w:rPr>
        <w:t>experiments</w:t>
      </w:r>
      <w:r w:rsidR="008737A6">
        <w:rPr>
          <w:rFonts w:ascii="Arial" w:hAnsi="Arial" w:cs="Arial"/>
          <w:sz w:val="22"/>
          <w:szCs w:val="22"/>
        </w:rPr>
        <w:t xml:space="preserve">. They also raise barriers </w:t>
      </w:r>
      <w:r>
        <w:rPr>
          <w:rFonts w:ascii="Arial" w:hAnsi="Arial" w:cs="Arial"/>
          <w:sz w:val="22"/>
          <w:szCs w:val="22"/>
        </w:rPr>
        <w:t xml:space="preserve">to entry </w:t>
      </w:r>
      <w:r w:rsidR="008737A6">
        <w:rPr>
          <w:rFonts w:ascii="Arial" w:hAnsi="Arial" w:cs="Arial"/>
          <w:sz w:val="22"/>
          <w:szCs w:val="22"/>
        </w:rPr>
        <w:t>because the methods and analysis pipelines both need to be redeveloped</w:t>
      </w:r>
      <w:r>
        <w:rPr>
          <w:rFonts w:ascii="Arial" w:hAnsi="Arial" w:cs="Arial"/>
          <w:sz w:val="22"/>
          <w:szCs w:val="22"/>
        </w:rPr>
        <w:t xml:space="preserve"> by each group</w:t>
      </w:r>
      <w:r w:rsidR="008737A6">
        <w:rPr>
          <w:rFonts w:ascii="Arial" w:hAnsi="Arial" w:cs="Arial"/>
          <w:sz w:val="22"/>
          <w:szCs w:val="22"/>
        </w:rPr>
        <w:t xml:space="preserve">. </w:t>
      </w:r>
      <w:r w:rsidR="00BA6FF0">
        <w:rPr>
          <w:rFonts w:ascii="Arial" w:hAnsi="Arial" w:cs="Arial"/>
          <w:sz w:val="22"/>
          <w:szCs w:val="22"/>
        </w:rPr>
        <w:t xml:space="preserve">Further, analysis pipelines have not been verified against datasets with known ground truth. </w:t>
      </w:r>
      <w:r w:rsidR="001342C8">
        <w:rPr>
          <w:rFonts w:ascii="Arial" w:hAnsi="Arial" w:cs="Arial"/>
          <w:sz w:val="22"/>
          <w:szCs w:val="22"/>
        </w:rPr>
        <w:t>Development of a user-friendly, publicly available, robustly verified,</w:t>
      </w:r>
      <w:r w:rsidR="003966EC">
        <w:rPr>
          <w:rFonts w:ascii="Arial" w:hAnsi="Arial" w:cs="Arial"/>
          <w:sz w:val="22"/>
          <w:szCs w:val="22"/>
        </w:rPr>
        <w:t xml:space="preserve"> and</w:t>
      </w:r>
      <w:r w:rsidR="001342C8">
        <w:rPr>
          <w:rFonts w:ascii="Arial" w:hAnsi="Arial" w:cs="Arial"/>
          <w:sz w:val="22"/>
          <w:szCs w:val="22"/>
        </w:rPr>
        <w:t xml:space="preserve"> open</w:t>
      </w:r>
      <w:r w:rsidR="003966EC">
        <w:rPr>
          <w:rFonts w:ascii="Arial" w:hAnsi="Arial" w:cs="Arial"/>
          <w:sz w:val="22"/>
          <w:szCs w:val="22"/>
        </w:rPr>
        <w:t>-</w:t>
      </w:r>
      <w:r w:rsidR="001342C8">
        <w:rPr>
          <w:rFonts w:ascii="Arial" w:hAnsi="Arial" w:cs="Arial"/>
          <w:sz w:val="22"/>
          <w:szCs w:val="22"/>
        </w:rPr>
        <w:t>source MPSA toolkit will greatly ease wider use of the method and help unify different techniques.</w:t>
      </w:r>
    </w:p>
    <w:p w14:paraId="36087DED" w14:textId="181C2428"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 xml:space="preserve">is to create MPSA methods that overcome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32055F">
        <w:rPr>
          <w:rFonts w:ascii="Arial" w:hAnsi="Arial" w:cs="Arial"/>
          <w:color w:val="000000" w:themeColor="text1"/>
          <w:sz w:val="22"/>
          <w:szCs w:val="22"/>
        </w:rPr>
        <w:t>in</w:t>
      </w:r>
      <w:r w:rsidR="00564853">
        <w:rPr>
          <w:rFonts w:ascii="Arial" w:hAnsi="Arial" w:cs="Arial"/>
          <w:color w:val="000000" w:themeColor="text1"/>
          <w:sz w:val="22"/>
          <w:szCs w:val="22"/>
        </w:rPr>
        <w:t xml:space="preserve"> constructs with full size introns without ignoring intron </w:t>
      </w:r>
      <w:r w:rsidR="00E23545">
        <w:rPr>
          <w:rFonts w:ascii="Arial" w:hAnsi="Arial" w:cs="Arial"/>
          <w:color w:val="000000" w:themeColor="text1"/>
          <w:sz w:val="22"/>
          <w:szCs w:val="22"/>
        </w:rPr>
        <w:t>inclusion</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isoforms</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Achieving f</w:t>
      </w:r>
      <w:r w:rsidR="00564853">
        <w:rPr>
          <w:rFonts w:ascii="Arial" w:hAnsi="Arial" w:cs="Arial"/>
          <w:color w:val="000000" w:themeColor="text1"/>
          <w:sz w:val="22"/>
          <w:szCs w:val="22"/>
        </w:rPr>
        <w:t xml:space="preserve">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w:t>
      </w:r>
      <w:r w:rsidR="0032055F">
        <w:rPr>
          <w:rFonts w:ascii="Arial" w:hAnsi="Arial" w:cs="Arial"/>
          <w:color w:val="000000" w:themeColor="text1"/>
          <w:sz w:val="22"/>
          <w:szCs w:val="22"/>
        </w:rPr>
        <w:t xml:space="preserve"> the</w:t>
      </w:r>
      <w:r w:rsidR="00F54B0C">
        <w:rPr>
          <w:rFonts w:ascii="Arial" w:hAnsi="Arial" w:cs="Arial"/>
          <w:color w:val="000000" w:themeColor="text1"/>
          <w:sz w:val="22"/>
          <w:szCs w:val="22"/>
        </w:rPr>
        <w:t xml:space="preserve"> dynamic range and accuracy of the assay. The LR-MPSA </w:t>
      </w:r>
      <w:r w:rsidR="0060210C">
        <w:rPr>
          <w:rFonts w:ascii="Arial" w:hAnsi="Arial" w:cs="Arial"/>
          <w:color w:val="000000" w:themeColor="text1"/>
          <w:sz w:val="22"/>
          <w:szCs w:val="22"/>
        </w:rPr>
        <w:t>will</w:t>
      </w:r>
      <w:r w:rsidR="00E23545">
        <w:rPr>
          <w:rFonts w:ascii="Arial" w:hAnsi="Arial" w:cs="Arial"/>
          <w:color w:val="000000" w:themeColor="text1"/>
          <w:sz w:val="22"/>
          <w:szCs w:val="22"/>
        </w:rPr>
        <w:t xml:space="preserve"> also</w:t>
      </w:r>
      <w:r w:rsidR="0060210C">
        <w:rPr>
          <w:rFonts w:ascii="Arial" w:hAnsi="Arial" w:cs="Arial"/>
          <w:color w:val="000000" w:themeColor="text1"/>
          <w:sz w:val="22"/>
          <w:szCs w:val="22"/>
        </w:rPr>
        <w:t xml:space="preserve">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w:t>
      </w:r>
      <w:r w:rsidR="00E23545">
        <w:rPr>
          <w:rFonts w:ascii="Arial" w:hAnsi="Arial" w:cs="Arial"/>
          <w:color w:val="000000" w:themeColor="text1"/>
          <w:sz w:val="22"/>
          <w:szCs w:val="22"/>
        </w:rPr>
        <w:t>and</w:t>
      </w:r>
      <w:r w:rsidR="0060210C">
        <w:rPr>
          <w:rFonts w:ascii="Arial" w:hAnsi="Arial" w:cs="Arial"/>
          <w:color w:val="000000" w:themeColor="text1"/>
          <w:sz w:val="22"/>
          <w:szCs w:val="22"/>
        </w:rPr>
        <w:t xml:space="preserve">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6404EE86" w:rsid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o human health in contexts including cancer, Alzheimer’s disease, Crohn’s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w:t>
      </w:r>
      <w:r w:rsidR="0032055F">
        <w:rPr>
          <w:rFonts w:ascii="Arial" w:hAnsi="Arial" w:cs="Arial"/>
          <w:sz w:val="22"/>
          <w:szCs w:val="22"/>
        </w:rPr>
        <w:t>but</w:t>
      </w:r>
      <w:r>
        <w:rPr>
          <w:rFonts w:ascii="Arial" w:hAnsi="Arial" w:cs="Arial"/>
          <w:sz w:val="22"/>
          <w:szCs w:val="22"/>
        </w:rPr>
        <w:t xml:space="preserve">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 xml:space="preserve">exon choice, </w:t>
      </w:r>
      <w:r w:rsidR="007C0215">
        <w:rPr>
          <w:rFonts w:ascii="Arial" w:hAnsi="Arial" w:cs="Arial"/>
          <w:sz w:val="22"/>
          <w:szCs w:val="22"/>
        </w:rPr>
        <w:lastRenderedPageBreak/>
        <w:t>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w:t>
      </w:r>
      <w:r w:rsidR="0032055F">
        <w:rPr>
          <w:rFonts w:ascii="Arial" w:hAnsi="Arial" w:cs="Arial"/>
          <w:sz w:val="22"/>
          <w:szCs w:val="22"/>
        </w:rPr>
        <w:t xml:space="preserve"> clusters</w:t>
      </w:r>
      <w:r w:rsidR="000904AC">
        <w:rPr>
          <w:rFonts w:ascii="Arial" w:hAnsi="Arial" w:cs="Arial"/>
          <w:sz w:val="22"/>
          <w:szCs w:val="22"/>
        </w:rPr>
        <w:t xml:space="preserve">. </w:t>
      </w:r>
    </w:p>
    <w:p w14:paraId="1E5F418C" w14:textId="0603CC94" w:rsidR="009E0813" w:rsidRPr="000031A1" w:rsidRDefault="009E0813" w:rsidP="00FC0257">
      <w:pPr>
        <w:spacing w:after="120"/>
        <w:rPr>
          <w:rFonts w:ascii="Arial" w:hAnsi="Arial" w:cs="Arial"/>
          <w:sz w:val="22"/>
          <w:szCs w:val="22"/>
          <w:u w:val="single"/>
        </w:rPr>
      </w:pPr>
      <w:commentRangeStart w:id="3"/>
      <w:r w:rsidRPr="000031A1">
        <w:rPr>
          <w:rFonts w:ascii="Arial" w:hAnsi="Arial" w:cs="Arial"/>
          <w:sz w:val="22"/>
          <w:szCs w:val="22"/>
          <w:u w:val="single"/>
        </w:rPr>
        <w:t>Innovation</w:t>
      </w:r>
      <w:commentRangeEnd w:id="3"/>
      <w:r w:rsidRPr="000031A1">
        <w:rPr>
          <w:rStyle w:val="CommentReference"/>
          <w:rFonts w:ascii="Arial" w:eastAsia="Arial" w:hAnsi="Arial" w:cs="Arial"/>
          <w:u w:val="single"/>
        </w:rPr>
        <w:commentReference w:id="3"/>
      </w:r>
    </w:p>
    <w:p w14:paraId="156CFC6E" w14:textId="02B3FA8A" w:rsidR="00EB5B39" w:rsidRDefault="00EB5B39" w:rsidP="00FC0257">
      <w:pPr>
        <w:spacing w:after="120"/>
        <w:rPr>
          <w:rFonts w:ascii="Arial" w:hAnsi="Arial" w:cs="Arial"/>
          <w:b/>
          <w:bCs/>
          <w:sz w:val="22"/>
          <w:szCs w:val="22"/>
        </w:rPr>
      </w:pPr>
      <w:commentRangeStart w:id="4"/>
      <w:r>
        <w:rPr>
          <w:rFonts w:ascii="Arial" w:hAnsi="Arial" w:cs="Arial"/>
          <w:b/>
          <w:bCs/>
          <w:sz w:val="22"/>
          <w:szCs w:val="22"/>
        </w:rPr>
        <w:t>Approach</w:t>
      </w:r>
      <w:commentRangeEnd w:id="4"/>
      <w:r w:rsidR="009E0813">
        <w:rPr>
          <w:rStyle w:val="CommentReference"/>
          <w:rFonts w:ascii="Arial" w:eastAsia="Arial" w:hAnsi="Arial" w:cs="Arial"/>
        </w:rPr>
        <w:commentReference w:id="4"/>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655F320A"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D72824" w:rsidRPr="00D72824">
        <w:rPr>
          <w:rFonts w:ascii="Arial" w:hAnsi="Arial" w:cs="Arial"/>
          <w:bCs/>
          <w:noProof/>
          <w:sz w:val="22"/>
          <w:szCs w:val="22"/>
          <w:vertAlign w:val="superscript"/>
        </w:rPr>
        <w:t>46</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2CE159B"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D72824" w:rsidRPr="00D72824">
        <w:rPr>
          <w:rFonts w:ascii="Arial" w:hAnsi="Arial" w:cs="Arial"/>
          <w:bCs/>
          <w:noProof/>
          <w:sz w:val="22"/>
          <w:szCs w:val="22"/>
          <w:vertAlign w:val="superscript"/>
        </w:rPr>
        <w:t>47–49</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29506F68"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D72824" w:rsidRPr="00D72824">
        <w:rPr>
          <w:rFonts w:ascii="Arial" w:hAnsi="Arial" w:cs="Arial"/>
          <w:bCs/>
          <w:noProof/>
          <w:sz w:val="22"/>
          <w:szCs w:val="22"/>
          <w:vertAlign w:val="superscript"/>
        </w:rPr>
        <w:t>50–56</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D72824" w:rsidRPr="00D72824">
        <w:rPr>
          <w:rFonts w:ascii="Arial" w:hAnsi="Arial" w:cs="Arial"/>
          <w:bCs/>
          <w:noProof/>
          <w:sz w:val="22"/>
          <w:szCs w:val="22"/>
          <w:vertAlign w:val="superscript"/>
        </w:rPr>
        <w:t>57–59</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lastRenderedPageBreak/>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5"/>
      <w:r w:rsidRPr="00E93CDC">
        <w:rPr>
          <w:rFonts w:ascii="Arial" w:hAnsi="Arial" w:cs="Arial"/>
          <w:b/>
          <w:sz w:val="22"/>
          <w:szCs w:val="22"/>
        </w:rPr>
        <w:t>mechanism</w:t>
      </w:r>
      <w:r w:rsidRPr="00E93CDC">
        <w:rPr>
          <w:rFonts w:ascii="Arial" w:hAnsi="Arial" w:cs="Arial"/>
          <w:b/>
          <w:spacing w:val="-7"/>
          <w:sz w:val="22"/>
          <w:szCs w:val="22"/>
        </w:rPr>
        <w:t xml:space="preserve"> </w:t>
      </w:r>
      <w:commentRangeEnd w:id="5"/>
      <w:r w:rsidR="003E5C87">
        <w:rPr>
          <w:rStyle w:val="CommentReference"/>
          <w:rFonts w:ascii="Arial" w:eastAsia="Arial" w:hAnsi="Arial" w:cs="Arial"/>
        </w:rPr>
        <w:commentReference w:id="5"/>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23C84ADA"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636CB9" w:rsidRPr="00286CA2">
        <w:rPr>
          <w:rFonts w:ascii="Arial" w:hAnsi="Arial" w:cs="Arial"/>
          <w:bCs/>
          <w:noProof/>
          <w:sz w:val="22"/>
          <w:szCs w:val="22"/>
          <w:vertAlign w:val="superscript"/>
        </w:rPr>
        <w:t>16,17</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36CB9" w:rsidRPr="00286CA2">
        <w:rPr>
          <w:rFonts w:ascii="Arial" w:hAnsi="Arial" w:cs="Arial"/>
          <w:bCs/>
          <w:noProof/>
          <w:sz w:val="22"/>
          <w:szCs w:val="22"/>
          <w:vertAlign w:val="superscript"/>
        </w:rPr>
        <w:t>17</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4FFBE035"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D72824" w:rsidRPr="00D72824">
        <w:rPr>
          <w:rFonts w:ascii="Arial" w:hAnsi="Arial" w:cs="Arial"/>
          <w:bCs/>
          <w:noProof/>
          <w:sz w:val="22"/>
          <w:szCs w:val="22"/>
          <w:vertAlign w:val="superscript"/>
        </w:rPr>
        <w:t>33</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636CB9" w:rsidRPr="00286CA2">
        <w:rPr>
          <w:rFonts w:ascii="Arial" w:hAnsi="Arial" w:cs="Arial"/>
          <w:bCs/>
          <w:noProof/>
          <w:sz w:val="22"/>
          <w:szCs w:val="22"/>
          <w:vertAlign w:val="superscript"/>
        </w:rPr>
        <w:t>16</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636CB9" w:rsidRPr="00286CA2">
        <w:rPr>
          <w:rFonts w:ascii="Arial" w:hAnsi="Arial" w:cs="Arial"/>
          <w:bCs/>
          <w:noProof/>
          <w:sz w:val="22"/>
          <w:szCs w:val="22"/>
          <w:vertAlign w:val="superscript"/>
        </w:rPr>
        <w:t>17</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7A0A1F4A" w14:textId="5071A8F0" w:rsidR="00D72824"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D72824">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D72824">
        <w:rPr>
          <w:rFonts w:ascii="Arial" w:hAnsi="Arial" w:cs="Arial"/>
          <w:bCs/>
          <w:noProof/>
          <w:sz w:val="22"/>
          <w:szCs w:val="22"/>
        </w:rPr>
        <w:t>1.</w:t>
      </w:r>
      <w:r w:rsidR="00D72824">
        <w:rPr>
          <w:rFonts w:ascii="Arial" w:hAnsi="Arial" w:cs="Arial"/>
          <w:bCs/>
          <w:noProof/>
          <w:sz w:val="22"/>
          <w:szCs w:val="22"/>
        </w:rPr>
        <w:tab/>
        <w:t xml:space="preserve">Ke, S. </w:t>
      </w:r>
      <w:r w:rsidR="00D72824" w:rsidRPr="00D72824">
        <w:rPr>
          <w:rFonts w:ascii="Arial" w:hAnsi="Arial" w:cs="Arial"/>
          <w:bCs/>
          <w:i/>
          <w:noProof/>
          <w:sz w:val="22"/>
          <w:szCs w:val="22"/>
        </w:rPr>
        <w:t>et al.</w:t>
      </w:r>
      <w:r w:rsidR="00D72824">
        <w:rPr>
          <w:rFonts w:ascii="Arial" w:hAnsi="Arial" w:cs="Arial"/>
          <w:bCs/>
          <w:noProof/>
          <w:sz w:val="22"/>
          <w:szCs w:val="22"/>
        </w:rPr>
        <w:t xml:space="preserve"> Saturation mutagenesis reveals manifold determinants of exon definition. </w:t>
      </w:r>
      <w:r w:rsidR="00D72824" w:rsidRPr="00D72824">
        <w:rPr>
          <w:rFonts w:ascii="Arial" w:hAnsi="Arial" w:cs="Arial"/>
          <w:bCs/>
          <w:i/>
          <w:noProof/>
          <w:sz w:val="22"/>
          <w:szCs w:val="22"/>
        </w:rPr>
        <w:t>Genome Res.</w:t>
      </w:r>
      <w:r w:rsidR="00D72824">
        <w:rPr>
          <w:rFonts w:ascii="Arial" w:hAnsi="Arial" w:cs="Arial"/>
          <w:bCs/>
          <w:noProof/>
          <w:sz w:val="22"/>
          <w:szCs w:val="22"/>
        </w:rPr>
        <w:t xml:space="preserve"> </w:t>
      </w:r>
      <w:r w:rsidR="00D72824" w:rsidRPr="00D72824">
        <w:rPr>
          <w:rFonts w:ascii="Arial" w:hAnsi="Arial" w:cs="Arial"/>
          <w:b/>
          <w:bCs/>
          <w:noProof/>
          <w:sz w:val="22"/>
          <w:szCs w:val="22"/>
        </w:rPr>
        <w:t>28</w:t>
      </w:r>
      <w:r w:rsidR="00D72824">
        <w:rPr>
          <w:rFonts w:ascii="Arial" w:hAnsi="Arial" w:cs="Arial"/>
          <w:bCs/>
          <w:noProof/>
          <w:sz w:val="22"/>
          <w:szCs w:val="22"/>
        </w:rPr>
        <w:t>, 11–24 (2018).</w:t>
      </w:r>
    </w:p>
    <w:p w14:paraId="3C6071B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7</w:t>
      </w:r>
      <w:r>
        <w:rPr>
          <w:rFonts w:ascii="Arial" w:hAnsi="Arial" w:cs="Arial"/>
          <w:bCs/>
          <w:noProof/>
          <w:sz w:val="22"/>
          <w:szCs w:val="22"/>
        </w:rPr>
        <w:t>, 1–8 (2016).</w:t>
      </w:r>
    </w:p>
    <w:p w14:paraId="0BC66ACC"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D72824">
        <w:rPr>
          <w:rFonts w:ascii="Arial" w:hAnsi="Arial" w:cs="Arial"/>
          <w:bCs/>
          <w:i/>
          <w:noProof/>
          <w:sz w:val="22"/>
          <w:szCs w:val="22"/>
        </w:rPr>
        <w:t>Genome Biol.</w:t>
      </w:r>
      <w:r>
        <w:rPr>
          <w:rFonts w:ascii="Arial" w:hAnsi="Arial" w:cs="Arial"/>
          <w:bCs/>
          <w:noProof/>
          <w:sz w:val="22"/>
          <w:szCs w:val="22"/>
        </w:rPr>
        <w:t xml:space="preserve"> </w:t>
      </w:r>
      <w:r w:rsidRPr="00D72824">
        <w:rPr>
          <w:rFonts w:ascii="Arial" w:hAnsi="Arial" w:cs="Arial"/>
          <w:b/>
          <w:bCs/>
          <w:noProof/>
          <w:sz w:val="22"/>
          <w:szCs w:val="22"/>
        </w:rPr>
        <w:t>19</w:t>
      </w:r>
      <w:r>
        <w:rPr>
          <w:rFonts w:ascii="Arial" w:hAnsi="Arial" w:cs="Arial"/>
          <w:bCs/>
          <w:noProof/>
          <w:sz w:val="22"/>
          <w:szCs w:val="22"/>
        </w:rPr>
        <w:t>, 71 (2018).</w:t>
      </w:r>
    </w:p>
    <w:p w14:paraId="6861ED05"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w:t>
      </w:r>
      <w:r>
        <w:rPr>
          <w:rFonts w:ascii="Arial" w:hAnsi="Arial" w:cs="Arial"/>
          <w:bCs/>
          <w:noProof/>
          <w:sz w:val="22"/>
          <w:szCs w:val="22"/>
        </w:rPr>
        <w:tab/>
        <w:t xml:space="preserve">Soemedi, R. </w:t>
      </w:r>
      <w:r w:rsidRPr="00D72824">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D72824">
        <w:rPr>
          <w:rFonts w:ascii="Arial" w:hAnsi="Arial" w:cs="Arial"/>
          <w:bCs/>
          <w:i/>
          <w:noProof/>
          <w:sz w:val="22"/>
          <w:szCs w:val="22"/>
        </w:rPr>
        <w:t>Nat. Genet.</w:t>
      </w:r>
      <w:r>
        <w:rPr>
          <w:rFonts w:ascii="Arial" w:hAnsi="Arial" w:cs="Arial"/>
          <w:bCs/>
          <w:noProof/>
          <w:sz w:val="22"/>
          <w:szCs w:val="22"/>
        </w:rPr>
        <w:t xml:space="preserve"> </w:t>
      </w:r>
      <w:r w:rsidRPr="00D72824">
        <w:rPr>
          <w:rFonts w:ascii="Arial" w:hAnsi="Arial" w:cs="Arial"/>
          <w:b/>
          <w:bCs/>
          <w:noProof/>
          <w:sz w:val="22"/>
          <w:szCs w:val="22"/>
        </w:rPr>
        <w:t>49</w:t>
      </w:r>
      <w:r>
        <w:rPr>
          <w:rFonts w:ascii="Arial" w:hAnsi="Arial" w:cs="Arial"/>
          <w:bCs/>
          <w:noProof/>
          <w:sz w:val="22"/>
          <w:szCs w:val="22"/>
        </w:rPr>
        <w:t>, 848–855 (2017).</w:t>
      </w:r>
    </w:p>
    <w:p w14:paraId="659028A0"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D72824">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13</w:t>
      </w:r>
      <w:r>
        <w:rPr>
          <w:rFonts w:ascii="Arial" w:hAnsi="Arial" w:cs="Arial"/>
          <w:bCs/>
          <w:noProof/>
          <w:sz w:val="22"/>
          <w:szCs w:val="22"/>
        </w:rPr>
        <w:t>, 1–17 (2022).</w:t>
      </w:r>
    </w:p>
    <w:p w14:paraId="74A70CDD"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D72824">
        <w:rPr>
          <w:rFonts w:ascii="Arial" w:hAnsi="Arial" w:cs="Arial"/>
          <w:bCs/>
          <w:i/>
          <w:noProof/>
          <w:sz w:val="22"/>
          <w:szCs w:val="22"/>
        </w:rPr>
        <w:t>PLoS Genet.</w:t>
      </w:r>
      <w:r>
        <w:rPr>
          <w:rFonts w:ascii="Arial" w:hAnsi="Arial" w:cs="Arial"/>
          <w:bCs/>
          <w:noProof/>
          <w:sz w:val="22"/>
          <w:szCs w:val="22"/>
        </w:rPr>
        <w:t xml:space="preserve"> </w:t>
      </w:r>
      <w:r w:rsidRPr="00D72824">
        <w:rPr>
          <w:rFonts w:ascii="Arial" w:hAnsi="Arial" w:cs="Arial"/>
          <w:b/>
          <w:bCs/>
          <w:noProof/>
          <w:sz w:val="22"/>
          <w:szCs w:val="22"/>
        </w:rPr>
        <w:t>17</w:t>
      </w:r>
      <w:r>
        <w:rPr>
          <w:rFonts w:ascii="Arial" w:hAnsi="Arial" w:cs="Arial"/>
          <w:bCs/>
          <w:noProof/>
          <w:sz w:val="22"/>
          <w:szCs w:val="22"/>
        </w:rPr>
        <w:t>, e1009805 (2021).</w:t>
      </w:r>
    </w:p>
    <w:p w14:paraId="073EC162"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10</w:t>
      </w:r>
      <w:r>
        <w:rPr>
          <w:rFonts w:ascii="Arial" w:hAnsi="Arial" w:cs="Arial"/>
          <w:bCs/>
          <w:noProof/>
          <w:sz w:val="22"/>
          <w:szCs w:val="22"/>
        </w:rPr>
        <w:t>, 1–14 (2019).</w:t>
      </w:r>
    </w:p>
    <w:p w14:paraId="490DB90B"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D72824">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9</w:t>
      </w:r>
      <w:r>
        <w:rPr>
          <w:rFonts w:ascii="Arial" w:hAnsi="Arial" w:cs="Arial"/>
          <w:bCs/>
          <w:noProof/>
          <w:sz w:val="22"/>
          <w:szCs w:val="22"/>
        </w:rPr>
        <w:t>, 1–18 (2018).</w:t>
      </w:r>
    </w:p>
    <w:p w14:paraId="184202F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D72824">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D72824">
        <w:rPr>
          <w:rFonts w:ascii="Arial" w:hAnsi="Arial" w:cs="Arial"/>
          <w:bCs/>
          <w:i/>
          <w:noProof/>
          <w:sz w:val="22"/>
          <w:szCs w:val="22"/>
        </w:rPr>
        <w:t>RNA Biol.</w:t>
      </w:r>
      <w:r>
        <w:rPr>
          <w:rFonts w:ascii="Arial" w:hAnsi="Arial" w:cs="Arial"/>
          <w:bCs/>
          <w:noProof/>
          <w:sz w:val="22"/>
          <w:szCs w:val="22"/>
        </w:rPr>
        <w:t xml:space="preserve"> </w:t>
      </w:r>
      <w:r w:rsidRPr="00D72824">
        <w:rPr>
          <w:rFonts w:ascii="Arial" w:hAnsi="Arial" w:cs="Arial"/>
          <w:b/>
          <w:bCs/>
          <w:noProof/>
          <w:sz w:val="22"/>
          <w:szCs w:val="22"/>
        </w:rPr>
        <w:t>16</w:t>
      </w:r>
      <w:r>
        <w:rPr>
          <w:rFonts w:ascii="Arial" w:hAnsi="Arial" w:cs="Arial"/>
          <w:bCs/>
          <w:noProof/>
          <w:sz w:val="22"/>
          <w:szCs w:val="22"/>
        </w:rPr>
        <w:t>, 1364–1376 (2019).</w:t>
      </w:r>
    </w:p>
    <w:p w14:paraId="7216D9C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D72824">
        <w:rPr>
          <w:rFonts w:ascii="Arial" w:hAnsi="Arial" w:cs="Arial"/>
          <w:bCs/>
          <w:i/>
          <w:noProof/>
          <w:sz w:val="22"/>
          <w:szCs w:val="22"/>
        </w:rPr>
        <w:t>Elife</w:t>
      </w:r>
      <w:r>
        <w:rPr>
          <w:rFonts w:ascii="Arial" w:hAnsi="Arial" w:cs="Arial"/>
          <w:bCs/>
          <w:noProof/>
          <w:sz w:val="22"/>
          <w:szCs w:val="22"/>
        </w:rPr>
        <w:t xml:space="preserve"> </w:t>
      </w:r>
      <w:r w:rsidRPr="00D72824">
        <w:rPr>
          <w:rFonts w:ascii="Arial" w:hAnsi="Arial" w:cs="Arial"/>
          <w:b/>
          <w:bCs/>
          <w:noProof/>
          <w:sz w:val="22"/>
          <w:szCs w:val="22"/>
        </w:rPr>
        <w:t>9</w:t>
      </w:r>
      <w:r>
        <w:rPr>
          <w:rFonts w:ascii="Arial" w:hAnsi="Arial" w:cs="Arial"/>
          <w:bCs/>
          <w:noProof/>
          <w:sz w:val="22"/>
          <w:szCs w:val="22"/>
        </w:rPr>
        <w:t>, (2020).</w:t>
      </w:r>
    </w:p>
    <w:p w14:paraId="1F450C4A"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D72824">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D72824">
        <w:rPr>
          <w:rFonts w:ascii="Arial" w:hAnsi="Arial" w:cs="Arial"/>
          <w:bCs/>
          <w:i/>
          <w:noProof/>
          <w:sz w:val="22"/>
          <w:szCs w:val="22"/>
        </w:rPr>
        <w:t>Mol. Cell</w:t>
      </w:r>
      <w:r>
        <w:rPr>
          <w:rFonts w:ascii="Arial" w:hAnsi="Arial" w:cs="Arial"/>
          <w:bCs/>
          <w:noProof/>
          <w:sz w:val="22"/>
          <w:szCs w:val="22"/>
        </w:rPr>
        <w:t xml:space="preserve"> </w:t>
      </w:r>
      <w:r w:rsidRPr="00D72824">
        <w:rPr>
          <w:rFonts w:ascii="Arial" w:hAnsi="Arial" w:cs="Arial"/>
          <w:b/>
          <w:bCs/>
          <w:noProof/>
          <w:sz w:val="22"/>
          <w:szCs w:val="22"/>
        </w:rPr>
        <w:t>73</w:t>
      </w:r>
      <w:r>
        <w:rPr>
          <w:rFonts w:ascii="Arial" w:hAnsi="Arial" w:cs="Arial"/>
          <w:bCs/>
          <w:noProof/>
          <w:sz w:val="22"/>
          <w:szCs w:val="22"/>
        </w:rPr>
        <w:t>, 183-194.e8 (2019).</w:t>
      </w:r>
    </w:p>
    <w:p w14:paraId="75B949F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D72824">
        <w:rPr>
          <w:rFonts w:ascii="Arial" w:hAnsi="Arial" w:cs="Arial"/>
          <w:bCs/>
          <w:i/>
          <w:noProof/>
          <w:sz w:val="22"/>
          <w:szCs w:val="22"/>
        </w:rPr>
        <w:t>Cell</w:t>
      </w:r>
      <w:r>
        <w:rPr>
          <w:rFonts w:ascii="Arial" w:hAnsi="Arial" w:cs="Arial"/>
          <w:bCs/>
          <w:noProof/>
          <w:sz w:val="22"/>
          <w:szCs w:val="22"/>
        </w:rPr>
        <w:t xml:space="preserve"> </w:t>
      </w:r>
      <w:r w:rsidRPr="00D72824">
        <w:rPr>
          <w:rFonts w:ascii="Arial" w:hAnsi="Arial" w:cs="Arial"/>
          <w:b/>
          <w:bCs/>
          <w:noProof/>
          <w:sz w:val="22"/>
          <w:szCs w:val="22"/>
        </w:rPr>
        <w:t>176</w:t>
      </w:r>
      <w:r>
        <w:rPr>
          <w:rFonts w:ascii="Arial" w:hAnsi="Arial" w:cs="Arial"/>
          <w:bCs/>
          <w:noProof/>
          <w:sz w:val="22"/>
          <w:szCs w:val="22"/>
        </w:rPr>
        <w:t>, 549-563.e23 (2019).</w:t>
      </w:r>
    </w:p>
    <w:p w14:paraId="0C077FF8"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D72824">
        <w:rPr>
          <w:rFonts w:ascii="Arial" w:hAnsi="Arial" w:cs="Arial"/>
          <w:bCs/>
          <w:i/>
          <w:noProof/>
          <w:sz w:val="22"/>
          <w:szCs w:val="22"/>
        </w:rPr>
        <w:t>Cell</w:t>
      </w:r>
      <w:r>
        <w:rPr>
          <w:rFonts w:ascii="Arial" w:hAnsi="Arial" w:cs="Arial"/>
          <w:bCs/>
          <w:noProof/>
          <w:sz w:val="22"/>
          <w:szCs w:val="22"/>
        </w:rPr>
        <w:t xml:space="preserve"> </w:t>
      </w:r>
      <w:r w:rsidRPr="00D72824">
        <w:rPr>
          <w:rFonts w:ascii="Arial" w:hAnsi="Arial" w:cs="Arial"/>
          <w:b/>
          <w:bCs/>
          <w:noProof/>
          <w:sz w:val="22"/>
          <w:szCs w:val="22"/>
        </w:rPr>
        <w:t>163</w:t>
      </w:r>
      <w:r>
        <w:rPr>
          <w:rFonts w:ascii="Arial" w:hAnsi="Arial" w:cs="Arial"/>
          <w:bCs/>
          <w:noProof/>
          <w:sz w:val="22"/>
          <w:szCs w:val="22"/>
        </w:rPr>
        <w:t>, 698–711 (2015).</w:t>
      </w:r>
    </w:p>
    <w:p w14:paraId="6CB6AB3A"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D72824">
        <w:rPr>
          <w:rFonts w:ascii="Arial" w:hAnsi="Arial" w:cs="Arial"/>
          <w:bCs/>
          <w:i/>
          <w:noProof/>
          <w:sz w:val="22"/>
          <w:szCs w:val="22"/>
        </w:rPr>
        <w:t>Mol. Cell</w:t>
      </w:r>
      <w:r>
        <w:rPr>
          <w:rFonts w:ascii="Arial" w:hAnsi="Arial" w:cs="Arial"/>
          <w:bCs/>
          <w:noProof/>
          <w:sz w:val="22"/>
          <w:szCs w:val="22"/>
        </w:rPr>
        <w:t xml:space="preserve"> </w:t>
      </w:r>
      <w:r w:rsidRPr="00D72824">
        <w:rPr>
          <w:rFonts w:ascii="Arial" w:hAnsi="Arial" w:cs="Arial"/>
          <w:b/>
          <w:bCs/>
          <w:noProof/>
          <w:sz w:val="22"/>
          <w:szCs w:val="22"/>
        </w:rPr>
        <w:t>71</w:t>
      </w:r>
      <w:r>
        <w:rPr>
          <w:rFonts w:ascii="Arial" w:hAnsi="Arial" w:cs="Arial"/>
          <w:bCs/>
          <w:noProof/>
          <w:sz w:val="22"/>
          <w:szCs w:val="22"/>
        </w:rPr>
        <w:t>, 1012-1026.e3 (2018).</w:t>
      </w:r>
    </w:p>
    <w:p w14:paraId="74B398BA"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D72824">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D72824">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44A6264D"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Wang, Z. </w:t>
      </w:r>
      <w:r w:rsidRPr="00D72824">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D72824">
        <w:rPr>
          <w:rFonts w:ascii="Arial" w:hAnsi="Arial" w:cs="Arial"/>
          <w:bCs/>
          <w:i/>
          <w:noProof/>
          <w:sz w:val="22"/>
          <w:szCs w:val="22"/>
        </w:rPr>
        <w:t>Journal of molecular</w:t>
      </w:r>
      <w:r>
        <w:rPr>
          <w:rFonts w:ascii="Arial" w:hAnsi="Arial" w:cs="Arial"/>
          <w:bCs/>
          <w:noProof/>
          <w:sz w:val="22"/>
          <w:szCs w:val="22"/>
        </w:rPr>
        <w:t xml:space="preserve"> (2012).</w:t>
      </w:r>
    </w:p>
    <w:p w14:paraId="4FF0FA58"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D72824">
        <w:rPr>
          <w:rFonts w:ascii="Arial" w:hAnsi="Arial" w:cs="Arial"/>
          <w:bCs/>
          <w:i/>
          <w:noProof/>
          <w:sz w:val="22"/>
          <w:szCs w:val="22"/>
        </w:rPr>
        <w:t>Open Biol.</w:t>
      </w:r>
      <w:r>
        <w:rPr>
          <w:rFonts w:ascii="Arial" w:hAnsi="Arial" w:cs="Arial"/>
          <w:bCs/>
          <w:noProof/>
          <w:sz w:val="22"/>
          <w:szCs w:val="22"/>
        </w:rPr>
        <w:t xml:space="preserve"> </w:t>
      </w:r>
      <w:r w:rsidRPr="00D72824">
        <w:rPr>
          <w:rFonts w:ascii="Arial" w:hAnsi="Arial" w:cs="Arial"/>
          <w:b/>
          <w:bCs/>
          <w:noProof/>
          <w:sz w:val="22"/>
          <w:szCs w:val="22"/>
        </w:rPr>
        <w:t>2</w:t>
      </w:r>
      <w:r>
        <w:rPr>
          <w:rFonts w:ascii="Arial" w:hAnsi="Arial" w:cs="Arial"/>
          <w:bCs/>
          <w:noProof/>
          <w:sz w:val="22"/>
          <w:szCs w:val="22"/>
        </w:rPr>
        <w:t>, 120133 (2012).</w:t>
      </w:r>
    </w:p>
    <w:p w14:paraId="037868FB"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18.</w:t>
      </w:r>
      <w:r>
        <w:rPr>
          <w:rFonts w:ascii="Arial" w:hAnsi="Arial" w:cs="Arial"/>
          <w:bCs/>
          <w:noProof/>
          <w:sz w:val="22"/>
          <w:szCs w:val="22"/>
        </w:rPr>
        <w:tab/>
        <w:t xml:space="preserve">Piovesan, A. </w:t>
      </w:r>
      <w:r w:rsidRPr="00D72824">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D72824">
        <w:rPr>
          <w:rFonts w:ascii="Arial" w:hAnsi="Arial" w:cs="Arial"/>
          <w:bCs/>
          <w:i/>
          <w:noProof/>
          <w:sz w:val="22"/>
          <w:szCs w:val="22"/>
        </w:rPr>
        <w:t>BMC Res. Notes</w:t>
      </w:r>
      <w:r>
        <w:rPr>
          <w:rFonts w:ascii="Arial" w:hAnsi="Arial" w:cs="Arial"/>
          <w:bCs/>
          <w:noProof/>
          <w:sz w:val="22"/>
          <w:szCs w:val="22"/>
        </w:rPr>
        <w:t xml:space="preserve"> </w:t>
      </w:r>
      <w:r w:rsidRPr="00D72824">
        <w:rPr>
          <w:rFonts w:ascii="Arial" w:hAnsi="Arial" w:cs="Arial"/>
          <w:b/>
          <w:bCs/>
          <w:noProof/>
          <w:sz w:val="22"/>
          <w:szCs w:val="22"/>
        </w:rPr>
        <w:t>12</w:t>
      </w:r>
      <w:r>
        <w:rPr>
          <w:rFonts w:ascii="Arial" w:hAnsi="Arial" w:cs="Arial"/>
          <w:bCs/>
          <w:noProof/>
          <w:sz w:val="22"/>
          <w:szCs w:val="22"/>
        </w:rPr>
        <w:t>, 315 (2019).</w:t>
      </w:r>
    </w:p>
    <w:p w14:paraId="0A83DAD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D72824">
        <w:rPr>
          <w:rFonts w:ascii="Arial" w:hAnsi="Arial" w:cs="Arial"/>
          <w:bCs/>
          <w:i/>
          <w:noProof/>
          <w:sz w:val="22"/>
          <w:szCs w:val="22"/>
        </w:rPr>
        <w:t>Wiley Interdiscip. Rev. RNA</w:t>
      </w:r>
      <w:r>
        <w:rPr>
          <w:rFonts w:ascii="Arial" w:hAnsi="Arial" w:cs="Arial"/>
          <w:bCs/>
          <w:noProof/>
          <w:sz w:val="22"/>
          <w:szCs w:val="22"/>
        </w:rPr>
        <w:t xml:space="preserve"> </w:t>
      </w:r>
      <w:r w:rsidRPr="00D72824">
        <w:rPr>
          <w:rFonts w:ascii="Arial" w:hAnsi="Arial" w:cs="Arial"/>
          <w:b/>
          <w:bCs/>
          <w:noProof/>
          <w:sz w:val="22"/>
          <w:szCs w:val="22"/>
        </w:rPr>
        <w:t>9</w:t>
      </w:r>
      <w:r>
        <w:rPr>
          <w:rFonts w:ascii="Arial" w:hAnsi="Arial" w:cs="Arial"/>
          <w:bCs/>
          <w:noProof/>
          <w:sz w:val="22"/>
          <w:szCs w:val="22"/>
        </w:rPr>
        <w:t>, e1468 (2018).</w:t>
      </w:r>
    </w:p>
    <w:p w14:paraId="67D9ABC0"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Wang, Z. &amp; Burge, C. B. Splicing regulation: from a parts list of regulatory elements to an integrated splicing code. </w:t>
      </w:r>
      <w:r w:rsidRPr="00D72824">
        <w:rPr>
          <w:rFonts w:ascii="Arial" w:hAnsi="Arial" w:cs="Arial"/>
          <w:bCs/>
          <w:i/>
          <w:noProof/>
          <w:sz w:val="22"/>
          <w:szCs w:val="22"/>
        </w:rPr>
        <w:t>RNA</w:t>
      </w:r>
      <w:r>
        <w:rPr>
          <w:rFonts w:ascii="Arial" w:hAnsi="Arial" w:cs="Arial"/>
          <w:bCs/>
          <w:noProof/>
          <w:sz w:val="22"/>
          <w:szCs w:val="22"/>
        </w:rPr>
        <w:t xml:space="preserve"> </w:t>
      </w:r>
      <w:r w:rsidRPr="00D72824">
        <w:rPr>
          <w:rFonts w:ascii="Arial" w:hAnsi="Arial" w:cs="Arial"/>
          <w:b/>
          <w:bCs/>
          <w:noProof/>
          <w:sz w:val="22"/>
          <w:szCs w:val="22"/>
        </w:rPr>
        <w:t>14</w:t>
      </w:r>
      <w:r>
        <w:rPr>
          <w:rFonts w:ascii="Arial" w:hAnsi="Arial" w:cs="Arial"/>
          <w:bCs/>
          <w:noProof/>
          <w:sz w:val="22"/>
          <w:szCs w:val="22"/>
        </w:rPr>
        <w:t>, 802–813 (2008).</w:t>
      </w:r>
    </w:p>
    <w:p w14:paraId="469CCF3B"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Kalinina, M. </w:t>
      </w:r>
      <w:r w:rsidRPr="00D72824">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D72824">
        <w:rPr>
          <w:rFonts w:ascii="Arial" w:hAnsi="Arial" w:cs="Arial"/>
          <w:bCs/>
          <w:i/>
          <w:noProof/>
          <w:sz w:val="22"/>
          <w:szCs w:val="22"/>
        </w:rPr>
        <w:t>Nucleic Acids Res.</w:t>
      </w:r>
      <w:r>
        <w:rPr>
          <w:rFonts w:ascii="Arial" w:hAnsi="Arial" w:cs="Arial"/>
          <w:bCs/>
          <w:noProof/>
          <w:sz w:val="22"/>
          <w:szCs w:val="22"/>
        </w:rPr>
        <w:t xml:space="preserve"> </w:t>
      </w:r>
      <w:r w:rsidRPr="00D72824">
        <w:rPr>
          <w:rFonts w:ascii="Arial" w:hAnsi="Arial" w:cs="Arial"/>
          <w:b/>
          <w:bCs/>
          <w:noProof/>
          <w:sz w:val="22"/>
          <w:szCs w:val="22"/>
        </w:rPr>
        <w:t>49</w:t>
      </w:r>
      <w:r>
        <w:rPr>
          <w:rFonts w:ascii="Arial" w:hAnsi="Arial" w:cs="Arial"/>
          <w:bCs/>
          <w:noProof/>
          <w:sz w:val="22"/>
          <w:szCs w:val="22"/>
        </w:rPr>
        <w:t>, 479–490 (2021).</w:t>
      </w:r>
    </w:p>
    <w:p w14:paraId="51BA1CE5"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Hatje, K. </w:t>
      </w:r>
      <w:r w:rsidRPr="00D72824">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D72824">
        <w:rPr>
          <w:rFonts w:ascii="Arial" w:hAnsi="Arial" w:cs="Arial"/>
          <w:bCs/>
          <w:i/>
          <w:noProof/>
          <w:sz w:val="22"/>
          <w:szCs w:val="22"/>
        </w:rPr>
        <w:t>Mol. Syst. Biol.</w:t>
      </w:r>
      <w:r>
        <w:rPr>
          <w:rFonts w:ascii="Arial" w:hAnsi="Arial" w:cs="Arial"/>
          <w:bCs/>
          <w:noProof/>
          <w:sz w:val="22"/>
          <w:szCs w:val="22"/>
        </w:rPr>
        <w:t xml:space="preserve"> </w:t>
      </w:r>
      <w:r w:rsidRPr="00D72824">
        <w:rPr>
          <w:rFonts w:ascii="Arial" w:hAnsi="Arial" w:cs="Arial"/>
          <w:b/>
          <w:bCs/>
          <w:noProof/>
          <w:sz w:val="22"/>
          <w:szCs w:val="22"/>
        </w:rPr>
        <w:t>13</w:t>
      </w:r>
      <w:r>
        <w:rPr>
          <w:rFonts w:ascii="Arial" w:hAnsi="Arial" w:cs="Arial"/>
          <w:bCs/>
          <w:noProof/>
          <w:sz w:val="22"/>
          <w:szCs w:val="22"/>
        </w:rPr>
        <w:t>, 959 (2017).</w:t>
      </w:r>
    </w:p>
    <w:p w14:paraId="4A75378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Tilgner, H. </w:t>
      </w:r>
      <w:r w:rsidRPr="00D72824">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D72824">
        <w:rPr>
          <w:rFonts w:ascii="Arial" w:hAnsi="Arial" w:cs="Arial"/>
          <w:bCs/>
          <w:i/>
          <w:noProof/>
          <w:sz w:val="22"/>
          <w:szCs w:val="22"/>
        </w:rPr>
        <w:t>Nat. Biotechnol.</w:t>
      </w:r>
      <w:r>
        <w:rPr>
          <w:rFonts w:ascii="Arial" w:hAnsi="Arial" w:cs="Arial"/>
          <w:bCs/>
          <w:noProof/>
          <w:sz w:val="22"/>
          <w:szCs w:val="22"/>
        </w:rPr>
        <w:t xml:space="preserve"> </w:t>
      </w:r>
      <w:r w:rsidRPr="00D72824">
        <w:rPr>
          <w:rFonts w:ascii="Arial" w:hAnsi="Arial" w:cs="Arial"/>
          <w:b/>
          <w:bCs/>
          <w:noProof/>
          <w:sz w:val="22"/>
          <w:szCs w:val="22"/>
        </w:rPr>
        <w:t>33</w:t>
      </w:r>
      <w:r>
        <w:rPr>
          <w:rFonts w:ascii="Arial" w:hAnsi="Arial" w:cs="Arial"/>
          <w:bCs/>
          <w:noProof/>
          <w:sz w:val="22"/>
          <w:szCs w:val="22"/>
        </w:rPr>
        <w:t>, 736–742 (2015).</w:t>
      </w:r>
    </w:p>
    <w:p w14:paraId="4CE95759"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D72824">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D72824">
        <w:rPr>
          <w:rFonts w:ascii="Arial" w:hAnsi="Arial" w:cs="Arial"/>
          <w:bCs/>
          <w:i/>
          <w:noProof/>
          <w:sz w:val="22"/>
          <w:szCs w:val="22"/>
        </w:rPr>
        <w:t>Genome Res.</w:t>
      </w:r>
      <w:r>
        <w:rPr>
          <w:rFonts w:ascii="Arial" w:hAnsi="Arial" w:cs="Arial"/>
          <w:bCs/>
          <w:noProof/>
          <w:sz w:val="22"/>
          <w:szCs w:val="22"/>
        </w:rPr>
        <w:t xml:space="preserve"> </w:t>
      </w:r>
      <w:r w:rsidRPr="00D72824">
        <w:rPr>
          <w:rFonts w:ascii="Arial" w:hAnsi="Arial" w:cs="Arial"/>
          <w:b/>
          <w:bCs/>
          <w:noProof/>
          <w:sz w:val="22"/>
          <w:szCs w:val="22"/>
        </w:rPr>
        <w:t>28</w:t>
      </w:r>
      <w:r>
        <w:rPr>
          <w:rFonts w:ascii="Arial" w:hAnsi="Arial" w:cs="Arial"/>
          <w:bCs/>
          <w:noProof/>
          <w:sz w:val="22"/>
          <w:szCs w:val="22"/>
        </w:rPr>
        <w:t>, 231–242 (2018).</w:t>
      </w:r>
    </w:p>
    <w:p w14:paraId="681E890B"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Zhu, C. </w:t>
      </w:r>
      <w:r w:rsidRPr="00D72824">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12</w:t>
      </w:r>
      <w:r>
        <w:rPr>
          <w:rFonts w:ascii="Arial" w:hAnsi="Arial" w:cs="Arial"/>
          <w:bCs/>
          <w:noProof/>
          <w:sz w:val="22"/>
          <w:szCs w:val="22"/>
        </w:rPr>
        <w:t>, 4203 (2021).</w:t>
      </w:r>
    </w:p>
    <w:p w14:paraId="239E5B9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Wang, E. T. </w:t>
      </w:r>
      <w:r w:rsidRPr="00D72824">
        <w:rPr>
          <w:rFonts w:ascii="Arial" w:hAnsi="Arial" w:cs="Arial"/>
          <w:bCs/>
          <w:i/>
          <w:noProof/>
          <w:sz w:val="22"/>
          <w:szCs w:val="22"/>
        </w:rPr>
        <w:t>et al.</w:t>
      </w:r>
      <w:r>
        <w:rPr>
          <w:rFonts w:ascii="Arial" w:hAnsi="Arial" w:cs="Arial"/>
          <w:bCs/>
          <w:noProof/>
          <w:sz w:val="22"/>
          <w:szCs w:val="22"/>
        </w:rPr>
        <w:t xml:space="preserve"> Alternative isoform regulation in human tissue transcriptomes. </w:t>
      </w:r>
      <w:r w:rsidRPr="00D72824">
        <w:rPr>
          <w:rFonts w:ascii="Arial" w:hAnsi="Arial" w:cs="Arial"/>
          <w:bCs/>
          <w:i/>
          <w:noProof/>
          <w:sz w:val="22"/>
          <w:szCs w:val="22"/>
        </w:rPr>
        <w:t>Nature</w:t>
      </w:r>
      <w:r>
        <w:rPr>
          <w:rFonts w:ascii="Arial" w:hAnsi="Arial" w:cs="Arial"/>
          <w:bCs/>
          <w:noProof/>
          <w:sz w:val="22"/>
          <w:szCs w:val="22"/>
        </w:rPr>
        <w:t xml:space="preserve"> </w:t>
      </w:r>
      <w:r w:rsidRPr="00D72824">
        <w:rPr>
          <w:rFonts w:ascii="Arial" w:hAnsi="Arial" w:cs="Arial"/>
          <w:b/>
          <w:bCs/>
          <w:noProof/>
          <w:sz w:val="22"/>
          <w:szCs w:val="22"/>
        </w:rPr>
        <w:t>456</w:t>
      </w:r>
      <w:r>
        <w:rPr>
          <w:rFonts w:ascii="Arial" w:hAnsi="Arial" w:cs="Arial"/>
          <w:bCs/>
          <w:noProof/>
          <w:sz w:val="22"/>
          <w:szCs w:val="22"/>
        </w:rPr>
        <w:t>, 470–476 (2008).</w:t>
      </w:r>
    </w:p>
    <w:p w14:paraId="7D66C8F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Scotti, M. M. &amp; Swanson, M. S. RNA mis-splicing in disease. </w:t>
      </w:r>
      <w:r w:rsidRPr="00D72824">
        <w:rPr>
          <w:rFonts w:ascii="Arial" w:hAnsi="Arial" w:cs="Arial"/>
          <w:bCs/>
          <w:i/>
          <w:noProof/>
          <w:sz w:val="22"/>
          <w:szCs w:val="22"/>
        </w:rPr>
        <w:t>Nat. Rev. Genet.</w:t>
      </w:r>
      <w:r>
        <w:rPr>
          <w:rFonts w:ascii="Arial" w:hAnsi="Arial" w:cs="Arial"/>
          <w:bCs/>
          <w:noProof/>
          <w:sz w:val="22"/>
          <w:szCs w:val="22"/>
        </w:rPr>
        <w:t xml:space="preserve"> </w:t>
      </w:r>
      <w:r w:rsidRPr="00D72824">
        <w:rPr>
          <w:rFonts w:ascii="Arial" w:hAnsi="Arial" w:cs="Arial"/>
          <w:b/>
          <w:bCs/>
          <w:noProof/>
          <w:sz w:val="22"/>
          <w:szCs w:val="22"/>
        </w:rPr>
        <w:t>17</w:t>
      </w:r>
      <w:r>
        <w:rPr>
          <w:rFonts w:ascii="Arial" w:hAnsi="Arial" w:cs="Arial"/>
          <w:bCs/>
          <w:noProof/>
          <w:sz w:val="22"/>
          <w:szCs w:val="22"/>
        </w:rPr>
        <w:t>, 19–32 (2015).</w:t>
      </w:r>
    </w:p>
    <w:p w14:paraId="03884676"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Neil, C. R. </w:t>
      </w:r>
      <w:r w:rsidRPr="00D72824">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D72824">
        <w:rPr>
          <w:rFonts w:ascii="Arial" w:hAnsi="Arial" w:cs="Arial"/>
          <w:bCs/>
          <w:i/>
          <w:noProof/>
          <w:sz w:val="22"/>
          <w:szCs w:val="22"/>
        </w:rPr>
        <w:t>Trends Pharmacol. Sci.</w:t>
      </w:r>
      <w:r>
        <w:rPr>
          <w:rFonts w:ascii="Arial" w:hAnsi="Arial" w:cs="Arial"/>
          <w:bCs/>
          <w:noProof/>
          <w:sz w:val="22"/>
          <w:szCs w:val="22"/>
        </w:rPr>
        <w:t xml:space="preserve"> </w:t>
      </w:r>
      <w:r w:rsidRPr="00D72824">
        <w:rPr>
          <w:rFonts w:ascii="Arial" w:hAnsi="Arial" w:cs="Arial"/>
          <w:b/>
          <w:bCs/>
          <w:noProof/>
          <w:sz w:val="22"/>
          <w:szCs w:val="22"/>
        </w:rPr>
        <w:t>43</w:t>
      </w:r>
      <w:r>
        <w:rPr>
          <w:rFonts w:ascii="Arial" w:hAnsi="Arial" w:cs="Arial"/>
          <w:bCs/>
          <w:noProof/>
          <w:sz w:val="22"/>
          <w:szCs w:val="22"/>
        </w:rPr>
        <w:t>, 437–454 (2022).</w:t>
      </w:r>
    </w:p>
    <w:p w14:paraId="12D297DA"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D72824">
        <w:rPr>
          <w:rFonts w:ascii="Arial" w:hAnsi="Arial" w:cs="Arial"/>
          <w:bCs/>
          <w:i/>
          <w:noProof/>
          <w:sz w:val="22"/>
          <w:szCs w:val="22"/>
        </w:rPr>
        <w:t>J. Biol. Chem.</w:t>
      </w:r>
      <w:r>
        <w:rPr>
          <w:rFonts w:ascii="Arial" w:hAnsi="Arial" w:cs="Arial"/>
          <w:bCs/>
          <w:noProof/>
          <w:sz w:val="22"/>
          <w:szCs w:val="22"/>
        </w:rPr>
        <w:t xml:space="preserve"> </w:t>
      </w:r>
      <w:r w:rsidRPr="00D72824">
        <w:rPr>
          <w:rFonts w:ascii="Arial" w:hAnsi="Arial" w:cs="Arial"/>
          <w:b/>
          <w:bCs/>
          <w:noProof/>
          <w:sz w:val="22"/>
          <w:szCs w:val="22"/>
        </w:rPr>
        <w:t>261</w:t>
      </w:r>
      <w:r>
        <w:rPr>
          <w:rFonts w:ascii="Arial" w:hAnsi="Arial" w:cs="Arial"/>
          <w:bCs/>
          <w:noProof/>
          <w:sz w:val="22"/>
          <w:szCs w:val="22"/>
        </w:rPr>
        <w:t>, 13807–13812 (1986).</w:t>
      </w:r>
    </w:p>
    <w:p w14:paraId="631C6CD4"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Taniguchi, K. </w:t>
      </w:r>
      <w:r w:rsidRPr="00D72824">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D72824">
        <w:rPr>
          <w:rFonts w:ascii="Arial" w:hAnsi="Arial" w:cs="Arial"/>
          <w:bCs/>
          <w:i/>
          <w:noProof/>
          <w:sz w:val="22"/>
          <w:szCs w:val="22"/>
        </w:rPr>
        <w:t>Sci. Rep.</w:t>
      </w:r>
      <w:r>
        <w:rPr>
          <w:rFonts w:ascii="Arial" w:hAnsi="Arial" w:cs="Arial"/>
          <w:bCs/>
          <w:noProof/>
          <w:sz w:val="22"/>
          <w:szCs w:val="22"/>
        </w:rPr>
        <w:t xml:space="preserve"> </w:t>
      </w:r>
      <w:r w:rsidRPr="00D72824">
        <w:rPr>
          <w:rFonts w:ascii="Arial" w:hAnsi="Arial" w:cs="Arial"/>
          <w:b/>
          <w:bCs/>
          <w:noProof/>
          <w:sz w:val="22"/>
          <w:szCs w:val="22"/>
        </w:rPr>
        <w:t>5</w:t>
      </w:r>
      <w:r>
        <w:rPr>
          <w:rFonts w:ascii="Arial" w:hAnsi="Arial" w:cs="Arial"/>
          <w:bCs/>
          <w:noProof/>
          <w:sz w:val="22"/>
          <w:szCs w:val="22"/>
        </w:rPr>
        <w:t>, 1–8 (2015).</w:t>
      </w:r>
    </w:p>
    <w:p w14:paraId="2E9B0051"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Mazurek, S., Boschek, C. B., Hugo, F. &amp; Eigenbrodt, E. Pyruvate kinase type M2 and its role in tumor growth and spreading. </w:t>
      </w:r>
      <w:r w:rsidRPr="00D72824">
        <w:rPr>
          <w:rFonts w:ascii="Arial" w:hAnsi="Arial" w:cs="Arial"/>
          <w:bCs/>
          <w:i/>
          <w:noProof/>
          <w:sz w:val="22"/>
          <w:szCs w:val="22"/>
        </w:rPr>
        <w:t>Semin. Cancer Biol.</w:t>
      </w:r>
      <w:r>
        <w:rPr>
          <w:rFonts w:ascii="Arial" w:hAnsi="Arial" w:cs="Arial"/>
          <w:bCs/>
          <w:noProof/>
          <w:sz w:val="22"/>
          <w:szCs w:val="22"/>
        </w:rPr>
        <w:t xml:space="preserve"> </w:t>
      </w:r>
      <w:r w:rsidRPr="00D72824">
        <w:rPr>
          <w:rFonts w:ascii="Arial" w:hAnsi="Arial" w:cs="Arial"/>
          <w:b/>
          <w:bCs/>
          <w:noProof/>
          <w:sz w:val="22"/>
          <w:szCs w:val="22"/>
        </w:rPr>
        <w:t>15</w:t>
      </w:r>
      <w:r>
        <w:rPr>
          <w:rFonts w:ascii="Arial" w:hAnsi="Arial" w:cs="Arial"/>
          <w:bCs/>
          <w:noProof/>
          <w:sz w:val="22"/>
          <w:szCs w:val="22"/>
        </w:rPr>
        <w:t>, 300–308 (2005).</w:t>
      </w:r>
    </w:p>
    <w:p w14:paraId="2E40F8D4"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Christofk, H. R. </w:t>
      </w:r>
      <w:r w:rsidRPr="00D72824">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D72824">
        <w:rPr>
          <w:rFonts w:ascii="Arial" w:hAnsi="Arial" w:cs="Arial"/>
          <w:bCs/>
          <w:i/>
          <w:noProof/>
          <w:sz w:val="22"/>
          <w:szCs w:val="22"/>
        </w:rPr>
        <w:t>Nature</w:t>
      </w:r>
      <w:r>
        <w:rPr>
          <w:rFonts w:ascii="Arial" w:hAnsi="Arial" w:cs="Arial"/>
          <w:bCs/>
          <w:noProof/>
          <w:sz w:val="22"/>
          <w:szCs w:val="22"/>
        </w:rPr>
        <w:t xml:space="preserve"> </w:t>
      </w:r>
      <w:r w:rsidRPr="00D72824">
        <w:rPr>
          <w:rFonts w:ascii="Arial" w:hAnsi="Arial" w:cs="Arial"/>
          <w:b/>
          <w:bCs/>
          <w:noProof/>
          <w:sz w:val="22"/>
          <w:szCs w:val="22"/>
        </w:rPr>
        <w:t>452</w:t>
      </w:r>
      <w:r>
        <w:rPr>
          <w:rFonts w:ascii="Arial" w:hAnsi="Arial" w:cs="Arial"/>
          <w:bCs/>
          <w:noProof/>
          <w:sz w:val="22"/>
          <w:szCs w:val="22"/>
        </w:rPr>
        <w:t>, 230–233 (2008).</w:t>
      </w:r>
    </w:p>
    <w:p w14:paraId="4048F0D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33.</w:t>
      </w:r>
      <w:r>
        <w:rPr>
          <w:rFonts w:ascii="Arial" w:hAnsi="Arial" w:cs="Arial"/>
          <w:bCs/>
          <w:noProof/>
          <w:sz w:val="22"/>
          <w:szCs w:val="22"/>
        </w:rPr>
        <w:tab/>
        <w:t xml:space="preserve">Clower, C. V. </w:t>
      </w:r>
      <w:r w:rsidRPr="00D72824">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D72824">
        <w:rPr>
          <w:rFonts w:ascii="Arial" w:hAnsi="Arial" w:cs="Arial"/>
          <w:bCs/>
          <w:i/>
          <w:noProof/>
          <w:sz w:val="22"/>
          <w:szCs w:val="22"/>
        </w:rPr>
        <w:t>Proceedings of the National Academy of Sciences</w:t>
      </w:r>
      <w:r>
        <w:rPr>
          <w:rFonts w:ascii="Arial" w:hAnsi="Arial" w:cs="Arial"/>
          <w:bCs/>
          <w:noProof/>
          <w:sz w:val="22"/>
          <w:szCs w:val="22"/>
        </w:rPr>
        <w:t xml:space="preserve"> </w:t>
      </w:r>
      <w:r w:rsidRPr="00D72824">
        <w:rPr>
          <w:rFonts w:ascii="Arial" w:hAnsi="Arial" w:cs="Arial"/>
          <w:b/>
          <w:bCs/>
          <w:noProof/>
          <w:sz w:val="22"/>
          <w:szCs w:val="22"/>
        </w:rPr>
        <w:t>107</w:t>
      </w:r>
      <w:r>
        <w:rPr>
          <w:rFonts w:ascii="Arial" w:hAnsi="Arial" w:cs="Arial"/>
          <w:bCs/>
          <w:noProof/>
          <w:sz w:val="22"/>
          <w:szCs w:val="22"/>
        </w:rPr>
        <w:t>, 1894–1899 (2010).</w:t>
      </w:r>
    </w:p>
    <w:p w14:paraId="6841AFFB"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Jurica, M. S. </w:t>
      </w:r>
      <w:r w:rsidRPr="00D72824">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D72824">
        <w:rPr>
          <w:rFonts w:ascii="Arial" w:hAnsi="Arial" w:cs="Arial"/>
          <w:bCs/>
          <w:i/>
          <w:noProof/>
          <w:sz w:val="22"/>
          <w:szCs w:val="22"/>
        </w:rPr>
        <w:t>Structure</w:t>
      </w:r>
      <w:r>
        <w:rPr>
          <w:rFonts w:ascii="Arial" w:hAnsi="Arial" w:cs="Arial"/>
          <w:bCs/>
          <w:noProof/>
          <w:sz w:val="22"/>
          <w:szCs w:val="22"/>
        </w:rPr>
        <w:t xml:space="preserve"> </w:t>
      </w:r>
      <w:r w:rsidRPr="00D72824">
        <w:rPr>
          <w:rFonts w:ascii="Arial" w:hAnsi="Arial" w:cs="Arial"/>
          <w:b/>
          <w:bCs/>
          <w:noProof/>
          <w:sz w:val="22"/>
          <w:szCs w:val="22"/>
        </w:rPr>
        <w:t>6</w:t>
      </w:r>
      <w:r>
        <w:rPr>
          <w:rFonts w:ascii="Arial" w:hAnsi="Arial" w:cs="Arial"/>
          <w:bCs/>
          <w:noProof/>
          <w:sz w:val="22"/>
          <w:szCs w:val="22"/>
        </w:rPr>
        <w:t>, 195–210 (1998).</w:t>
      </w:r>
    </w:p>
    <w:p w14:paraId="65E64D6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Gao, X., Wang, H., Yang, J. J., Liu, X. &amp; Liu, Z.-R. Pyruvate kinase M2 regulates gene transcription by acting as a protein kinase. </w:t>
      </w:r>
      <w:r w:rsidRPr="00D72824">
        <w:rPr>
          <w:rFonts w:ascii="Arial" w:hAnsi="Arial" w:cs="Arial"/>
          <w:bCs/>
          <w:i/>
          <w:noProof/>
          <w:sz w:val="22"/>
          <w:szCs w:val="22"/>
        </w:rPr>
        <w:t>Mol. Cell</w:t>
      </w:r>
      <w:r>
        <w:rPr>
          <w:rFonts w:ascii="Arial" w:hAnsi="Arial" w:cs="Arial"/>
          <w:bCs/>
          <w:noProof/>
          <w:sz w:val="22"/>
          <w:szCs w:val="22"/>
        </w:rPr>
        <w:t xml:space="preserve"> </w:t>
      </w:r>
      <w:r w:rsidRPr="00D72824">
        <w:rPr>
          <w:rFonts w:ascii="Arial" w:hAnsi="Arial" w:cs="Arial"/>
          <w:b/>
          <w:bCs/>
          <w:noProof/>
          <w:sz w:val="22"/>
          <w:szCs w:val="22"/>
        </w:rPr>
        <w:t>45</w:t>
      </w:r>
      <w:r>
        <w:rPr>
          <w:rFonts w:ascii="Arial" w:hAnsi="Arial" w:cs="Arial"/>
          <w:bCs/>
          <w:noProof/>
          <w:sz w:val="22"/>
          <w:szCs w:val="22"/>
        </w:rPr>
        <w:t>, 598–609 (2012).</w:t>
      </w:r>
    </w:p>
    <w:p w14:paraId="45CEAB05"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Luo, W. </w:t>
      </w:r>
      <w:r w:rsidRPr="00D72824">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D72824">
        <w:rPr>
          <w:rFonts w:ascii="Arial" w:hAnsi="Arial" w:cs="Arial"/>
          <w:bCs/>
          <w:i/>
          <w:noProof/>
          <w:sz w:val="22"/>
          <w:szCs w:val="22"/>
        </w:rPr>
        <w:t>Cell</w:t>
      </w:r>
      <w:r>
        <w:rPr>
          <w:rFonts w:ascii="Arial" w:hAnsi="Arial" w:cs="Arial"/>
          <w:bCs/>
          <w:noProof/>
          <w:sz w:val="22"/>
          <w:szCs w:val="22"/>
        </w:rPr>
        <w:t xml:space="preserve"> </w:t>
      </w:r>
      <w:r w:rsidRPr="00D72824">
        <w:rPr>
          <w:rFonts w:ascii="Arial" w:hAnsi="Arial" w:cs="Arial"/>
          <w:b/>
          <w:bCs/>
          <w:noProof/>
          <w:sz w:val="22"/>
          <w:szCs w:val="22"/>
        </w:rPr>
        <w:t>145</w:t>
      </w:r>
      <w:r>
        <w:rPr>
          <w:rFonts w:ascii="Arial" w:hAnsi="Arial" w:cs="Arial"/>
          <w:bCs/>
          <w:noProof/>
          <w:sz w:val="22"/>
          <w:szCs w:val="22"/>
        </w:rPr>
        <w:t>, 732–744 (2011).</w:t>
      </w:r>
    </w:p>
    <w:p w14:paraId="6CBFF1A8"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Yang, W. </w:t>
      </w:r>
      <w:r w:rsidRPr="00D72824">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D72824">
        <w:rPr>
          <w:rFonts w:ascii="Arial" w:hAnsi="Arial" w:cs="Arial"/>
          <w:bCs/>
          <w:i/>
          <w:noProof/>
          <w:sz w:val="22"/>
          <w:szCs w:val="22"/>
        </w:rPr>
        <w:t>Nature</w:t>
      </w:r>
      <w:r>
        <w:rPr>
          <w:rFonts w:ascii="Arial" w:hAnsi="Arial" w:cs="Arial"/>
          <w:bCs/>
          <w:noProof/>
          <w:sz w:val="22"/>
          <w:szCs w:val="22"/>
        </w:rPr>
        <w:t xml:space="preserve"> </w:t>
      </w:r>
      <w:r w:rsidRPr="00D72824">
        <w:rPr>
          <w:rFonts w:ascii="Arial" w:hAnsi="Arial" w:cs="Arial"/>
          <w:b/>
          <w:bCs/>
          <w:noProof/>
          <w:sz w:val="22"/>
          <w:szCs w:val="22"/>
        </w:rPr>
        <w:t>480</w:t>
      </w:r>
      <w:r>
        <w:rPr>
          <w:rFonts w:ascii="Arial" w:hAnsi="Arial" w:cs="Arial"/>
          <w:bCs/>
          <w:noProof/>
          <w:sz w:val="22"/>
          <w:szCs w:val="22"/>
        </w:rPr>
        <w:t>, 118–122 (2011).</w:t>
      </w:r>
    </w:p>
    <w:p w14:paraId="1AAA773F"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Ma, W. K. </w:t>
      </w:r>
      <w:r w:rsidRPr="00D72824">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D72824">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A1D8331"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Traxler, L. </w:t>
      </w:r>
      <w:r w:rsidRPr="00D72824">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D72824">
        <w:rPr>
          <w:rFonts w:ascii="Arial" w:hAnsi="Arial" w:cs="Arial"/>
          <w:bCs/>
          <w:i/>
          <w:noProof/>
          <w:sz w:val="22"/>
          <w:szCs w:val="22"/>
        </w:rPr>
        <w:t>Cell Metab.</w:t>
      </w:r>
      <w:r>
        <w:rPr>
          <w:rFonts w:ascii="Arial" w:hAnsi="Arial" w:cs="Arial"/>
          <w:bCs/>
          <w:noProof/>
          <w:sz w:val="22"/>
          <w:szCs w:val="22"/>
        </w:rPr>
        <w:t xml:space="preserve"> </w:t>
      </w:r>
      <w:r w:rsidRPr="00D72824">
        <w:rPr>
          <w:rFonts w:ascii="Arial" w:hAnsi="Arial" w:cs="Arial"/>
          <w:b/>
          <w:bCs/>
          <w:noProof/>
          <w:sz w:val="22"/>
          <w:szCs w:val="22"/>
        </w:rPr>
        <w:t>34</w:t>
      </w:r>
      <w:r>
        <w:rPr>
          <w:rFonts w:ascii="Arial" w:hAnsi="Arial" w:cs="Arial"/>
          <w:bCs/>
          <w:noProof/>
          <w:sz w:val="22"/>
          <w:szCs w:val="22"/>
        </w:rPr>
        <w:t>, 1248-1263.e6 (2022).</w:t>
      </w:r>
    </w:p>
    <w:p w14:paraId="03C76541"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Liu, C., Liu, C. &amp; Fu, R. Research progress on the role of PKM2 in the immune response. </w:t>
      </w:r>
      <w:r w:rsidRPr="00D72824">
        <w:rPr>
          <w:rFonts w:ascii="Arial" w:hAnsi="Arial" w:cs="Arial"/>
          <w:bCs/>
          <w:i/>
          <w:noProof/>
          <w:sz w:val="22"/>
          <w:szCs w:val="22"/>
        </w:rPr>
        <w:t>Front. Immunol.</w:t>
      </w:r>
      <w:r>
        <w:rPr>
          <w:rFonts w:ascii="Arial" w:hAnsi="Arial" w:cs="Arial"/>
          <w:bCs/>
          <w:noProof/>
          <w:sz w:val="22"/>
          <w:szCs w:val="22"/>
        </w:rPr>
        <w:t xml:space="preserve"> </w:t>
      </w:r>
      <w:r w:rsidRPr="00D72824">
        <w:rPr>
          <w:rFonts w:ascii="Arial" w:hAnsi="Arial" w:cs="Arial"/>
          <w:b/>
          <w:bCs/>
          <w:noProof/>
          <w:sz w:val="22"/>
          <w:szCs w:val="22"/>
        </w:rPr>
        <w:t>13</w:t>
      </w:r>
      <w:r>
        <w:rPr>
          <w:rFonts w:ascii="Arial" w:hAnsi="Arial" w:cs="Arial"/>
          <w:bCs/>
          <w:noProof/>
          <w:sz w:val="22"/>
          <w:szCs w:val="22"/>
        </w:rPr>
        <w:t>, 936967 (2022).</w:t>
      </w:r>
    </w:p>
    <w:p w14:paraId="3FC3D1D0"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Burge, P. S., Johnson, W. S. &amp; Hayward, A. R. Neutrophil pyruvate kinase deficiency with recurrent staphylococcal infections: first reported case. </w:t>
      </w:r>
      <w:r w:rsidRPr="00D72824">
        <w:rPr>
          <w:rFonts w:ascii="Arial" w:hAnsi="Arial" w:cs="Arial"/>
          <w:bCs/>
          <w:i/>
          <w:noProof/>
          <w:sz w:val="22"/>
          <w:szCs w:val="22"/>
        </w:rPr>
        <w:t>Br. Med. J.</w:t>
      </w:r>
      <w:r>
        <w:rPr>
          <w:rFonts w:ascii="Arial" w:hAnsi="Arial" w:cs="Arial"/>
          <w:bCs/>
          <w:noProof/>
          <w:sz w:val="22"/>
          <w:szCs w:val="22"/>
        </w:rPr>
        <w:t xml:space="preserve"> </w:t>
      </w:r>
      <w:r w:rsidRPr="00D72824">
        <w:rPr>
          <w:rFonts w:ascii="Arial" w:hAnsi="Arial" w:cs="Arial"/>
          <w:b/>
          <w:bCs/>
          <w:noProof/>
          <w:sz w:val="22"/>
          <w:szCs w:val="22"/>
        </w:rPr>
        <w:t>1</w:t>
      </w:r>
      <w:r>
        <w:rPr>
          <w:rFonts w:ascii="Arial" w:hAnsi="Arial" w:cs="Arial"/>
          <w:bCs/>
          <w:noProof/>
          <w:sz w:val="22"/>
          <w:szCs w:val="22"/>
        </w:rPr>
        <w:t>, 742–745 (1976).</w:t>
      </w:r>
    </w:p>
    <w:p w14:paraId="1514DD62"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Tang, Q. </w:t>
      </w:r>
      <w:r w:rsidRPr="00D72824">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D72824">
        <w:rPr>
          <w:rFonts w:ascii="Arial" w:hAnsi="Arial" w:cs="Arial"/>
          <w:bCs/>
          <w:i/>
          <w:noProof/>
          <w:sz w:val="22"/>
          <w:szCs w:val="22"/>
        </w:rPr>
        <w:t>Dig. Dis. Sci.</w:t>
      </w:r>
      <w:r>
        <w:rPr>
          <w:rFonts w:ascii="Arial" w:hAnsi="Arial" w:cs="Arial"/>
          <w:bCs/>
          <w:noProof/>
          <w:sz w:val="22"/>
          <w:szCs w:val="22"/>
        </w:rPr>
        <w:t xml:space="preserve"> </w:t>
      </w:r>
      <w:r w:rsidRPr="00D72824">
        <w:rPr>
          <w:rFonts w:ascii="Arial" w:hAnsi="Arial" w:cs="Arial"/>
          <w:b/>
          <w:bCs/>
          <w:noProof/>
          <w:sz w:val="22"/>
          <w:szCs w:val="22"/>
        </w:rPr>
        <w:t>60</w:t>
      </w:r>
      <w:r>
        <w:rPr>
          <w:rFonts w:ascii="Arial" w:hAnsi="Arial" w:cs="Arial"/>
          <w:bCs/>
          <w:noProof/>
          <w:sz w:val="22"/>
          <w:szCs w:val="22"/>
        </w:rPr>
        <w:t>, 393–404 (2015).</w:t>
      </w:r>
    </w:p>
    <w:p w14:paraId="302ED2E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Rihan, M. &amp; Sharma, S. S. Role of Pyruvate Kinase M2 (PKM2) in Cardiovascular Diseases. </w:t>
      </w:r>
      <w:r w:rsidRPr="00D72824">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6CB372B4"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David, C. J., Chen, M., Assanah, M., Canoll, P. &amp; Manley, J. L. HnRNP proteins controlled by c-Myc deregulate pyruvate kinase mRNA splicing in cancer. </w:t>
      </w:r>
      <w:r w:rsidRPr="00D72824">
        <w:rPr>
          <w:rFonts w:ascii="Arial" w:hAnsi="Arial" w:cs="Arial"/>
          <w:bCs/>
          <w:i/>
          <w:noProof/>
          <w:sz w:val="22"/>
          <w:szCs w:val="22"/>
        </w:rPr>
        <w:t>Nature</w:t>
      </w:r>
      <w:r>
        <w:rPr>
          <w:rFonts w:ascii="Arial" w:hAnsi="Arial" w:cs="Arial"/>
          <w:bCs/>
          <w:noProof/>
          <w:sz w:val="22"/>
          <w:szCs w:val="22"/>
        </w:rPr>
        <w:t xml:space="preserve"> </w:t>
      </w:r>
      <w:r w:rsidRPr="00D72824">
        <w:rPr>
          <w:rFonts w:ascii="Arial" w:hAnsi="Arial" w:cs="Arial"/>
          <w:b/>
          <w:bCs/>
          <w:noProof/>
          <w:sz w:val="22"/>
          <w:szCs w:val="22"/>
        </w:rPr>
        <w:t>463</w:t>
      </w:r>
      <w:r>
        <w:rPr>
          <w:rFonts w:ascii="Arial" w:hAnsi="Arial" w:cs="Arial"/>
          <w:bCs/>
          <w:noProof/>
          <w:sz w:val="22"/>
          <w:szCs w:val="22"/>
        </w:rPr>
        <w:t>, 364–368 (2010).</w:t>
      </w:r>
    </w:p>
    <w:p w14:paraId="45358370"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North, K. </w:t>
      </w:r>
      <w:r w:rsidRPr="00D72824">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D72824">
        <w:rPr>
          <w:rFonts w:ascii="Arial" w:hAnsi="Arial" w:cs="Arial"/>
          <w:bCs/>
          <w:i/>
          <w:noProof/>
          <w:sz w:val="22"/>
          <w:szCs w:val="22"/>
        </w:rPr>
        <w:t>Nat. Biotechnol.</w:t>
      </w:r>
      <w:r>
        <w:rPr>
          <w:rFonts w:ascii="Arial" w:hAnsi="Arial" w:cs="Arial"/>
          <w:bCs/>
          <w:noProof/>
          <w:sz w:val="22"/>
          <w:szCs w:val="22"/>
        </w:rPr>
        <w:t xml:space="preserve"> </w:t>
      </w:r>
      <w:r w:rsidRPr="00D72824">
        <w:rPr>
          <w:rFonts w:ascii="Arial" w:hAnsi="Arial" w:cs="Arial"/>
          <w:b/>
          <w:bCs/>
          <w:noProof/>
          <w:sz w:val="22"/>
          <w:szCs w:val="22"/>
        </w:rPr>
        <w:t>40</w:t>
      </w:r>
      <w:r>
        <w:rPr>
          <w:rFonts w:ascii="Arial" w:hAnsi="Arial" w:cs="Arial"/>
          <w:bCs/>
          <w:noProof/>
          <w:sz w:val="22"/>
          <w:szCs w:val="22"/>
        </w:rPr>
        <w:t>, 1103–1113 (2022).</w:t>
      </w:r>
    </w:p>
    <w:p w14:paraId="3B794122"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46.</w:t>
      </w:r>
      <w:r>
        <w:rPr>
          <w:rFonts w:ascii="Arial" w:hAnsi="Arial" w:cs="Arial"/>
          <w:bCs/>
          <w:noProof/>
          <w:sz w:val="22"/>
          <w:szCs w:val="22"/>
        </w:rPr>
        <w:tab/>
        <w:t xml:space="preserve">Hardwick, S. A. </w:t>
      </w:r>
      <w:r w:rsidRPr="00D72824">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D72824">
        <w:rPr>
          <w:rFonts w:ascii="Arial" w:hAnsi="Arial" w:cs="Arial"/>
          <w:bCs/>
          <w:i/>
          <w:noProof/>
          <w:sz w:val="22"/>
          <w:szCs w:val="22"/>
        </w:rPr>
        <w:t>Nat. Methods</w:t>
      </w:r>
      <w:r>
        <w:rPr>
          <w:rFonts w:ascii="Arial" w:hAnsi="Arial" w:cs="Arial"/>
          <w:bCs/>
          <w:noProof/>
          <w:sz w:val="22"/>
          <w:szCs w:val="22"/>
        </w:rPr>
        <w:t xml:space="preserve"> </w:t>
      </w:r>
      <w:r w:rsidRPr="00D72824">
        <w:rPr>
          <w:rFonts w:ascii="Arial" w:hAnsi="Arial" w:cs="Arial"/>
          <w:b/>
          <w:bCs/>
          <w:noProof/>
          <w:sz w:val="22"/>
          <w:szCs w:val="22"/>
        </w:rPr>
        <w:t>13</w:t>
      </w:r>
      <w:r>
        <w:rPr>
          <w:rFonts w:ascii="Arial" w:hAnsi="Arial" w:cs="Arial"/>
          <w:bCs/>
          <w:noProof/>
          <w:sz w:val="22"/>
          <w:szCs w:val="22"/>
        </w:rPr>
        <w:t>, 792–798 (2016).</w:t>
      </w:r>
    </w:p>
    <w:p w14:paraId="528D8743"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Hardwick, S. A. </w:t>
      </w:r>
      <w:r w:rsidRPr="00D72824">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D72824">
        <w:rPr>
          <w:rFonts w:ascii="Arial" w:hAnsi="Arial" w:cs="Arial"/>
          <w:bCs/>
          <w:i/>
          <w:noProof/>
          <w:sz w:val="22"/>
          <w:szCs w:val="22"/>
        </w:rPr>
        <w:t>Front. Genet.</w:t>
      </w:r>
      <w:r>
        <w:rPr>
          <w:rFonts w:ascii="Arial" w:hAnsi="Arial" w:cs="Arial"/>
          <w:bCs/>
          <w:noProof/>
          <w:sz w:val="22"/>
          <w:szCs w:val="22"/>
        </w:rPr>
        <w:t xml:space="preserve"> </w:t>
      </w:r>
      <w:r w:rsidRPr="00D72824">
        <w:rPr>
          <w:rFonts w:ascii="Arial" w:hAnsi="Arial" w:cs="Arial"/>
          <w:b/>
          <w:bCs/>
          <w:noProof/>
          <w:sz w:val="22"/>
          <w:szCs w:val="22"/>
        </w:rPr>
        <w:t>10</w:t>
      </w:r>
      <w:r>
        <w:rPr>
          <w:rFonts w:ascii="Arial" w:hAnsi="Arial" w:cs="Arial"/>
          <w:bCs/>
          <w:noProof/>
          <w:sz w:val="22"/>
          <w:szCs w:val="22"/>
        </w:rPr>
        <w:t>, 309 (2019).</w:t>
      </w:r>
    </w:p>
    <w:p w14:paraId="7113E53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Sheynkman, G. M. </w:t>
      </w:r>
      <w:r w:rsidRPr="00D72824">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D72824">
        <w:rPr>
          <w:rFonts w:ascii="Arial" w:hAnsi="Arial" w:cs="Arial"/>
          <w:bCs/>
          <w:i/>
          <w:noProof/>
          <w:sz w:val="22"/>
          <w:szCs w:val="22"/>
        </w:rPr>
        <w:t>Nat. Commun.</w:t>
      </w:r>
      <w:r>
        <w:rPr>
          <w:rFonts w:ascii="Arial" w:hAnsi="Arial" w:cs="Arial"/>
          <w:bCs/>
          <w:noProof/>
          <w:sz w:val="22"/>
          <w:szCs w:val="22"/>
        </w:rPr>
        <w:t xml:space="preserve"> </w:t>
      </w:r>
      <w:r w:rsidRPr="00D72824">
        <w:rPr>
          <w:rFonts w:ascii="Arial" w:hAnsi="Arial" w:cs="Arial"/>
          <w:b/>
          <w:bCs/>
          <w:noProof/>
          <w:sz w:val="22"/>
          <w:szCs w:val="22"/>
        </w:rPr>
        <w:t>11</w:t>
      </w:r>
      <w:r>
        <w:rPr>
          <w:rFonts w:ascii="Arial" w:hAnsi="Arial" w:cs="Arial"/>
          <w:bCs/>
          <w:noProof/>
          <w:sz w:val="22"/>
          <w:szCs w:val="22"/>
        </w:rPr>
        <w:t>, 2326 (2020).</w:t>
      </w:r>
    </w:p>
    <w:p w14:paraId="72D0928E"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D72824">
        <w:rPr>
          <w:rFonts w:ascii="Arial" w:hAnsi="Arial" w:cs="Arial"/>
          <w:bCs/>
          <w:i/>
          <w:noProof/>
          <w:sz w:val="22"/>
          <w:szCs w:val="22"/>
        </w:rPr>
        <w:t>AMB Express</w:t>
      </w:r>
      <w:r>
        <w:rPr>
          <w:rFonts w:ascii="Arial" w:hAnsi="Arial" w:cs="Arial"/>
          <w:bCs/>
          <w:noProof/>
          <w:sz w:val="22"/>
          <w:szCs w:val="22"/>
        </w:rPr>
        <w:t xml:space="preserve"> </w:t>
      </w:r>
      <w:r w:rsidRPr="00D72824">
        <w:rPr>
          <w:rFonts w:ascii="Arial" w:hAnsi="Arial" w:cs="Arial"/>
          <w:b/>
          <w:bCs/>
          <w:noProof/>
          <w:sz w:val="22"/>
          <w:szCs w:val="22"/>
        </w:rPr>
        <w:t>9</w:t>
      </w:r>
      <w:r>
        <w:rPr>
          <w:rFonts w:ascii="Arial" w:hAnsi="Arial" w:cs="Arial"/>
          <w:bCs/>
          <w:noProof/>
          <w:sz w:val="22"/>
          <w:szCs w:val="22"/>
        </w:rPr>
        <w:t>, 45 (2019).</w:t>
      </w:r>
    </w:p>
    <w:p w14:paraId="185FF60D"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Escalona, M., Rocha, S. &amp; Posada, D. A comparison of tools for the simulation of genomic next-generation sequencing data. </w:t>
      </w:r>
      <w:r w:rsidRPr="00D72824">
        <w:rPr>
          <w:rFonts w:ascii="Arial" w:hAnsi="Arial" w:cs="Arial"/>
          <w:bCs/>
          <w:i/>
          <w:noProof/>
          <w:sz w:val="22"/>
          <w:szCs w:val="22"/>
        </w:rPr>
        <w:t>Nat. Rev. Genet.</w:t>
      </w:r>
      <w:r>
        <w:rPr>
          <w:rFonts w:ascii="Arial" w:hAnsi="Arial" w:cs="Arial"/>
          <w:bCs/>
          <w:noProof/>
          <w:sz w:val="22"/>
          <w:szCs w:val="22"/>
        </w:rPr>
        <w:t xml:space="preserve"> </w:t>
      </w:r>
      <w:r w:rsidRPr="00D72824">
        <w:rPr>
          <w:rFonts w:ascii="Arial" w:hAnsi="Arial" w:cs="Arial"/>
          <w:b/>
          <w:bCs/>
          <w:noProof/>
          <w:sz w:val="22"/>
          <w:szCs w:val="22"/>
        </w:rPr>
        <w:t>17</w:t>
      </w:r>
      <w:r>
        <w:rPr>
          <w:rFonts w:ascii="Arial" w:hAnsi="Arial" w:cs="Arial"/>
          <w:bCs/>
          <w:noProof/>
          <w:sz w:val="22"/>
          <w:szCs w:val="22"/>
        </w:rPr>
        <w:t>, 459–469 (2016).</w:t>
      </w:r>
    </w:p>
    <w:p w14:paraId="1789EE63"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Wick, R. Badread: simulation of error-prone long reads. </w:t>
      </w:r>
      <w:r w:rsidRPr="00D72824">
        <w:rPr>
          <w:rFonts w:ascii="Arial" w:hAnsi="Arial" w:cs="Arial"/>
          <w:bCs/>
          <w:i/>
          <w:noProof/>
          <w:sz w:val="22"/>
          <w:szCs w:val="22"/>
        </w:rPr>
        <w:t>J. Open Source Softw.</w:t>
      </w:r>
      <w:r>
        <w:rPr>
          <w:rFonts w:ascii="Arial" w:hAnsi="Arial" w:cs="Arial"/>
          <w:bCs/>
          <w:noProof/>
          <w:sz w:val="22"/>
          <w:szCs w:val="22"/>
        </w:rPr>
        <w:t xml:space="preserve"> </w:t>
      </w:r>
      <w:r w:rsidRPr="00D72824">
        <w:rPr>
          <w:rFonts w:ascii="Arial" w:hAnsi="Arial" w:cs="Arial"/>
          <w:b/>
          <w:bCs/>
          <w:noProof/>
          <w:sz w:val="22"/>
          <w:szCs w:val="22"/>
        </w:rPr>
        <w:t>4</w:t>
      </w:r>
      <w:r>
        <w:rPr>
          <w:rFonts w:ascii="Arial" w:hAnsi="Arial" w:cs="Arial"/>
          <w:bCs/>
          <w:noProof/>
          <w:sz w:val="22"/>
          <w:szCs w:val="22"/>
        </w:rPr>
        <w:t>, 1316 (2019).</w:t>
      </w:r>
    </w:p>
    <w:p w14:paraId="6BB8AC41"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Hafezqorani, S. </w:t>
      </w:r>
      <w:r w:rsidRPr="00D72824">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D72824">
        <w:rPr>
          <w:rFonts w:ascii="Arial" w:hAnsi="Arial" w:cs="Arial"/>
          <w:bCs/>
          <w:i/>
          <w:noProof/>
          <w:sz w:val="22"/>
          <w:szCs w:val="22"/>
        </w:rPr>
        <w:t>Gigascience</w:t>
      </w:r>
      <w:r>
        <w:rPr>
          <w:rFonts w:ascii="Arial" w:hAnsi="Arial" w:cs="Arial"/>
          <w:bCs/>
          <w:noProof/>
          <w:sz w:val="22"/>
          <w:szCs w:val="22"/>
        </w:rPr>
        <w:t xml:space="preserve"> </w:t>
      </w:r>
      <w:r w:rsidRPr="00D72824">
        <w:rPr>
          <w:rFonts w:ascii="Arial" w:hAnsi="Arial" w:cs="Arial"/>
          <w:b/>
          <w:bCs/>
          <w:noProof/>
          <w:sz w:val="22"/>
          <w:szCs w:val="22"/>
        </w:rPr>
        <w:t>9</w:t>
      </w:r>
      <w:r>
        <w:rPr>
          <w:rFonts w:ascii="Arial" w:hAnsi="Arial" w:cs="Arial"/>
          <w:bCs/>
          <w:noProof/>
          <w:sz w:val="22"/>
          <w:szCs w:val="22"/>
        </w:rPr>
        <w:t>, (2020).</w:t>
      </w:r>
    </w:p>
    <w:p w14:paraId="78C0AA7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Ono, Y., Hamada, M. &amp; Asai, K. PBSIM3: a simulator for all types of PacBio and ONT long reads. </w:t>
      </w:r>
      <w:r w:rsidRPr="00D72824">
        <w:rPr>
          <w:rFonts w:ascii="Arial" w:hAnsi="Arial" w:cs="Arial"/>
          <w:bCs/>
          <w:i/>
          <w:noProof/>
          <w:sz w:val="22"/>
          <w:szCs w:val="22"/>
        </w:rPr>
        <w:t>NAR Genom Bioinform</w:t>
      </w:r>
      <w:r>
        <w:rPr>
          <w:rFonts w:ascii="Arial" w:hAnsi="Arial" w:cs="Arial"/>
          <w:bCs/>
          <w:noProof/>
          <w:sz w:val="22"/>
          <w:szCs w:val="22"/>
        </w:rPr>
        <w:t xml:space="preserve"> </w:t>
      </w:r>
      <w:r w:rsidRPr="00D72824">
        <w:rPr>
          <w:rFonts w:ascii="Arial" w:hAnsi="Arial" w:cs="Arial"/>
          <w:b/>
          <w:bCs/>
          <w:noProof/>
          <w:sz w:val="22"/>
          <w:szCs w:val="22"/>
        </w:rPr>
        <w:t>4</w:t>
      </w:r>
      <w:r>
        <w:rPr>
          <w:rFonts w:ascii="Arial" w:hAnsi="Arial" w:cs="Arial"/>
          <w:bCs/>
          <w:noProof/>
          <w:sz w:val="22"/>
          <w:szCs w:val="22"/>
        </w:rPr>
        <w:t>, lqac092 (2022).</w:t>
      </w:r>
    </w:p>
    <w:p w14:paraId="6B99905D"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Lau, B. </w:t>
      </w:r>
      <w:r w:rsidRPr="00D72824">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D72824">
        <w:rPr>
          <w:rFonts w:ascii="Arial" w:hAnsi="Arial" w:cs="Arial"/>
          <w:bCs/>
          <w:i/>
          <w:noProof/>
          <w:sz w:val="22"/>
          <w:szCs w:val="22"/>
        </w:rPr>
        <w:t>Bioinformatics</w:t>
      </w:r>
      <w:r>
        <w:rPr>
          <w:rFonts w:ascii="Arial" w:hAnsi="Arial" w:cs="Arial"/>
          <w:bCs/>
          <w:noProof/>
          <w:sz w:val="22"/>
          <w:szCs w:val="22"/>
        </w:rPr>
        <w:t xml:space="preserve"> </w:t>
      </w:r>
      <w:r w:rsidRPr="00D72824">
        <w:rPr>
          <w:rFonts w:ascii="Arial" w:hAnsi="Arial" w:cs="Arial"/>
          <w:b/>
          <w:bCs/>
          <w:noProof/>
          <w:sz w:val="22"/>
          <w:szCs w:val="22"/>
        </w:rPr>
        <w:t>32</w:t>
      </w:r>
      <w:r>
        <w:rPr>
          <w:rFonts w:ascii="Arial" w:hAnsi="Arial" w:cs="Arial"/>
          <w:bCs/>
          <w:noProof/>
          <w:sz w:val="22"/>
          <w:szCs w:val="22"/>
        </w:rPr>
        <w:t>, 3829–3832 (2016).</w:t>
      </w:r>
    </w:p>
    <w:p w14:paraId="0DF97FE9"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Zhang, W., Jia, B. &amp; Wei, C. PaSS: a sequencing simulator for PacBio sequencing. </w:t>
      </w:r>
      <w:r w:rsidRPr="00D72824">
        <w:rPr>
          <w:rFonts w:ascii="Arial" w:hAnsi="Arial" w:cs="Arial"/>
          <w:bCs/>
          <w:i/>
          <w:noProof/>
          <w:sz w:val="22"/>
          <w:szCs w:val="22"/>
        </w:rPr>
        <w:t>BMC Bioinformatics</w:t>
      </w:r>
      <w:r>
        <w:rPr>
          <w:rFonts w:ascii="Arial" w:hAnsi="Arial" w:cs="Arial"/>
          <w:bCs/>
          <w:noProof/>
          <w:sz w:val="22"/>
          <w:szCs w:val="22"/>
        </w:rPr>
        <w:t xml:space="preserve"> </w:t>
      </w:r>
      <w:r w:rsidRPr="00D72824">
        <w:rPr>
          <w:rFonts w:ascii="Arial" w:hAnsi="Arial" w:cs="Arial"/>
          <w:b/>
          <w:bCs/>
          <w:noProof/>
          <w:sz w:val="22"/>
          <w:szCs w:val="22"/>
        </w:rPr>
        <w:t>20</w:t>
      </w:r>
      <w:r>
        <w:rPr>
          <w:rFonts w:ascii="Arial" w:hAnsi="Arial" w:cs="Arial"/>
          <w:bCs/>
          <w:noProof/>
          <w:sz w:val="22"/>
          <w:szCs w:val="22"/>
        </w:rPr>
        <w:t>, 352 (2019).</w:t>
      </w:r>
    </w:p>
    <w:p w14:paraId="7A0C2D56"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56.</w:t>
      </w:r>
      <w:r>
        <w:rPr>
          <w:rFonts w:ascii="Arial" w:hAnsi="Arial" w:cs="Arial"/>
          <w:bCs/>
          <w:noProof/>
          <w:sz w:val="22"/>
          <w:szCs w:val="22"/>
        </w:rPr>
        <w:tab/>
        <w:t xml:space="preserve">Schmeing, S. &amp; Robinson, M. D. ReSeq simulates realistic Illumina high-throughput sequencing data. </w:t>
      </w:r>
      <w:r w:rsidRPr="00D72824">
        <w:rPr>
          <w:rFonts w:ascii="Arial" w:hAnsi="Arial" w:cs="Arial"/>
          <w:bCs/>
          <w:i/>
          <w:noProof/>
          <w:sz w:val="22"/>
          <w:szCs w:val="22"/>
        </w:rPr>
        <w:t>Genome Biol.</w:t>
      </w:r>
      <w:r>
        <w:rPr>
          <w:rFonts w:ascii="Arial" w:hAnsi="Arial" w:cs="Arial"/>
          <w:bCs/>
          <w:noProof/>
          <w:sz w:val="22"/>
          <w:szCs w:val="22"/>
        </w:rPr>
        <w:t xml:space="preserve"> </w:t>
      </w:r>
      <w:r w:rsidRPr="00D72824">
        <w:rPr>
          <w:rFonts w:ascii="Arial" w:hAnsi="Arial" w:cs="Arial"/>
          <w:b/>
          <w:bCs/>
          <w:noProof/>
          <w:sz w:val="22"/>
          <w:szCs w:val="22"/>
        </w:rPr>
        <w:t>22</w:t>
      </w:r>
      <w:r>
        <w:rPr>
          <w:rFonts w:ascii="Arial" w:hAnsi="Arial" w:cs="Arial"/>
          <w:bCs/>
          <w:noProof/>
          <w:sz w:val="22"/>
          <w:szCs w:val="22"/>
        </w:rPr>
        <w:t>, 67 (2021).</w:t>
      </w:r>
    </w:p>
    <w:p w14:paraId="037C59D4"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57.</w:t>
      </w:r>
      <w:r>
        <w:rPr>
          <w:rFonts w:ascii="Arial" w:hAnsi="Arial" w:cs="Arial"/>
          <w:bCs/>
          <w:noProof/>
          <w:sz w:val="22"/>
          <w:szCs w:val="22"/>
        </w:rPr>
        <w:tab/>
        <w:t xml:space="preserve">Amarasinghe, S. L. </w:t>
      </w:r>
      <w:r w:rsidRPr="00D72824">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D72824">
        <w:rPr>
          <w:rFonts w:ascii="Arial" w:hAnsi="Arial" w:cs="Arial"/>
          <w:bCs/>
          <w:i/>
          <w:noProof/>
          <w:sz w:val="22"/>
          <w:szCs w:val="22"/>
        </w:rPr>
        <w:t>Genome Biol.</w:t>
      </w:r>
      <w:r>
        <w:rPr>
          <w:rFonts w:ascii="Arial" w:hAnsi="Arial" w:cs="Arial"/>
          <w:bCs/>
          <w:noProof/>
          <w:sz w:val="22"/>
          <w:szCs w:val="22"/>
        </w:rPr>
        <w:t xml:space="preserve"> </w:t>
      </w:r>
      <w:r w:rsidRPr="00D72824">
        <w:rPr>
          <w:rFonts w:ascii="Arial" w:hAnsi="Arial" w:cs="Arial"/>
          <w:b/>
          <w:bCs/>
          <w:noProof/>
          <w:sz w:val="22"/>
          <w:szCs w:val="22"/>
        </w:rPr>
        <w:t>21</w:t>
      </w:r>
      <w:r>
        <w:rPr>
          <w:rFonts w:ascii="Arial" w:hAnsi="Arial" w:cs="Arial"/>
          <w:bCs/>
          <w:noProof/>
          <w:sz w:val="22"/>
          <w:szCs w:val="22"/>
        </w:rPr>
        <w:t>, 30 (2020).</w:t>
      </w:r>
    </w:p>
    <w:p w14:paraId="35540907" w14:textId="77777777" w:rsidR="00D72824" w:rsidRDefault="00D72824"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58.</w:t>
      </w:r>
      <w:r>
        <w:rPr>
          <w:rFonts w:ascii="Arial" w:hAnsi="Arial" w:cs="Arial"/>
          <w:bCs/>
          <w:noProof/>
          <w:sz w:val="22"/>
          <w:szCs w:val="22"/>
        </w:rPr>
        <w:tab/>
        <w:t xml:space="preserve">Al Kadi, M. </w:t>
      </w:r>
      <w:r w:rsidRPr="00D72824">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D72824">
        <w:rPr>
          <w:rFonts w:ascii="Arial" w:hAnsi="Arial" w:cs="Arial"/>
          <w:bCs/>
          <w:i/>
          <w:noProof/>
          <w:sz w:val="22"/>
          <w:szCs w:val="22"/>
        </w:rPr>
        <w:t>Funct. Integr. Genomics</w:t>
      </w:r>
      <w:r>
        <w:rPr>
          <w:rFonts w:ascii="Arial" w:hAnsi="Arial" w:cs="Arial"/>
          <w:bCs/>
          <w:noProof/>
          <w:sz w:val="22"/>
          <w:szCs w:val="22"/>
        </w:rPr>
        <w:t xml:space="preserve"> </w:t>
      </w:r>
      <w:r w:rsidRPr="00D72824">
        <w:rPr>
          <w:rFonts w:ascii="Arial" w:hAnsi="Arial" w:cs="Arial"/>
          <w:b/>
          <w:bCs/>
          <w:noProof/>
          <w:sz w:val="22"/>
          <w:szCs w:val="22"/>
        </w:rPr>
        <w:t>20</w:t>
      </w:r>
      <w:r>
        <w:rPr>
          <w:rFonts w:ascii="Arial" w:hAnsi="Arial" w:cs="Arial"/>
          <w:bCs/>
          <w:noProof/>
          <w:sz w:val="22"/>
          <w:szCs w:val="22"/>
        </w:rPr>
        <w:t>, 523–536 (2020).</w:t>
      </w:r>
    </w:p>
    <w:p w14:paraId="1C1C0747" w14:textId="73EB289B" w:rsidR="00CA0D47" w:rsidRPr="00EB5B39" w:rsidRDefault="00D72824"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59.</w:t>
      </w:r>
      <w:r>
        <w:rPr>
          <w:rFonts w:ascii="Arial" w:hAnsi="Arial" w:cs="Arial"/>
          <w:bCs/>
          <w:noProof/>
          <w:sz w:val="22"/>
          <w:szCs w:val="22"/>
        </w:rPr>
        <w:tab/>
        <w:t xml:space="preserve">de la Rubia, I. </w:t>
      </w:r>
      <w:r w:rsidRPr="00D72824">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D72824">
        <w:rPr>
          <w:rFonts w:ascii="Arial" w:hAnsi="Arial" w:cs="Arial"/>
          <w:bCs/>
          <w:i/>
          <w:noProof/>
          <w:sz w:val="22"/>
          <w:szCs w:val="22"/>
        </w:rPr>
        <w:t>Genome Biol.</w:t>
      </w:r>
      <w:r>
        <w:rPr>
          <w:rFonts w:ascii="Arial" w:hAnsi="Arial" w:cs="Arial"/>
          <w:bCs/>
          <w:noProof/>
          <w:sz w:val="22"/>
          <w:szCs w:val="22"/>
        </w:rPr>
        <w:t xml:space="preserve"> </w:t>
      </w:r>
      <w:r w:rsidRPr="00D72824">
        <w:rPr>
          <w:rFonts w:ascii="Arial" w:hAnsi="Arial" w:cs="Arial"/>
          <w:b/>
          <w:bCs/>
          <w:noProof/>
          <w:sz w:val="22"/>
          <w:szCs w:val="22"/>
        </w:rPr>
        <w:t>23</w:t>
      </w:r>
      <w:r>
        <w:rPr>
          <w:rFonts w:ascii="Arial" w:hAnsi="Arial" w:cs="Arial"/>
          <w:bCs/>
          <w:noProof/>
          <w:sz w:val="22"/>
          <w:szCs w:val="22"/>
        </w:rPr>
        <w:t>, 153 (2022).</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37:00Z" w:initials="JD">
    <w:p w14:paraId="142CA81E" w14:textId="77777777" w:rsidR="00455B33" w:rsidRDefault="00455B33">
      <w:pPr>
        <w:pStyle w:val="CommentText"/>
      </w:pPr>
      <w:r>
        <w:rPr>
          <w:rStyle w:val="CommentReference"/>
        </w:rPr>
        <w:annotationRef/>
      </w:r>
      <w:r>
        <w:t>Reads more like a background section. The purpose of significance is why is this important.</w:t>
      </w:r>
    </w:p>
    <w:p w14:paraId="222928FF" w14:textId="77777777" w:rsidR="00455B33" w:rsidRDefault="00455B33">
      <w:pPr>
        <w:pStyle w:val="CommentText"/>
      </w:pPr>
      <w:r>
        <w:t xml:space="preserve">Needs to have more </w:t>
      </w:r>
      <w:proofErr w:type="gramStart"/>
      <w:r>
        <w:t>forward looking</w:t>
      </w:r>
      <w:proofErr w:type="gramEnd"/>
      <w:r>
        <w:t xml:space="preserve"> statements</w:t>
      </w:r>
    </w:p>
    <w:p w14:paraId="0E130A3E" w14:textId="77777777" w:rsidR="00455B33" w:rsidRDefault="00455B33" w:rsidP="00455B33">
      <w:pPr>
        <w:pStyle w:val="CommentText"/>
        <w:numPr>
          <w:ilvl w:val="0"/>
          <w:numId w:val="7"/>
        </w:numPr>
      </w:pPr>
      <w:r>
        <w:t xml:space="preserve">Current </w:t>
      </w:r>
      <w:proofErr w:type="gramStart"/>
      <w:r>
        <w:t>forward looking</w:t>
      </w:r>
      <w:proofErr w:type="gramEnd"/>
      <w:r>
        <w:t xml:space="preserve"> statements are too boiler plate</w:t>
      </w:r>
    </w:p>
    <w:p w14:paraId="0A88C721" w14:textId="77777777" w:rsidR="00455B33" w:rsidRDefault="00455B33" w:rsidP="00455B33">
      <w:pPr>
        <w:pStyle w:val="CommentText"/>
        <w:numPr>
          <w:ilvl w:val="0"/>
          <w:numId w:val="7"/>
        </w:numPr>
      </w:pPr>
      <w:r>
        <w:t>Need to strengthen them and make them more specific</w:t>
      </w:r>
    </w:p>
    <w:p w14:paraId="1768F110" w14:textId="77777777" w:rsidR="00455B33" w:rsidRDefault="00455B33" w:rsidP="00455B33">
      <w:pPr>
        <w:pStyle w:val="CommentText"/>
        <w:numPr>
          <w:ilvl w:val="0"/>
          <w:numId w:val="7"/>
        </w:numPr>
      </w:pPr>
      <w:r>
        <w:t>Add bullet points with points of significance</w:t>
      </w:r>
    </w:p>
    <w:p w14:paraId="2C3DC1F8" w14:textId="58470CC7" w:rsidR="00455B33" w:rsidRDefault="00455B33" w:rsidP="00455B33">
      <w:pPr>
        <w:pStyle w:val="CommentText"/>
      </w:pPr>
      <w:r>
        <w:t>Need to be very clear on the why of the importance</w:t>
      </w:r>
    </w:p>
    <w:p w14:paraId="6D53B9CF" w14:textId="77777777" w:rsidR="00455B33" w:rsidRDefault="00455B33" w:rsidP="00455B33">
      <w:pPr>
        <w:pStyle w:val="CommentText"/>
      </w:pPr>
      <w:r>
        <w:t>Compress background</w:t>
      </w:r>
    </w:p>
    <w:p w14:paraId="0AC71A79" w14:textId="77777777" w:rsidR="003E5C87" w:rsidRDefault="003E5C87" w:rsidP="00455B33">
      <w:pPr>
        <w:pStyle w:val="CommentText"/>
      </w:pPr>
      <w:r>
        <w:t>Background section,</w:t>
      </w:r>
    </w:p>
    <w:p w14:paraId="6C9D272D" w14:textId="77777777" w:rsidR="003E5C87" w:rsidRDefault="003E5C87" w:rsidP="00455B33">
      <w:pPr>
        <w:pStyle w:val="CommentText"/>
      </w:pPr>
      <w:r>
        <w:t>Then split into barrier to progress sections</w:t>
      </w:r>
    </w:p>
    <w:p w14:paraId="4D647030" w14:textId="77777777" w:rsidR="003E5C87" w:rsidRDefault="003E5C87" w:rsidP="00455B33">
      <w:pPr>
        <w:pStyle w:val="CommentText"/>
      </w:pPr>
      <w:r>
        <w:t>Then add a statement about how we will overcome these barriers at the end</w:t>
      </w:r>
    </w:p>
    <w:p w14:paraId="017A835C" w14:textId="4A34A32C" w:rsidR="003E5C87" w:rsidRDefault="003E5C87" w:rsidP="00455B33">
      <w:pPr>
        <w:pStyle w:val="CommentText"/>
      </w:pPr>
      <w:r>
        <w:t>1.5 pages</w:t>
      </w:r>
    </w:p>
  </w:comment>
  <w:comment w:id="3" w:author="John Desmarais" w:date="2023-04-03T11:22:00Z" w:initials="JD">
    <w:p w14:paraId="60F26BD9" w14:textId="7660401A" w:rsidR="009E0813" w:rsidRDefault="009E0813">
      <w:pPr>
        <w:pStyle w:val="CommentText"/>
      </w:pPr>
      <w:r>
        <w:rPr>
          <w:rStyle w:val="CommentReference"/>
        </w:rPr>
        <w:annotationRef/>
      </w:r>
      <w:r>
        <w:t>What I do that’s new Add this section here!</w:t>
      </w:r>
      <w:r w:rsidR="003E5C87">
        <w:t xml:space="preserve"> 0.5 page</w:t>
      </w:r>
    </w:p>
  </w:comment>
  <w:comment w:id="4"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5"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A835C" w15:done="0"/>
  <w15:commentEx w15:paraId="60F26BD9" w15:done="0"/>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8DF" w16cex:dateUtc="2023-04-03T15:37:00Z"/>
  <w16cex:commentExtensible w16cex:durableId="27D53591" w16cex:dateUtc="2023-04-03T15:22:00Z"/>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A835C" w16cid:durableId="27D538DF"/>
  <w16cid:commentId w16cid:paraId="60F26BD9" w16cid:durableId="27D53591"/>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F626" w14:textId="77777777" w:rsidR="003A26D7" w:rsidRDefault="003A26D7" w:rsidP="00242D15">
      <w:r>
        <w:separator/>
      </w:r>
    </w:p>
  </w:endnote>
  <w:endnote w:type="continuationSeparator" w:id="0">
    <w:p w14:paraId="78D772E2" w14:textId="77777777" w:rsidR="003A26D7" w:rsidRDefault="003A26D7"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5EB53" w14:textId="77777777" w:rsidR="003A26D7" w:rsidRDefault="003A26D7" w:rsidP="00242D15">
      <w:r>
        <w:separator/>
      </w:r>
    </w:p>
  </w:footnote>
  <w:footnote w:type="continuationSeparator" w:id="0">
    <w:p w14:paraId="34ED8148" w14:textId="77777777" w:rsidR="003A26D7" w:rsidRDefault="003A26D7"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31A1"/>
    <w:rsid w:val="00004239"/>
    <w:rsid w:val="000046A6"/>
    <w:rsid w:val="00006E96"/>
    <w:rsid w:val="000078B4"/>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F3F72"/>
    <w:rsid w:val="001F7959"/>
    <w:rsid w:val="00200566"/>
    <w:rsid w:val="00223CF2"/>
    <w:rsid w:val="002249F6"/>
    <w:rsid w:val="00242D15"/>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4401F"/>
    <w:rsid w:val="003662B0"/>
    <w:rsid w:val="003666F1"/>
    <w:rsid w:val="00371BE0"/>
    <w:rsid w:val="003728B0"/>
    <w:rsid w:val="00394E75"/>
    <w:rsid w:val="003966EC"/>
    <w:rsid w:val="003A26D7"/>
    <w:rsid w:val="003B7F7F"/>
    <w:rsid w:val="003C628F"/>
    <w:rsid w:val="003D46B6"/>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D5141"/>
    <w:rsid w:val="0051129A"/>
    <w:rsid w:val="00554DB4"/>
    <w:rsid w:val="00564853"/>
    <w:rsid w:val="00595A27"/>
    <w:rsid w:val="005E6055"/>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26468"/>
    <w:rsid w:val="00761713"/>
    <w:rsid w:val="0078423E"/>
    <w:rsid w:val="00786D26"/>
    <w:rsid w:val="0079764C"/>
    <w:rsid w:val="007C0215"/>
    <w:rsid w:val="007C7620"/>
    <w:rsid w:val="007F24A5"/>
    <w:rsid w:val="007F685F"/>
    <w:rsid w:val="008020DF"/>
    <w:rsid w:val="00821520"/>
    <w:rsid w:val="008241C1"/>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C5F10"/>
    <w:rsid w:val="009C6EB7"/>
    <w:rsid w:val="009E0813"/>
    <w:rsid w:val="009E1AC7"/>
    <w:rsid w:val="009F0B68"/>
    <w:rsid w:val="00A121C1"/>
    <w:rsid w:val="00A30AA8"/>
    <w:rsid w:val="00A453A8"/>
    <w:rsid w:val="00A50B68"/>
    <w:rsid w:val="00A51174"/>
    <w:rsid w:val="00A513C1"/>
    <w:rsid w:val="00A579DE"/>
    <w:rsid w:val="00A638F8"/>
    <w:rsid w:val="00AA5E16"/>
    <w:rsid w:val="00B01AFE"/>
    <w:rsid w:val="00B106B7"/>
    <w:rsid w:val="00B11743"/>
    <w:rsid w:val="00B227C8"/>
    <w:rsid w:val="00B2349F"/>
    <w:rsid w:val="00B24656"/>
    <w:rsid w:val="00B32B39"/>
    <w:rsid w:val="00B332DC"/>
    <w:rsid w:val="00B554B0"/>
    <w:rsid w:val="00B737CF"/>
    <w:rsid w:val="00B85C91"/>
    <w:rsid w:val="00B93B6D"/>
    <w:rsid w:val="00BA6FF0"/>
    <w:rsid w:val="00BB0821"/>
    <w:rsid w:val="00BF110C"/>
    <w:rsid w:val="00C01C8A"/>
    <w:rsid w:val="00C07B1F"/>
    <w:rsid w:val="00C1261B"/>
    <w:rsid w:val="00C32715"/>
    <w:rsid w:val="00C72932"/>
    <w:rsid w:val="00C75DAD"/>
    <w:rsid w:val="00C97664"/>
    <w:rsid w:val="00CA0D47"/>
    <w:rsid w:val="00CC4BC4"/>
    <w:rsid w:val="00CD16DE"/>
    <w:rsid w:val="00CE20AB"/>
    <w:rsid w:val="00CE264C"/>
    <w:rsid w:val="00CE5379"/>
    <w:rsid w:val="00CE6FD7"/>
    <w:rsid w:val="00CF150B"/>
    <w:rsid w:val="00CF41ED"/>
    <w:rsid w:val="00D04C83"/>
    <w:rsid w:val="00D21FF4"/>
    <w:rsid w:val="00D234F8"/>
    <w:rsid w:val="00D45262"/>
    <w:rsid w:val="00D5145D"/>
    <w:rsid w:val="00D72824"/>
    <w:rsid w:val="00D74A59"/>
    <w:rsid w:val="00DA516F"/>
    <w:rsid w:val="00DA5C46"/>
    <w:rsid w:val="00DD3170"/>
    <w:rsid w:val="00DE2F35"/>
    <w:rsid w:val="00DE630F"/>
    <w:rsid w:val="00DF2BC9"/>
    <w:rsid w:val="00E111A6"/>
    <w:rsid w:val="00E23545"/>
    <w:rsid w:val="00E32F9D"/>
    <w:rsid w:val="00E330A0"/>
    <w:rsid w:val="00E85B5E"/>
    <w:rsid w:val="00E93CDC"/>
    <w:rsid w:val="00EB2395"/>
    <w:rsid w:val="00EB5B39"/>
    <w:rsid w:val="00EC5BA9"/>
    <w:rsid w:val="00ED5A3F"/>
    <w:rsid w:val="00EE219B"/>
    <w:rsid w:val="00EE6656"/>
    <w:rsid w:val="00EF6E40"/>
    <w:rsid w:val="00F26383"/>
    <w:rsid w:val="00F3041D"/>
    <w:rsid w:val="00F37B07"/>
    <w:rsid w:val="00F46115"/>
    <w:rsid w:val="00F54B0C"/>
    <w:rsid w:val="00F93F46"/>
    <w:rsid w:val="00F9772C"/>
    <w:rsid w:val="00FA759F"/>
    <w:rsid w:val="00FB42BA"/>
    <w:rsid w:val="00FB6579"/>
    <w:rsid w:val="00FC0257"/>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9</Pages>
  <Words>54816</Words>
  <Characters>304233</Characters>
  <Application>Microsoft Office Word</Application>
  <DocSecurity>0</DocSecurity>
  <Lines>3900</Lines>
  <Paragraphs>1129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75</cp:revision>
  <dcterms:created xsi:type="dcterms:W3CDTF">2023-03-30T14:01:00Z</dcterms:created>
  <dcterms:modified xsi:type="dcterms:W3CDTF">2023-04-03T22:32:00Z</dcterms:modified>
</cp:coreProperties>
</file>