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40C2981B"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w:t>
      </w:r>
      <w:r>
        <w:rPr>
          <w:rFonts w:ascii="Arial" w:hAnsi="Arial" w:cs="Arial"/>
          <w:color w:val="000000" w:themeColor="text1"/>
          <w:sz w:val="22"/>
          <w:szCs w:val="22"/>
        </w:rPr>
        <w:lastRenderedPageBreak/>
        <w:t xml:space="preserve">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w:t>
      </w:r>
      <w:r w:rsidR="00C32715">
        <w:rPr>
          <w:rFonts w:ascii="Arial" w:hAnsi="Arial" w:cs="Arial"/>
          <w:bCs/>
          <w:sz w:val="22"/>
          <w:szCs w:val="22"/>
        </w:rPr>
        <w:lastRenderedPageBreak/>
        <w:t>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1A7D72F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and simulated library prep procedures.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2A4487">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937364" w:rsidRPr="00937364">
        <w:rPr>
          <w:rFonts w:ascii="Arial" w:hAnsi="Arial" w:cs="Arial"/>
          <w:bCs/>
          <w:noProof/>
          <w:sz w:val="22"/>
          <w:szCs w:val="22"/>
          <w:vertAlign w:val="superscript"/>
        </w:rPr>
        <w:t>41–47</w:t>
      </w:r>
      <w:r w:rsidR="00C32715">
        <w:rPr>
          <w:rFonts w:ascii="Arial" w:hAnsi="Arial" w:cs="Arial"/>
          <w:bCs/>
          <w:sz w:val="22"/>
          <w:szCs w:val="22"/>
        </w:rPr>
        <w:fldChar w:fldCharType="end"/>
      </w:r>
      <w:r w:rsidR="002A4487">
        <w:rPr>
          <w:rFonts w:ascii="Arial" w:hAnsi="Arial" w:cs="Arial"/>
          <w:bCs/>
          <w:sz w:val="22"/>
          <w:szCs w:val="22"/>
        </w:rPr>
        <w:t xml:space="preserve"> I will </w:t>
      </w:r>
      <w:r w:rsidR="000D2F94">
        <w:rPr>
          <w:rFonts w:ascii="Arial" w:hAnsi="Arial" w:cs="Arial"/>
          <w:bCs/>
          <w:sz w:val="22"/>
          <w:szCs w:val="22"/>
        </w:rPr>
        <w:t>test different</w:t>
      </w:r>
      <w:r w:rsidR="00200566">
        <w:rPr>
          <w:rFonts w:ascii="Arial" w:hAnsi="Arial" w:cs="Arial"/>
          <w:bCs/>
          <w:sz w:val="22"/>
          <w:szCs w:val="22"/>
        </w:rPr>
        <w:t xml:space="preserve"> 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w:t>
      </w:r>
      <w:r w:rsidR="000D2F94">
        <w:rPr>
          <w:rFonts w:ascii="Arial" w:hAnsi="Arial" w:cs="Arial"/>
          <w:bCs/>
          <w:sz w:val="22"/>
          <w:szCs w:val="22"/>
        </w:rPr>
        <w:t>.</w:t>
      </w:r>
      <w:r w:rsidR="00200566">
        <w:rPr>
          <w:rFonts w:ascii="Arial" w:hAnsi="Arial" w:cs="Arial"/>
          <w:bCs/>
          <w:sz w:val="22"/>
          <w:szCs w:val="22"/>
        </w:rPr>
        <w:t xml:space="preserve"> I will test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200566">
        <w:rPr>
          <w:rFonts w:ascii="Arial" w:hAnsi="Arial" w:cs="Arial"/>
          <w:bCs/>
          <w:sz w:val="22"/>
          <w:szCs w:val="22"/>
        </w:rPr>
        <w:instrText>ADDIN paperpile_citation &lt;clusterId&gt;F616T763P154M877&lt;/clusterId&gt;&lt;metadata&gt;&lt;citation&gt;&lt;id&gt;a3d81d8e-37a4-453c-bea8-e9fc9051e6d0&lt;/id&gt;&lt;/citation&gt;&lt;/metadata&gt;&lt;data&gt;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&lt;/data&gt; \* MERGEFORMAT</w:instrText>
      </w:r>
      <w:r w:rsidR="00200566">
        <w:rPr>
          <w:rFonts w:ascii="Arial" w:hAnsi="Arial" w:cs="Arial"/>
          <w:bCs/>
          <w:sz w:val="22"/>
          <w:szCs w:val="22"/>
        </w:rPr>
        <w:fldChar w:fldCharType="separate"/>
      </w:r>
      <w:r w:rsidR="00937364" w:rsidRPr="00937364">
        <w:rPr>
          <w:rFonts w:ascii="Arial" w:hAnsi="Arial" w:cs="Arial"/>
          <w:bCs/>
          <w:noProof/>
          <w:sz w:val="22"/>
          <w:szCs w:val="22"/>
          <w:vertAlign w:val="superscript"/>
        </w:rPr>
        <w:t>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025DF4F8"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It is possible existing read simulators and isoform clustering tools will not work well for MPSA data because they were designed for slightly different purposes,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25EEBC9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w:t>
      </w:r>
      <w:r w:rsidR="00006E96">
        <w:rPr>
          <w:rFonts w:ascii="Arial" w:hAnsi="Arial" w:cs="Arial"/>
          <w:bCs/>
          <w:sz w:val="22"/>
          <w:szCs w:val="22"/>
        </w:rPr>
        <w:lastRenderedPageBreak/>
        <w:t xml:space="preserve">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A50B68" w:rsidRPr="00A50B68">
        <w:rPr>
          <w:rFonts w:ascii="Arial" w:hAnsi="Arial" w:cs="Arial"/>
          <w:bCs/>
          <w:noProof/>
          <w:sz w:val="22"/>
          <w:szCs w:val="22"/>
          <w:vertAlign w:val="superscript"/>
        </w:rPr>
        <w:t>49</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53951298" w14:textId="6FC0CDB7" w:rsidR="00E93CDC" w:rsidRPr="00A50B68" w:rsidRDefault="00D04C83" w:rsidP="00D04C83">
      <w:pPr>
        <w:pStyle w:val="ListParagraph"/>
        <w:numPr>
          <w:ilvl w:val="0"/>
          <w:numId w:val="4"/>
        </w:numPr>
        <w:rPr>
          <w:rFonts w:ascii="Arial" w:hAnsi="Arial" w:cs="Arial"/>
          <w:bCs/>
          <w:strike/>
          <w:sz w:val="22"/>
          <w:szCs w:val="22"/>
        </w:rPr>
      </w:pPr>
      <w:r w:rsidRPr="00A50B68">
        <w:rPr>
          <w:rFonts w:ascii="Arial" w:hAnsi="Arial" w:cs="Arial"/>
          <w:bCs/>
          <w:strike/>
          <w:sz w:val="22"/>
          <w:szCs w:val="22"/>
        </w:rPr>
        <w:t xml:space="preserve">Generate a PKM library from </w:t>
      </w:r>
      <w:r w:rsidR="00284C66" w:rsidRPr="00A50B68">
        <w:rPr>
          <w:rFonts w:ascii="Arial" w:hAnsi="Arial" w:cs="Arial"/>
          <w:bCs/>
          <w:strike/>
          <w:sz w:val="22"/>
          <w:szCs w:val="22"/>
        </w:rPr>
        <w:t>our minigene</w:t>
      </w:r>
    </w:p>
    <w:p w14:paraId="12A65EB7" w14:textId="77777777" w:rsidR="00284C66" w:rsidRPr="00A50B68" w:rsidRDefault="00284C66" w:rsidP="00284C66">
      <w:pPr>
        <w:pStyle w:val="ListParagraph"/>
        <w:numPr>
          <w:ilvl w:val="1"/>
          <w:numId w:val="4"/>
        </w:numPr>
        <w:rPr>
          <w:rFonts w:ascii="Arial" w:hAnsi="Arial" w:cs="Arial"/>
          <w:bCs/>
          <w:strike/>
          <w:sz w:val="22"/>
          <w:szCs w:val="22"/>
        </w:rPr>
      </w:pPr>
      <w:proofErr w:type="spellStart"/>
      <w:proofErr w:type="gramStart"/>
      <w:r w:rsidRPr="00A50B68">
        <w:rPr>
          <w:rFonts w:ascii="Arial" w:hAnsi="Arial" w:cs="Arial"/>
          <w:bCs/>
          <w:strike/>
          <w:sz w:val="22"/>
          <w:szCs w:val="22"/>
        </w:rPr>
        <w:t>Course</w:t>
      </w:r>
      <w:proofErr w:type="spellEnd"/>
      <w:proofErr w:type="gramEnd"/>
      <w:r w:rsidRPr="00A50B68">
        <w:rPr>
          <w:rFonts w:ascii="Arial" w:hAnsi="Arial" w:cs="Arial"/>
          <w:bCs/>
          <w:strike/>
          <w:sz w:val="22"/>
          <w:szCs w:val="22"/>
        </w:rPr>
        <w:t xml:space="preserve"> grain deletion library of the outer introns 21 250 bp chunks</w:t>
      </w:r>
    </w:p>
    <w:p w14:paraId="7D0930D3" w14:textId="6C7A2C92" w:rsidR="00284C66" w:rsidRPr="00A50B68" w:rsidRDefault="00284C66" w:rsidP="00284C66">
      <w:pPr>
        <w:pStyle w:val="ListParagraph"/>
        <w:numPr>
          <w:ilvl w:val="2"/>
          <w:numId w:val="4"/>
        </w:numPr>
        <w:rPr>
          <w:rFonts w:ascii="Arial" w:hAnsi="Arial" w:cs="Arial"/>
          <w:bCs/>
          <w:strike/>
          <w:sz w:val="22"/>
          <w:szCs w:val="22"/>
        </w:rPr>
      </w:pPr>
      <w:r w:rsidRPr="00A50B68">
        <w:rPr>
          <w:rFonts w:ascii="Arial" w:hAnsi="Arial" w:cs="Arial"/>
          <w:bCs/>
          <w:strike/>
          <w:sz w:val="22"/>
          <w:szCs w:val="22"/>
        </w:rPr>
        <w:t xml:space="preserve">Look for changes in splicing behavior and add to the twist library </w:t>
      </w:r>
    </w:p>
    <w:p w14:paraId="7AC4D4E9" w14:textId="1EA04819" w:rsidR="00284C66" w:rsidRPr="00A50B68" w:rsidRDefault="00284C66" w:rsidP="00284C66">
      <w:pPr>
        <w:pStyle w:val="ListParagraph"/>
        <w:numPr>
          <w:ilvl w:val="1"/>
          <w:numId w:val="4"/>
        </w:numPr>
        <w:rPr>
          <w:rFonts w:ascii="Arial" w:hAnsi="Arial" w:cs="Arial"/>
          <w:bCs/>
          <w:strike/>
          <w:sz w:val="22"/>
          <w:szCs w:val="22"/>
        </w:rPr>
      </w:pPr>
      <w:r w:rsidRPr="00A50B68">
        <w:rPr>
          <w:rFonts w:ascii="Arial" w:hAnsi="Arial" w:cs="Arial"/>
          <w:bCs/>
          <w:strike/>
          <w:sz w:val="22"/>
          <w:szCs w:val="22"/>
        </w:rPr>
        <w:t xml:space="preserve">Fine grained SNPs and </w:t>
      </w:r>
      <w:proofErr w:type="spellStart"/>
      <w:r w:rsidRPr="00A50B68">
        <w:rPr>
          <w:rFonts w:ascii="Arial" w:hAnsi="Arial" w:cs="Arial"/>
          <w:bCs/>
          <w:strike/>
          <w:sz w:val="22"/>
          <w:szCs w:val="22"/>
        </w:rPr>
        <w:t>and</w:t>
      </w:r>
      <w:proofErr w:type="spellEnd"/>
      <w:r w:rsidRPr="00A50B68">
        <w:rPr>
          <w:rFonts w:ascii="Arial" w:hAnsi="Arial" w:cs="Arial"/>
          <w:bCs/>
          <w:strike/>
          <w:sz w:val="22"/>
          <w:szCs w:val="22"/>
        </w:rPr>
        <w:t xml:space="preserve"> </w:t>
      </w:r>
      <w:proofErr w:type="spellStart"/>
      <w:r w:rsidRPr="00A50B68">
        <w:rPr>
          <w:rFonts w:ascii="Arial" w:hAnsi="Arial" w:cs="Arial"/>
          <w:bCs/>
          <w:strike/>
          <w:sz w:val="22"/>
          <w:szCs w:val="22"/>
        </w:rPr>
        <w:t>dels</w:t>
      </w:r>
      <w:proofErr w:type="spellEnd"/>
      <w:r w:rsidRPr="00A50B68">
        <w:rPr>
          <w:rFonts w:ascii="Arial" w:hAnsi="Arial" w:cs="Arial"/>
          <w:bCs/>
          <w:strike/>
          <w:sz w:val="22"/>
          <w:szCs w:val="22"/>
        </w:rPr>
        <w:t xml:space="preserve"> of 100BP outside each MXE (~5k mutants) + any identified intron sections</w:t>
      </w:r>
    </w:p>
    <w:p w14:paraId="34CD0184" w14:textId="0D07E7C2" w:rsidR="0079764C" w:rsidRPr="00A50B68" w:rsidRDefault="00BF110C" w:rsidP="00284C66">
      <w:pPr>
        <w:pStyle w:val="ListParagraph"/>
        <w:numPr>
          <w:ilvl w:val="1"/>
          <w:numId w:val="4"/>
        </w:numPr>
        <w:rPr>
          <w:rFonts w:ascii="Arial" w:hAnsi="Arial" w:cs="Arial"/>
          <w:bCs/>
          <w:strike/>
          <w:sz w:val="22"/>
          <w:szCs w:val="22"/>
        </w:rPr>
      </w:pPr>
      <w:r w:rsidRPr="00A50B68">
        <w:rPr>
          <w:rFonts w:ascii="Arial" w:hAnsi="Arial" w:cs="Arial"/>
          <w:bCs/>
          <w:strike/>
          <w:sz w:val="22"/>
          <w:szCs w:val="22"/>
        </w:rPr>
        <w:t>I will verify detected motifs with ASOs/low throughput experiments</w:t>
      </w:r>
    </w:p>
    <w:p w14:paraId="17DC80FC" w14:textId="333E666C" w:rsidR="00BF110C" w:rsidRPr="000D650F" w:rsidRDefault="00BF110C" w:rsidP="00284C66">
      <w:pPr>
        <w:pStyle w:val="ListParagraph"/>
        <w:numPr>
          <w:ilvl w:val="1"/>
          <w:numId w:val="4"/>
        </w:numPr>
        <w:rPr>
          <w:rFonts w:ascii="Arial" w:hAnsi="Arial" w:cs="Arial"/>
          <w:bCs/>
          <w:strike/>
          <w:sz w:val="22"/>
          <w:szCs w:val="22"/>
        </w:rPr>
      </w:pPr>
      <w:r w:rsidRPr="000D650F">
        <w:rPr>
          <w:rFonts w:ascii="Arial" w:hAnsi="Arial" w:cs="Arial"/>
          <w:bCs/>
          <w:strike/>
          <w:sz w:val="22"/>
          <w:szCs w:val="22"/>
        </w:rPr>
        <w:t>I will build quantitative models from the data that we observe</w:t>
      </w:r>
    </w:p>
    <w:p w14:paraId="7A362F8C" w14:textId="7B37FB5D" w:rsidR="00284C66" w:rsidRDefault="00614613" w:rsidP="00614613">
      <w:pPr>
        <w:pStyle w:val="ListParagraph"/>
        <w:numPr>
          <w:ilvl w:val="0"/>
          <w:numId w:val="4"/>
        </w:numPr>
        <w:rPr>
          <w:rFonts w:ascii="Arial" w:hAnsi="Arial" w:cs="Arial"/>
          <w:bCs/>
          <w:sz w:val="22"/>
          <w:szCs w:val="22"/>
        </w:rPr>
      </w:pPr>
      <w:r>
        <w:rPr>
          <w:rFonts w:ascii="Arial" w:hAnsi="Arial" w:cs="Arial"/>
          <w:bCs/>
          <w:sz w:val="22"/>
          <w:szCs w:val="22"/>
        </w:rPr>
        <w:t>Pitfalls</w:t>
      </w:r>
    </w:p>
    <w:p w14:paraId="7ECF7FBD" w14:textId="35A7012B" w:rsidR="00CA0D47" w:rsidRPr="00A30AA8" w:rsidRDefault="00614613"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it is too hard to make out differences given the low inclusion levels of E9 in HeLa, we can move the splicing ratio intermediate splicing values by</w:t>
      </w:r>
      <w:r w:rsidR="000D650F" w:rsidRPr="00A30AA8">
        <w:rPr>
          <w:rFonts w:ascii="Arial" w:hAnsi="Arial" w:cs="Arial"/>
          <w:bCs/>
          <w:strike/>
          <w:sz w:val="22"/>
          <w:szCs w:val="22"/>
        </w:rPr>
        <w:t xml:space="preserve"> using ASOs,</w:t>
      </w:r>
      <w:r w:rsidRPr="00A30AA8">
        <w:rPr>
          <w:rFonts w:ascii="Arial" w:hAnsi="Arial" w:cs="Arial"/>
          <w:bCs/>
          <w:strike/>
          <w:sz w:val="22"/>
          <w:szCs w:val="22"/>
        </w:rPr>
        <w:t xml:space="preserve"> mutating the E9 5’-ss to consensus</w:t>
      </w:r>
      <w:r w:rsidR="0079764C" w:rsidRPr="00A30AA8">
        <w:rPr>
          <w:rFonts w:ascii="Arial" w:hAnsi="Arial" w:cs="Arial"/>
          <w:bCs/>
          <w:strike/>
          <w:sz w:val="22"/>
          <w:szCs w:val="22"/>
        </w:rPr>
        <w:t xml:space="preserve"> or a </w:t>
      </w:r>
      <w:proofErr w:type="spellStart"/>
      <w:r w:rsidR="0079764C" w:rsidRPr="00A30AA8">
        <w:rPr>
          <w:rFonts w:ascii="Arial" w:hAnsi="Arial" w:cs="Arial"/>
          <w:bCs/>
          <w:strike/>
          <w:sz w:val="22"/>
          <w:szCs w:val="22"/>
        </w:rPr>
        <w:t>risdaplam</w:t>
      </w:r>
      <w:proofErr w:type="spellEnd"/>
      <w:r w:rsidR="0079764C" w:rsidRPr="00A30AA8">
        <w:rPr>
          <w:rFonts w:ascii="Arial" w:hAnsi="Arial" w:cs="Arial"/>
          <w:bCs/>
          <w:strike/>
          <w:sz w:val="22"/>
          <w:szCs w:val="22"/>
        </w:rPr>
        <w:t xml:space="preserve"> sensitive site and titrating </w:t>
      </w:r>
      <w:proofErr w:type="spellStart"/>
      <w:r w:rsidR="0079764C" w:rsidRPr="00A30AA8">
        <w:rPr>
          <w:rFonts w:ascii="Arial" w:hAnsi="Arial" w:cs="Arial"/>
          <w:bCs/>
          <w:strike/>
          <w:sz w:val="22"/>
          <w:szCs w:val="22"/>
        </w:rPr>
        <w:t>risdaplam</w:t>
      </w:r>
      <w:proofErr w:type="spellEnd"/>
      <w:r w:rsidR="000D650F" w:rsidRPr="00A30AA8">
        <w:rPr>
          <w:rFonts w:ascii="Arial" w:hAnsi="Arial" w:cs="Arial"/>
          <w:bCs/>
          <w:strike/>
          <w:sz w:val="22"/>
          <w:szCs w:val="22"/>
        </w:rPr>
        <w:t>, try the experiments in other cell types, differentiating myotubes</w:t>
      </w:r>
      <w:r w:rsidR="00097277" w:rsidRPr="00A30AA8">
        <w:rPr>
          <w:rFonts w:ascii="Arial" w:hAnsi="Arial" w:cs="Arial"/>
          <w:bCs/>
          <w:strike/>
          <w:sz w:val="22"/>
          <w:szCs w:val="22"/>
        </w:rPr>
        <w:t xml:space="preserve"> </w:t>
      </w:r>
      <w:proofErr w:type="spellStart"/>
      <w:r w:rsidR="00097277" w:rsidRPr="00A30AA8">
        <w:rPr>
          <w:rFonts w:ascii="Arial" w:hAnsi="Arial" w:cs="Arial"/>
          <w:bCs/>
          <w:strike/>
          <w:sz w:val="22"/>
          <w:szCs w:val="22"/>
        </w:rPr>
        <w:t>ect</w:t>
      </w:r>
      <w:proofErr w:type="spellEnd"/>
    </w:p>
    <w:p w14:paraId="283096E2" w14:textId="5B05AD3A" w:rsidR="0079764C" w:rsidRPr="00A30AA8" w:rsidRDefault="00DA5C46"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Aim 1 doesn’t work I will use short read junction sequencing and just loose some isoforms</w:t>
      </w:r>
    </w:p>
    <w:p w14:paraId="5FE630BA" w14:textId="0FD06298" w:rsidR="00DA5C46" w:rsidRPr="00A30AA8" w:rsidRDefault="00DA5C46"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Aim 2 doesn’t work, I will use simpler bespoke scripts for analysis</w:t>
      </w:r>
      <w:r w:rsidR="00641115" w:rsidRPr="00A30AA8">
        <w:rPr>
          <w:rFonts w:ascii="Arial" w:hAnsi="Arial" w:cs="Arial"/>
          <w:bCs/>
          <w:strike/>
          <w:sz w:val="22"/>
          <w:szCs w:val="22"/>
        </w:rPr>
        <w:t xml:space="preserve"> matching expected isoforms</w:t>
      </w:r>
    </w:p>
    <w:p w14:paraId="3DE75450" w14:textId="3014C979" w:rsidR="000D650F" w:rsidRPr="000046A6" w:rsidRDefault="000D650F" w:rsidP="0079764C">
      <w:pPr>
        <w:pStyle w:val="ListParagraph"/>
        <w:numPr>
          <w:ilvl w:val="1"/>
          <w:numId w:val="4"/>
        </w:numPr>
        <w:rPr>
          <w:rFonts w:ascii="Arial" w:hAnsi="Arial" w:cs="Arial"/>
          <w:bCs/>
          <w:strike/>
          <w:sz w:val="22"/>
          <w:szCs w:val="22"/>
        </w:rPr>
      </w:pPr>
      <w:r w:rsidRPr="000046A6">
        <w:rPr>
          <w:rFonts w:ascii="Arial" w:hAnsi="Arial" w:cs="Arial"/>
          <w:bCs/>
          <w:strike/>
          <w:sz w:val="22"/>
          <w:szCs w:val="22"/>
        </w:rPr>
        <w:t xml:space="preserve">If I don’t find anything new, I will still have collected a much higher resolution map of PKM splicing, and I can try again on a new gene with much less well characterized splicing. Ketohexokinase, CaV1.2, CD55, </w:t>
      </w:r>
      <w:proofErr w:type="spellStart"/>
      <w:r w:rsidRPr="000046A6">
        <w:rPr>
          <w:rFonts w:ascii="Arial" w:hAnsi="Arial" w:cs="Arial"/>
          <w:bCs/>
          <w:strike/>
          <w:sz w:val="22"/>
          <w:szCs w:val="22"/>
        </w:rPr>
        <w:t>etc</w:t>
      </w:r>
      <w:proofErr w:type="spellEnd"/>
    </w:p>
    <w:p w14:paraId="25D21AB8" w14:textId="7C4AD45E" w:rsidR="00D04C83" w:rsidRDefault="00284C66">
      <w:pPr>
        <w:rPr>
          <w:rFonts w:ascii="Arial" w:hAnsi="Arial" w:cs="Arial"/>
          <w:sz w:val="22"/>
          <w:szCs w:val="22"/>
        </w:rPr>
      </w:pPr>
      <w:r w:rsidRPr="00BD4BF9">
        <w:rPr>
          <w:spacing w:val="-2"/>
        </w:rPr>
        <w:t xml:space="preserve">. </w:t>
      </w:r>
      <w:r w:rsidRPr="00BD4BF9">
        <w:t>PKM</w:t>
      </w:r>
      <w:r w:rsidRPr="00BD4BF9">
        <w:rPr>
          <w:spacing w:val="-7"/>
        </w:rPr>
        <w:t xml:space="preserve"> </w:t>
      </w:r>
      <w:r w:rsidRPr="00BD4BF9">
        <w:t>has</w:t>
      </w:r>
      <w:r w:rsidRPr="00BD4BF9">
        <w:rPr>
          <w:spacing w:val="-7"/>
        </w:rPr>
        <w:t xml:space="preserve"> </w:t>
      </w:r>
      <w:r w:rsidRPr="00BD4BF9">
        <w:t>a</w:t>
      </w:r>
      <w:r w:rsidRPr="00BD4BF9">
        <w:rPr>
          <w:spacing w:val="-7"/>
        </w:rPr>
        <w:t xml:space="preserve"> </w:t>
      </w:r>
      <w:r w:rsidRPr="00BD4BF9">
        <w:t>pair</w:t>
      </w:r>
      <w:r w:rsidRPr="00BD4BF9">
        <w:rPr>
          <w:spacing w:val="-7"/>
        </w:rPr>
        <w:t xml:space="preserve"> </w:t>
      </w:r>
      <w:r w:rsidRPr="00BD4BF9">
        <w:t>of</w:t>
      </w:r>
      <w:r w:rsidRPr="00BD4BF9">
        <w:rPr>
          <w:spacing w:val="-7"/>
        </w:rPr>
        <w:t xml:space="preserve"> </w:t>
      </w:r>
      <w:r w:rsidRPr="00BD4BF9">
        <w:t>mutually exclusive exons</w:t>
      </w:r>
      <w:r w:rsidRPr="00BD4BF9">
        <w:rPr>
          <w:spacing w:val="-7"/>
        </w:rPr>
        <w:t xml:space="preserve"> </w:t>
      </w:r>
      <w:r w:rsidRPr="00BD4BF9">
        <w:t>and</w:t>
      </w:r>
      <w:r w:rsidRPr="00BD4BF9">
        <w:rPr>
          <w:spacing w:val="-7"/>
        </w:rPr>
        <w:t xml:space="preserve"> </w:t>
      </w:r>
      <w:r w:rsidRPr="00BD4BF9">
        <w:t>switching</w:t>
      </w:r>
      <w:r w:rsidRPr="00BD4BF9">
        <w:rPr>
          <w:spacing w:val="-7"/>
        </w:rPr>
        <w:t xml:space="preserve"> </w:t>
      </w:r>
      <w:r w:rsidRPr="00BD4BF9">
        <w:t>between</w:t>
      </w:r>
      <w:r w:rsidRPr="00BD4BF9">
        <w:rPr>
          <w:spacing w:val="-7"/>
        </w:rPr>
        <w:t xml:space="preserve"> </w:t>
      </w:r>
      <w:r w:rsidRPr="00BD4BF9">
        <w:t>them</w:t>
      </w:r>
      <w:r w:rsidRPr="00BD4BF9">
        <w:rPr>
          <w:spacing w:val="-7"/>
        </w:rPr>
        <w:t xml:space="preserve"> </w:t>
      </w:r>
      <w:r w:rsidRPr="00BD4BF9">
        <w:t>drives</w:t>
      </w:r>
      <w:r w:rsidRPr="00BD4BF9">
        <w:rPr>
          <w:spacing w:val="-7"/>
        </w:rPr>
        <w:t xml:space="preserve"> </w:t>
      </w:r>
      <w:r w:rsidRPr="00BD4BF9">
        <w:t>the</w:t>
      </w:r>
      <w:r w:rsidRPr="00BD4BF9">
        <w:rPr>
          <w:spacing w:val="-7"/>
        </w:rPr>
        <w:t xml:space="preserve"> </w:t>
      </w:r>
      <w:r w:rsidRPr="00BD4BF9">
        <w:t>Warburg</w:t>
      </w:r>
      <w:r w:rsidRPr="00BD4BF9">
        <w:rPr>
          <w:spacing w:val="-7"/>
        </w:rPr>
        <w:t xml:space="preserve"> </w:t>
      </w:r>
      <w:r w:rsidRPr="00BD4BF9">
        <w:t>effect,</w:t>
      </w:r>
      <w:r w:rsidRPr="00BD4BF9">
        <w:rPr>
          <w:spacing w:val="-7"/>
        </w:rPr>
        <w:t xml:space="preserve"> </w:t>
      </w:r>
      <w:r w:rsidRPr="00BD4BF9">
        <w:t>this</w:t>
      </w:r>
      <w:r w:rsidRPr="00BD4BF9">
        <w:rPr>
          <w:spacing w:val="-7"/>
        </w:rPr>
        <w:t xml:space="preserve"> </w:t>
      </w:r>
      <w:r w:rsidRPr="00BD4BF9">
        <w:t>splicing</w:t>
      </w:r>
      <w:r w:rsidRPr="00BD4BF9">
        <w:rPr>
          <w:spacing w:val="-7"/>
        </w:rPr>
        <w:t xml:space="preserve"> </w:t>
      </w:r>
      <w:r w:rsidRPr="00BD4BF9">
        <w:t>event</w:t>
      </w:r>
      <w:r w:rsidRPr="00BD4BF9">
        <w:rPr>
          <w:spacing w:val="-7"/>
        </w:rPr>
        <w:t xml:space="preserve"> </w:t>
      </w:r>
      <w:r w:rsidRPr="00BD4BF9">
        <w:t>is</w:t>
      </w:r>
      <w:r w:rsidRPr="00BD4BF9">
        <w:rPr>
          <w:spacing w:val="-7"/>
        </w:rPr>
        <w:t xml:space="preserve"> </w:t>
      </w:r>
      <w:r w:rsidRPr="00BD4BF9">
        <w:t>a</w:t>
      </w:r>
      <w:r w:rsidRPr="00BD4BF9">
        <w:rPr>
          <w:spacing w:val="-7"/>
        </w:rPr>
        <w:t xml:space="preserve"> </w:t>
      </w:r>
      <w:r w:rsidRPr="00BD4BF9">
        <w:t>target for cancer therapies. PKM</w:t>
      </w:r>
      <w:r w:rsidRPr="00BD4BF9">
        <w:rPr>
          <w:spacing w:val="-8"/>
        </w:rPr>
        <w:t xml:space="preserve"> </w:t>
      </w:r>
      <w:r w:rsidRPr="00BD4BF9">
        <w:t>mutually exclusive exon</w:t>
      </w:r>
      <w:r w:rsidRPr="00BD4BF9">
        <w:rPr>
          <w:spacing w:val="-8"/>
        </w:rPr>
        <w:t xml:space="preserve"> </w:t>
      </w:r>
      <w:r w:rsidRPr="00BD4BF9">
        <w:t>splicing</w:t>
      </w:r>
      <w:r w:rsidRPr="00BD4BF9">
        <w:rPr>
          <w:spacing w:val="-8"/>
        </w:rPr>
        <w:t xml:space="preserve"> </w:t>
      </w:r>
      <w:r w:rsidRPr="00BD4BF9">
        <w:t>causes</w:t>
      </w:r>
      <w:r w:rsidRPr="00BD4BF9">
        <w:rPr>
          <w:spacing w:val="-8"/>
        </w:rPr>
        <w:t xml:space="preserve"> </w:t>
      </w:r>
      <w:r w:rsidRPr="00BD4BF9">
        <w:t>a</w:t>
      </w:r>
      <w:r w:rsidRPr="00BD4BF9">
        <w:rPr>
          <w:spacing w:val="-8"/>
        </w:rPr>
        <w:t xml:space="preserve"> </w:t>
      </w:r>
      <w:r w:rsidRPr="00BD4BF9">
        <w:t>shift from respiration to fermentation that is a driver of cancer. I will use LR-MPSAs to identify motifs that are important</w:t>
      </w:r>
      <w:r w:rsidRPr="00BD4BF9">
        <w:rPr>
          <w:spacing w:val="-8"/>
        </w:rPr>
        <w:t xml:space="preserve"> </w:t>
      </w:r>
      <w:r w:rsidRPr="00BD4BF9">
        <w:t>for</w:t>
      </w:r>
      <w:r w:rsidRPr="00BD4BF9">
        <w:rPr>
          <w:spacing w:val="-7"/>
        </w:rPr>
        <w:t xml:space="preserve"> </w:t>
      </w:r>
      <w:r w:rsidRPr="00BD4BF9">
        <w:t>maintaining</w:t>
      </w:r>
      <w:r w:rsidRPr="00BD4BF9">
        <w:rPr>
          <w:spacing w:val="-7"/>
        </w:rPr>
        <w:t xml:space="preserve"> </w:t>
      </w:r>
      <w:r w:rsidRPr="00BD4BF9">
        <w:t>mutual</w:t>
      </w:r>
      <w:r w:rsidRPr="00BD4BF9">
        <w:rPr>
          <w:spacing w:val="-7"/>
        </w:rPr>
        <w:t xml:space="preserve"> </w:t>
      </w:r>
      <w:r w:rsidRPr="00BD4BF9">
        <w:t>exclusivity</w:t>
      </w:r>
      <w:r w:rsidRPr="00BD4BF9">
        <w:rPr>
          <w:spacing w:val="-8"/>
        </w:rPr>
        <w:t xml:space="preserve"> </w:t>
      </w:r>
      <w:r w:rsidRPr="00BD4BF9">
        <w:t>in</w:t>
      </w:r>
      <w:r w:rsidRPr="00BD4BF9">
        <w:rPr>
          <w:spacing w:val="-7"/>
        </w:rPr>
        <w:t xml:space="preserve"> </w:t>
      </w:r>
      <w:r w:rsidRPr="00BD4BF9">
        <w:t>PKM</w:t>
      </w:r>
      <w:r w:rsidRPr="00BD4BF9">
        <w:rPr>
          <w:spacing w:val="-7"/>
        </w:rPr>
        <w:t xml:space="preserve"> </w:t>
      </w:r>
      <w:r w:rsidRPr="00BD4BF9">
        <w:t>mutually exclusive exons</w:t>
      </w:r>
      <w:r w:rsidRPr="00BD4BF9">
        <w:rPr>
          <w:spacing w:val="-7"/>
        </w:rPr>
        <w:t xml:space="preserve"> </w:t>
      </w:r>
      <w:r w:rsidRPr="00BD4BF9">
        <w:t>by</w:t>
      </w:r>
      <w:r w:rsidRPr="00BD4BF9">
        <w:rPr>
          <w:spacing w:val="-8"/>
        </w:rPr>
        <w:t xml:space="preserve"> </w:t>
      </w:r>
      <w:r w:rsidRPr="00BD4BF9">
        <w:t>identifying</w:t>
      </w:r>
      <w:r w:rsidRPr="00BD4BF9">
        <w:rPr>
          <w:spacing w:val="-7"/>
        </w:rPr>
        <w:t xml:space="preserve"> </w:t>
      </w:r>
      <w:r w:rsidRPr="00BD4BF9">
        <w:t>mutants</w:t>
      </w:r>
      <w:r w:rsidRPr="00BD4BF9">
        <w:rPr>
          <w:spacing w:val="-7"/>
        </w:rPr>
        <w:t xml:space="preserve"> </w:t>
      </w:r>
      <w:r w:rsidRPr="00BD4BF9">
        <w:t>that</w:t>
      </w:r>
      <w:r w:rsidRPr="00BD4BF9">
        <w:rPr>
          <w:spacing w:val="-7"/>
        </w:rPr>
        <w:t xml:space="preserve"> </w:t>
      </w:r>
      <w:r w:rsidRPr="00BD4BF9">
        <w:t>deviate</w:t>
      </w:r>
      <w:r w:rsidRPr="00BD4BF9">
        <w:rPr>
          <w:spacing w:val="-7"/>
        </w:rPr>
        <w:t xml:space="preserve"> </w:t>
      </w:r>
      <w:r w:rsidRPr="00BD4BF9">
        <w:t>from</w:t>
      </w:r>
      <w:r w:rsidRPr="00BD4BF9">
        <w:rPr>
          <w:spacing w:val="-8"/>
        </w:rPr>
        <w:t xml:space="preserve"> </w:t>
      </w:r>
      <w:r w:rsidRPr="00BD4BF9">
        <w:rPr>
          <w:spacing w:val="-5"/>
        </w:rPr>
        <w:t xml:space="preserve">mutually exclusive exon </w:t>
      </w:r>
      <w:r w:rsidRPr="00BD4BF9">
        <w:t>behavior. I</w:t>
      </w:r>
      <w:r w:rsidRPr="00BD4BF9">
        <w:rPr>
          <w:spacing w:val="-10"/>
        </w:rPr>
        <w:t xml:space="preserve"> </w:t>
      </w:r>
      <w:r w:rsidRPr="00BD4BF9">
        <w:t>will</w:t>
      </w:r>
      <w:r w:rsidRPr="00BD4BF9">
        <w:rPr>
          <w:spacing w:val="-10"/>
        </w:rPr>
        <w:t xml:space="preserve"> </w:t>
      </w:r>
      <w:r w:rsidRPr="00BD4BF9">
        <w:t>verify</w:t>
      </w:r>
      <w:r w:rsidRPr="00BD4BF9">
        <w:rPr>
          <w:spacing w:val="-10"/>
        </w:rPr>
        <w:t xml:space="preserve"> </w:t>
      </w:r>
      <w:r w:rsidRPr="00BD4BF9">
        <w:t>identified</w:t>
      </w:r>
      <w:r w:rsidRPr="00BD4BF9">
        <w:rPr>
          <w:spacing w:val="-10"/>
        </w:rPr>
        <w:t xml:space="preserve"> </w:t>
      </w:r>
      <w:r w:rsidRPr="00BD4BF9">
        <w:t>motifs</w:t>
      </w:r>
      <w:r w:rsidRPr="00BD4BF9">
        <w:rPr>
          <w:spacing w:val="-10"/>
        </w:rPr>
        <w:t xml:space="preserve"> </w:t>
      </w:r>
      <w:r w:rsidRPr="00BD4BF9">
        <w:t>with</w:t>
      </w:r>
      <w:r w:rsidRPr="00BD4BF9">
        <w:rPr>
          <w:spacing w:val="-10"/>
        </w:rPr>
        <w:t xml:space="preserve"> </w:t>
      </w:r>
      <w:r w:rsidRPr="00BD4BF9">
        <w:t>anti-sense</w:t>
      </w:r>
      <w:r w:rsidRPr="00BD4BF9">
        <w:rPr>
          <w:spacing w:val="-10"/>
        </w:rPr>
        <w:t xml:space="preserve"> </w:t>
      </w:r>
      <w:r w:rsidRPr="00BD4BF9">
        <w:t>oligo</w:t>
      </w:r>
      <w:r w:rsidRPr="00BD4BF9">
        <w:rPr>
          <w:spacing w:val="-10"/>
        </w:rPr>
        <w:t xml:space="preserve"> </w:t>
      </w:r>
      <w:r w:rsidRPr="00BD4BF9">
        <w:t>based</w:t>
      </w:r>
      <w:r w:rsidRPr="00BD4BF9">
        <w:rPr>
          <w:spacing w:val="-10"/>
        </w:rPr>
        <w:t xml:space="preserve"> </w:t>
      </w:r>
      <w:r w:rsidRPr="00BD4BF9">
        <w:t>blocking</w:t>
      </w:r>
      <w:r w:rsidRPr="00BD4BF9">
        <w:rPr>
          <w:spacing w:val="-10"/>
        </w:rPr>
        <w:t xml:space="preserve"> </w:t>
      </w:r>
      <w:r w:rsidRPr="00BD4BF9">
        <w:t>and</w:t>
      </w:r>
      <w:r w:rsidRPr="00BD4BF9">
        <w:rPr>
          <w:spacing w:val="-10"/>
        </w:rPr>
        <w:t xml:space="preserve"> </w:t>
      </w:r>
      <w:r w:rsidRPr="00BD4BF9">
        <w:t>low</w:t>
      </w:r>
      <w:r w:rsidRPr="00BD4BF9">
        <w:rPr>
          <w:spacing w:val="-10"/>
        </w:rPr>
        <w:t xml:space="preserve"> </w:t>
      </w:r>
      <w:r w:rsidRPr="00BD4BF9">
        <w:t>throughput</w:t>
      </w:r>
      <w:r w:rsidRPr="00BD4BF9">
        <w:rPr>
          <w:spacing w:val="-10"/>
        </w:rPr>
        <w:t xml:space="preserve"> </w:t>
      </w:r>
      <w:r w:rsidRPr="00BD4BF9">
        <w:t>experiments, then model their behavior.</w:t>
      </w:r>
    </w:p>
    <w:p w14:paraId="2A1E5E41" w14:textId="77777777" w:rsidR="00D04C83" w:rsidRPr="008671BA" w:rsidRDefault="00D04C83">
      <w:pPr>
        <w:rPr>
          <w:rFonts w:ascii="Arial" w:hAnsi="Arial" w:cs="Arial"/>
          <w:sz w:val="22"/>
          <w:szCs w:val="22"/>
        </w:rPr>
      </w:pPr>
    </w:p>
    <w:p w14:paraId="546B7F3B" w14:textId="7AA52869" w:rsidR="00A30AA8"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lastRenderedPageBreak/>
        <w:fldChar w:fldCharType="begin" w:fldLock="1"/>
      </w:r>
      <w:r w:rsidR="00A30AA8">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A30AA8">
        <w:rPr>
          <w:rFonts w:ascii="Arial" w:hAnsi="Arial" w:cs="Arial"/>
          <w:bCs/>
          <w:noProof/>
          <w:sz w:val="22"/>
          <w:szCs w:val="22"/>
        </w:rPr>
        <w:t>1.</w:t>
      </w:r>
      <w:r w:rsidR="00A30AA8">
        <w:rPr>
          <w:rFonts w:ascii="Arial" w:hAnsi="Arial" w:cs="Arial"/>
          <w:bCs/>
          <w:noProof/>
          <w:sz w:val="22"/>
          <w:szCs w:val="22"/>
        </w:rPr>
        <w:tab/>
        <w:t xml:space="preserve">Wang, E. T. </w:t>
      </w:r>
      <w:r w:rsidR="00A30AA8" w:rsidRPr="00A30AA8">
        <w:rPr>
          <w:rFonts w:ascii="Arial" w:hAnsi="Arial" w:cs="Arial"/>
          <w:bCs/>
          <w:i/>
          <w:noProof/>
          <w:sz w:val="22"/>
          <w:szCs w:val="22"/>
        </w:rPr>
        <w:t>et al.</w:t>
      </w:r>
      <w:r w:rsidR="00A30AA8">
        <w:rPr>
          <w:rFonts w:ascii="Arial" w:hAnsi="Arial" w:cs="Arial"/>
          <w:bCs/>
          <w:noProof/>
          <w:sz w:val="22"/>
          <w:szCs w:val="22"/>
        </w:rPr>
        <w:t xml:space="preserve"> Alternative isoform regulation in human tissue transcriptomes. </w:t>
      </w:r>
      <w:r w:rsidR="00A30AA8" w:rsidRPr="00A30AA8">
        <w:rPr>
          <w:rFonts w:ascii="Arial" w:hAnsi="Arial" w:cs="Arial"/>
          <w:bCs/>
          <w:i/>
          <w:noProof/>
          <w:sz w:val="22"/>
          <w:szCs w:val="22"/>
        </w:rPr>
        <w:t>Nature</w:t>
      </w:r>
      <w:r w:rsidR="00A30AA8">
        <w:rPr>
          <w:rFonts w:ascii="Arial" w:hAnsi="Arial" w:cs="Arial"/>
          <w:bCs/>
          <w:noProof/>
          <w:sz w:val="22"/>
          <w:szCs w:val="22"/>
        </w:rPr>
        <w:t xml:space="preserve"> </w:t>
      </w:r>
      <w:r w:rsidR="00A30AA8" w:rsidRPr="00A30AA8">
        <w:rPr>
          <w:rFonts w:ascii="Arial" w:hAnsi="Arial" w:cs="Arial"/>
          <w:b/>
          <w:bCs/>
          <w:noProof/>
          <w:sz w:val="22"/>
          <w:szCs w:val="22"/>
        </w:rPr>
        <w:t>456</w:t>
      </w:r>
      <w:r w:rsidR="00A30AA8">
        <w:rPr>
          <w:rFonts w:ascii="Arial" w:hAnsi="Arial" w:cs="Arial"/>
          <w:bCs/>
          <w:noProof/>
          <w:sz w:val="22"/>
          <w:szCs w:val="22"/>
        </w:rPr>
        <w:t>, 470–476 (2008).</w:t>
      </w:r>
    </w:p>
    <w:p w14:paraId="141448D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19–32 (2015).</w:t>
      </w:r>
    </w:p>
    <w:p w14:paraId="3558DF8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A30AA8">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A30AA8">
        <w:rPr>
          <w:rFonts w:ascii="Arial" w:hAnsi="Arial" w:cs="Arial"/>
          <w:bCs/>
          <w:i/>
          <w:noProof/>
          <w:sz w:val="22"/>
          <w:szCs w:val="22"/>
        </w:rPr>
        <w:t>Trends Pharmacol. Sci.</w:t>
      </w:r>
      <w:r>
        <w:rPr>
          <w:rFonts w:ascii="Arial" w:hAnsi="Arial" w:cs="Arial"/>
          <w:bCs/>
          <w:noProof/>
          <w:sz w:val="22"/>
          <w:szCs w:val="22"/>
        </w:rPr>
        <w:t xml:space="preserve"> </w:t>
      </w:r>
      <w:r w:rsidRPr="00A30AA8">
        <w:rPr>
          <w:rFonts w:ascii="Arial" w:hAnsi="Arial" w:cs="Arial"/>
          <w:b/>
          <w:bCs/>
          <w:noProof/>
          <w:sz w:val="22"/>
          <w:szCs w:val="22"/>
        </w:rPr>
        <w:t>43</w:t>
      </w:r>
      <w:r>
        <w:rPr>
          <w:rFonts w:ascii="Arial" w:hAnsi="Arial" w:cs="Arial"/>
          <w:bCs/>
          <w:noProof/>
          <w:sz w:val="22"/>
          <w:szCs w:val="22"/>
        </w:rPr>
        <w:t>, 437–454 (2022).</w:t>
      </w:r>
    </w:p>
    <w:p w14:paraId="22E1D5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A30AA8">
        <w:rPr>
          <w:rFonts w:ascii="Arial" w:hAnsi="Arial" w:cs="Arial"/>
          <w:bCs/>
          <w:i/>
          <w:noProof/>
          <w:sz w:val="22"/>
          <w:szCs w:val="22"/>
        </w:rPr>
        <w:t>Wiley Interdiscip. Rev. RNA</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e1468 (2018).</w:t>
      </w:r>
    </w:p>
    <w:p w14:paraId="5E21690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A30AA8">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A30AA8">
        <w:rPr>
          <w:rFonts w:ascii="Arial" w:hAnsi="Arial" w:cs="Arial"/>
          <w:bCs/>
          <w:i/>
          <w:noProof/>
          <w:sz w:val="22"/>
          <w:szCs w:val="22"/>
        </w:rPr>
        <w:t>Mol. Syst. Biol.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959 (2017).</w:t>
      </w:r>
    </w:p>
    <w:p w14:paraId="0BA2597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A30AA8">
        <w:rPr>
          <w:rFonts w:ascii="Arial" w:hAnsi="Arial" w:cs="Arial"/>
          <w:bCs/>
          <w:i/>
          <w:noProof/>
          <w:sz w:val="22"/>
          <w:szCs w:val="22"/>
        </w:rPr>
        <w:t>J. Biol. Chem.</w:t>
      </w:r>
      <w:r>
        <w:rPr>
          <w:rFonts w:ascii="Arial" w:hAnsi="Arial" w:cs="Arial"/>
          <w:bCs/>
          <w:noProof/>
          <w:sz w:val="22"/>
          <w:szCs w:val="22"/>
        </w:rPr>
        <w:t xml:space="preserve"> </w:t>
      </w:r>
      <w:r w:rsidRPr="00A30AA8">
        <w:rPr>
          <w:rFonts w:ascii="Arial" w:hAnsi="Arial" w:cs="Arial"/>
          <w:b/>
          <w:bCs/>
          <w:noProof/>
          <w:sz w:val="22"/>
          <w:szCs w:val="22"/>
        </w:rPr>
        <w:t>261</w:t>
      </w:r>
      <w:r>
        <w:rPr>
          <w:rFonts w:ascii="Arial" w:hAnsi="Arial" w:cs="Arial"/>
          <w:bCs/>
          <w:noProof/>
          <w:sz w:val="22"/>
          <w:szCs w:val="22"/>
        </w:rPr>
        <w:t>, 13807–13812 (1986).</w:t>
      </w:r>
    </w:p>
    <w:p w14:paraId="11749EE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A30AA8">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A30AA8">
        <w:rPr>
          <w:rFonts w:ascii="Arial" w:hAnsi="Arial" w:cs="Arial"/>
          <w:bCs/>
          <w:i/>
          <w:noProof/>
          <w:sz w:val="22"/>
          <w:szCs w:val="22"/>
        </w:rPr>
        <w:t>Sci. Rep.</w:t>
      </w:r>
      <w:r>
        <w:rPr>
          <w:rFonts w:ascii="Arial" w:hAnsi="Arial" w:cs="Arial"/>
          <w:bCs/>
          <w:noProof/>
          <w:sz w:val="22"/>
          <w:szCs w:val="22"/>
        </w:rPr>
        <w:t xml:space="preserve"> </w:t>
      </w:r>
      <w:r w:rsidRPr="00A30AA8">
        <w:rPr>
          <w:rFonts w:ascii="Arial" w:hAnsi="Arial" w:cs="Arial"/>
          <w:b/>
          <w:bCs/>
          <w:noProof/>
          <w:sz w:val="22"/>
          <w:szCs w:val="22"/>
        </w:rPr>
        <w:t>5</w:t>
      </w:r>
      <w:r>
        <w:rPr>
          <w:rFonts w:ascii="Arial" w:hAnsi="Arial" w:cs="Arial"/>
          <w:bCs/>
          <w:noProof/>
          <w:sz w:val="22"/>
          <w:szCs w:val="22"/>
        </w:rPr>
        <w:t>, 1–8 (2015).</w:t>
      </w:r>
    </w:p>
    <w:p w14:paraId="54CDCDB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A30AA8">
        <w:rPr>
          <w:rFonts w:ascii="Arial" w:hAnsi="Arial" w:cs="Arial"/>
          <w:bCs/>
          <w:i/>
          <w:noProof/>
          <w:sz w:val="22"/>
          <w:szCs w:val="22"/>
        </w:rPr>
        <w:t>Semin. Cancer Biol.</w:t>
      </w:r>
      <w:r>
        <w:rPr>
          <w:rFonts w:ascii="Arial" w:hAnsi="Arial" w:cs="Arial"/>
          <w:bCs/>
          <w:noProof/>
          <w:sz w:val="22"/>
          <w:szCs w:val="22"/>
        </w:rPr>
        <w:t xml:space="preserve"> </w:t>
      </w:r>
      <w:r w:rsidRPr="00A30AA8">
        <w:rPr>
          <w:rFonts w:ascii="Arial" w:hAnsi="Arial" w:cs="Arial"/>
          <w:b/>
          <w:bCs/>
          <w:noProof/>
          <w:sz w:val="22"/>
          <w:szCs w:val="22"/>
        </w:rPr>
        <w:t>15</w:t>
      </w:r>
      <w:r>
        <w:rPr>
          <w:rFonts w:ascii="Arial" w:hAnsi="Arial" w:cs="Arial"/>
          <w:bCs/>
          <w:noProof/>
          <w:sz w:val="22"/>
          <w:szCs w:val="22"/>
        </w:rPr>
        <w:t>, 300–308 (2005).</w:t>
      </w:r>
    </w:p>
    <w:p w14:paraId="541FF20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A30AA8">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452</w:t>
      </w:r>
      <w:r>
        <w:rPr>
          <w:rFonts w:ascii="Arial" w:hAnsi="Arial" w:cs="Arial"/>
          <w:bCs/>
          <w:noProof/>
          <w:sz w:val="22"/>
          <w:szCs w:val="22"/>
        </w:rPr>
        <w:t>, 230–233 (2008).</w:t>
      </w:r>
    </w:p>
    <w:p w14:paraId="6039213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A30AA8">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A30AA8">
        <w:rPr>
          <w:rFonts w:ascii="Arial" w:hAnsi="Arial" w:cs="Arial"/>
          <w:bCs/>
          <w:i/>
          <w:noProof/>
          <w:sz w:val="22"/>
          <w:szCs w:val="22"/>
        </w:rPr>
        <w:t>Proceedings of the National Academy of Sciences</w:t>
      </w:r>
      <w:r>
        <w:rPr>
          <w:rFonts w:ascii="Arial" w:hAnsi="Arial" w:cs="Arial"/>
          <w:bCs/>
          <w:noProof/>
          <w:sz w:val="22"/>
          <w:szCs w:val="22"/>
        </w:rPr>
        <w:t xml:space="preserve"> </w:t>
      </w:r>
      <w:r w:rsidRPr="00A30AA8">
        <w:rPr>
          <w:rFonts w:ascii="Arial" w:hAnsi="Arial" w:cs="Arial"/>
          <w:b/>
          <w:bCs/>
          <w:noProof/>
          <w:sz w:val="22"/>
          <w:szCs w:val="22"/>
        </w:rPr>
        <w:t>107</w:t>
      </w:r>
      <w:r>
        <w:rPr>
          <w:rFonts w:ascii="Arial" w:hAnsi="Arial" w:cs="Arial"/>
          <w:bCs/>
          <w:noProof/>
          <w:sz w:val="22"/>
          <w:szCs w:val="22"/>
        </w:rPr>
        <w:t>, 1894–1899 (2010).</w:t>
      </w:r>
    </w:p>
    <w:p w14:paraId="0140FCE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A30AA8">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A30AA8">
        <w:rPr>
          <w:rFonts w:ascii="Arial" w:hAnsi="Arial" w:cs="Arial"/>
          <w:bCs/>
          <w:i/>
          <w:noProof/>
          <w:sz w:val="22"/>
          <w:szCs w:val="22"/>
        </w:rPr>
        <w:t>Structure</w:t>
      </w:r>
      <w:r>
        <w:rPr>
          <w:rFonts w:ascii="Arial" w:hAnsi="Arial" w:cs="Arial"/>
          <w:bCs/>
          <w:noProof/>
          <w:sz w:val="22"/>
          <w:szCs w:val="22"/>
        </w:rPr>
        <w:t xml:space="preserve"> </w:t>
      </w:r>
      <w:r w:rsidRPr="00A30AA8">
        <w:rPr>
          <w:rFonts w:ascii="Arial" w:hAnsi="Arial" w:cs="Arial"/>
          <w:b/>
          <w:bCs/>
          <w:noProof/>
          <w:sz w:val="22"/>
          <w:szCs w:val="22"/>
        </w:rPr>
        <w:t>6</w:t>
      </w:r>
      <w:r>
        <w:rPr>
          <w:rFonts w:ascii="Arial" w:hAnsi="Arial" w:cs="Arial"/>
          <w:bCs/>
          <w:noProof/>
          <w:sz w:val="22"/>
          <w:szCs w:val="22"/>
        </w:rPr>
        <w:t>, 195–210 (1998).</w:t>
      </w:r>
    </w:p>
    <w:p w14:paraId="05F803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45</w:t>
      </w:r>
      <w:r>
        <w:rPr>
          <w:rFonts w:ascii="Arial" w:hAnsi="Arial" w:cs="Arial"/>
          <w:bCs/>
          <w:noProof/>
          <w:sz w:val="22"/>
          <w:szCs w:val="22"/>
        </w:rPr>
        <w:t>, 598–609 (2012).</w:t>
      </w:r>
    </w:p>
    <w:p w14:paraId="601FA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13.</w:t>
      </w:r>
      <w:r>
        <w:rPr>
          <w:rFonts w:ascii="Arial" w:hAnsi="Arial" w:cs="Arial"/>
          <w:bCs/>
          <w:noProof/>
          <w:sz w:val="22"/>
          <w:szCs w:val="22"/>
        </w:rPr>
        <w:tab/>
        <w:t xml:space="preserve">Luo, W. </w:t>
      </w:r>
      <w:r w:rsidRPr="00A30AA8">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145</w:t>
      </w:r>
      <w:r>
        <w:rPr>
          <w:rFonts w:ascii="Arial" w:hAnsi="Arial" w:cs="Arial"/>
          <w:bCs/>
          <w:noProof/>
          <w:sz w:val="22"/>
          <w:szCs w:val="22"/>
        </w:rPr>
        <w:t>, 732–744 (2011).</w:t>
      </w:r>
    </w:p>
    <w:p w14:paraId="12F63B8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A30AA8">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480</w:t>
      </w:r>
      <w:r>
        <w:rPr>
          <w:rFonts w:ascii="Arial" w:hAnsi="Arial" w:cs="Arial"/>
          <w:bCs/>
          <w:noProof/>
          <w:sz w:val="22"/>
          <w:szCs w:val="22"/>
        </w:rPr>
        <w:t>, 118–122 (2011).</w:t>
      </w:r>
    </w:p>
    <w:p w14:paraId="2621419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A30AA8">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A30AA8">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C34132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A30AA8">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A30AA8">
        <w:rPr>
          <w:rFonts w:ascii="Arial" w:hAnsi="Arial" w:cs="Arial"/>
          <w:bCs/>
          <w:i/>
          <w:noProof/>
          <w:sz w:val="22"/>
          <w:szCs w:val="22"/>
        </w:rPr>
        <w:t>Cell Metab.</w:t>
      </w:r>
      <w:r>
        <w:rPr>
          <w:rFonts w:ascii="Arial" w:hAnsi="Arial" w:cs="Arial"/>
          <w:bCs/>
          <w:noProof/>
          <w:sz w:val="22"/>
          <w:szCs w:val="22"/>
        </w:rPr>
        <w:t xml:space="preserve"> </w:t>
      </w:r>
      <w:r w:rsidRPr="00A30AA8">
        <w:rPr>
          <w:rFonts w:ascii="Arial" w:hAnsi="Arial" w:cs="Arial"/>
          <w:b/>
          <w:bCs/>
          <w:noProof/>
          <w:sz w:val="22"/>
          <w:szCs w:val="22"/>
        </w:rPr>
        <w:t>34</w:t>
      </w:r>
      <w:r>
        <w:rPr>
          <w:rFonts w:ascii="Arial" w:hAnsi="Arial" w:cs="Arial"/>
          <w:bCs/>
          <w:noProof/>
          <w:sz w:val="22"/>
          <w:szCs w:val="22"/>
        </w:rPr>
        <w:t>, 1248-1263.e6 (2022).</w:t>
      </w:r>
    </w:p>
    <w:p w14:paraId="0DC2D5A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A30AA8">
        <w:rPr>
          <w:rFonts w:ascii="Arial" w:hAnsi="Arial" w:cs="Arial"/>
          <w:bCs/>
          <w:i/>
          <w:noProof/>
          <w:sz w:val="22"/>
          <w:szCs w:val="22"/>
        </w:rPr>
        <w:t>Front. Immunol.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936967 (2022).</w:t>
      </w:r>
    </w:p>
    <w:p w14:paraId="3A21863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A30AA8">
        <w:rPr>
          <w:rFonts w:ascii="Arial" w:hAnsi="Arial" w:cs="Arial"/>
          <w:bCs/>
          <w:i/>
          <w:noProof/>
          <w:sz w:val="22"/>
          <w:szCs w:val="22"/>
        </w:rPr>
        <w:t>Br. Med. J.</w:t>
      </w:r>
      <w:r>
        <w:rPr>
          <w:rFonts w:ascii="Arial" w:hAnsi="Arial" w:cs="Arial"/>
          <w:bCs/>
          <w:noProof/>
          <w:sz w:val="22"/>
          <w:szCs w:val="22"/>
        </w:rPr>
        <w:t xml:space="preserve"> </w:t>
      </w:r>
      <w:r w:rsidRPr="00A30AA8">
        <w:rPr>
          <w:rFonts w:ascii="Arial" w:hAnsi="Arial" w:cs="Arial"/>
          <w:b/>
          <w:bCs/>
          <w:noProof/>
          <w:sz w:val="22"/>
          <w:szCs w:val="22"/>
        </w:rPr>
        <w:t>1</w:t>
      </w:r>
      <w:r>
        <w:rPr>
          <w:rFonts w:ascii="Arial" w:hAnsi="Arial" w:cs="Arial"/>
          <w:bCs/>
          <w:noProof/>
          <w:sz w:val="22"/>
          <w:szCs w:val="22"/>
        </w:rPr>
        <w:t>, 742–745 (1976).</w:t>
      </w:r>
    </w:p>
    <w:p w14:paraId="5B193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A30AA8">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A30AA8">
        <w:rPr>
          <w:rFonts w:ascii="Arial" w:hAnsi="Arial" w:cs="Arial"/>
          <w:bCs/>
          <w:i/>
          <w:noProof/>
          <w:sz w:val="22"/>
          <w:szCs w:val="22"/>
        </w:rPr>
        <w:t>Dig. Dis. Sci.</w:t>
      </w:r>
      <w:r>
        <w:rPr>
          <w:rFonts w:ascii="Arial" w:hAnsi="Arial" w:cs="Arial"/>
          <w:bCs/>
          <w:noProof/>
          <w:sz w:val="22"/>
          <w:szCs w:val="22"/>
        </w:rPr>
        <w:t xml:space="preserve"> </w:t>
      </w:r>
      <w:r w:rsidRPr="00A30AA8">
        <w:rPr>
          <w:rFonts w:ascii="Arial" w:hAnsi="Arial" w:cs="Arial"/>
          <w:b/>
          <w:bCs/>
          <w:noProof/>
          <w:sz w:val="22"/>
          <w:szCs w:val="22"/>
        </w:rPr>
        <w:t>60</w:t>
      </w:r>
      <w:r>
        <w:rPr>
          <w:rFonts w:ascii="Arial" w:hAnsi="Arial" w:cs="Arial"/>
          <w:bCs/>
          <w:noProof/>
          <w:sz w:val="22"/>
          <w:szCs w:val="22"/>
        </w:rPr>
        <w:t>, 393–404 (2015).</w:t>
      </w:r>
    </w:p>
    <w:p w14:paraId="2864F01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A30AA8">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E4DF03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463</w:t>
      </w:r>
      <w:r>
        <w:rPr>
          <w:rFonts w:ascii="Arial" w:hAnsi="Arial" w:cs="Arial"/>
          <w:bCs/>
          <w:noProof/>
          <w:sz w:val="22"/>
          <w:szCs w:val="22"/>
        </w:rPr>
        <w:t>, 364–368 (2010).</w:t>
      </w:r>
    </w:p>
    <w:p w14:paraId="35EEE4D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A30AA8">
        <w:rPr>
          <w:rFonts w:ascii="Arial" w:hAnsi="Arial" w:cs="Arial"/>
          <w:bCs/>
          <w:i/>
          <w:noProof/>
          <w:sz w:val="22"/>
          <w:szCs w:val="22"/>
        </w:rPr>
        <w:t>Open Biol.</w:t>
      </w:r>
      <w:r>
        <w:rPr>
          <w:rFonts w:ascii="Arial" w:hAnsi="Arial" w:cs="Arial"/>
          <w:bCs/>
          <w:noProof/>
          <w:sz w:val="22"/>
          <w:szCs w:val="22"/>
        </w:rPr>
        <w:t xml:space="preserve"> </w:t>
      </w:r>
      <w:r w:rsidRPr="00A30AA8">
        <w:rPr>
          <w:rFonts w:ascii="Arial" w:hAnsi="Arial" w:cs="Arial"/>
          <w:b/>
          <w:bCs/>
          <w:noProof/>
          <w:sz w:val="22"/>
          <w:szCs w:val="22"/>
        </w:rPr>
        <w:t>2</w:t>
      </w:r>
      <w:r>
        <w:rPr>
          <w:rFonts w:ascii="Arial" w:hAnsi="Arial" w:cs="Arial"/>
          <w:bCs/>
          <w:noProof/>
          <w:sz w:val="22"/>
          <w:szCs w:val="22"/>
        </w:rPr>
        <w:t>, 120133 (2012).</w:t>
      </w:r>
    </w:p>
    <w:p w14:paraId="2C18D37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A30AA8">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A30AA8">
        <w:rPr>
          <w:rFonts w:ascii="Arial" w:hAnsi="Arial" w:cs="Arial"/>
          <w:bCs/>
          <w:i/>
          <w:noProof/>
          <w:sz w:val="22"/>
          <w:szCs w:val="22"/>
        </w:rPr>
        <w:t>Journal of molecular</w:t>
      </w:r>
      <w:r>
        <w:rPr>
          <w:rFonts w:ascii="Arial" w:hAnsi="Arial" w:cs="Arial"/>
          <w:bCs/>
          <w:noProof/>
          <w:sz w:val="22"/>
          <w:szCs w:val="22"/>
        </w:rPr>
        <w:t xml:space="preserve"> (2012).</w:t>
      </w:r>
    </w:p>
    <w:p w14:paraId="05908FB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24.</w:t>
      </w:r>
      <w:r>
        <w:rPr>
          <w:rFonts w:ascii="Arial" w:hAnsi="Arial" w:cs="Arial"/>
          <w:bCs/>
          <w:noProof/>
          <w:sz w:val="22"/>
          <w:szCs w:val="22"/>
        </w:rPr>
        <w:tab/>
        <w:t xml:space="preserve">Ke, S. </w:t>
      </w:r>
      <w:r w:rsidRPr="00A30AA8">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A30AA8">
        <w:rPr>
          <w:rFonts w:ascii="Arial" w:hAnsi="Arial" w:cs="Arial"/>
          <w:bCs/>
          <w:i/>
          <w:noProof/>
          <w:sz w:val="22"/>
          <w:szCs w:val="22"/>
        </w:rPr>
        <w:t>Genome Res.</w:t>
      </w:r>
      <w:r>
        <w:rPr>
          <w:rFonts w:ascii="Arial" w:hAnsi="Arial" w:cs="Arial"/>
          <w:bCs/>
          <w:noProof/>
          <w:sz w:val="22"/>
          <w:szCs w:val="22"/>
        </w:rPr>
        <w:t xml:space="preserve"> </w:t>
      </w:r>
      <w:r w:rsidRPr="00A30AA8">
        <w:rPr>
          <w:rFonts w:ascii="Arial" w:hAnsi="Arial" w:cs="Arial"/>
          <w:b/>
          <w:bCs/>
          <w:noProof/>
          <w:sz w:val="22"/>
          <w:szCs w:val="22"/>
        </w:rPr>
        <w:t>28</w:t>
      </w:r>
      <w:r>
        <w:rPr>
          <w:rFonts w:ascii="Arial" w:hAnsi="Arial" w:cs="Arial"/>
          <w:bCs/>
          <w:noProof/>
          <w:sz w:val="22"/>
          <w:szCs w:val="22"/>
        </w:rPr>
        <w:t>, 11–24 (2018).</w:t>
      </w:r>
    </w:p>
    <w:p w14:paraId="5763D73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7</w:t>
      </w:r>
      <w:r>
        <w:rPr>
          <w:rFonts w:ascii="Arial" w:hAnsi="Arial" w:cs="Arial"/>
          <w:bCs/>
          <w:noProof/>
          <w:sz w:val="22"/>
          <w:szCs w:val="22"/>
        </w:rPr>
        <w:t>, 1–8 (2016).</w:t>
      </w:r>
    </w:p>
    <w:p w14:paraId="5B4EB0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19</w:t>
      </w:r>
      <w:r>
        <w:rPr>
          <w:rFonts w:ascii="Arial" w:hAnsi="Arial" w:cs="Arial"/>
          <w:bCs/>
          <w:noProof/>
          <w:sz w:val="22"/>
          <w:szCs w:val="22"/>
        </w:rPr>
        <w:t>, 71 (2018).</w:t>
      </w:r>
    </w:p>
    <w:p w14:paraId="11179CC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A30AA8">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A30AA8">
        <w:rPr>
          <w:rFonts w:ascii="Arial" w:hAnsi="Arial" w:cs="Arial"/>
          <w:bCs/>
          <w:i/>
          <w:noProof/>
          <w:sz w:val="22"/>
          <w:szCs w:val="22"/>
        </w:rPr>
        <w:t>Nat. Genet.</w:t>
      </w:r>
      <w:r>
        <w:rPr>
          <w:rFonts w:ascii="Arial" w:hAnsi="Arial" w:cs="Arial"/>
          <w:bCs/>
          <w:noProof/>
          <w:sz w:val="22"/>
          <w:szCs w:val="22"/>
        </w:rPr>
        <w:t xml:space="preserve"> </w:t>
      </w:r>
      <w:r w:rsidRPr="00A30AA8">
        <w:rPr>
          <w:rFonts w:ascii="Arial" w:hAnsi="Arial" w:cs="Arial"/>
          <w:b/>
          <w:bCs/>
          <w:noProof/>
          <w:sz w:val="22"/>
          <w:szCs w:val="22"/>
        </w:rPr>
        <w:t>49</w:t>
      </w:r>
      <w:r>
        <w:rPr>
          <w:rFonts w:ascii="Arial" w:hAnsi="Arial" w:cs="Arial"/>
          <w:bCs/>
          <w:noProof/>
          <w:sz w:val="22"/>
          <w:szCs w:val="22"/>
        </w:rPr>
        <w:t>, 848–855 (2017).</w:t>
      </w:r>
    </w:p>
    <w:p w14:paraId="0FBB406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A30AA8">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1–17 (2022).</w:t>
      </w:r>
    </w:p>
    <w:p w14:paraId="2B72AC6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A30AA8">
        <w:rPr>
          <w:rFonts w:ascii="Arial" w:hAnsi="Arial" w:cs="Arial"/>
          <w:bCs/>
          <w:i/>
          <w:noProof/>
          <w:sz w:val="22"/>
          <w:szCs w:val="22"/>
        </w:rPr>
        <w:t>PLoS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e1009805 (2021).</w:t>
      </w:r>
    </w:p>
    <w:p w14:paraId="5439F01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10</w:t>
      </w:r>
      <w:r>
        <w:rPr>
          <w:rFonts w:ascii="Arial" w:hAnsi="Arial" w:cs="Arial"/>
          <w:bCs/>
          <w:noProof/>
          <w:sz w:val="22"/>
          <w:szCs w:val="22"/>
        </w:rPr>
        <w:t>, 1–14 (2019).</w:t>
      </w:r>
    </w:p>
    <w:p w14:paraId="56BE10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A30AA8">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1–18 (2018).</w:t>
      </w:r>
    </w:p>
    <w:p w14:paraId="762954D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A30AA8">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A30AA8">
        <w:rPr>
          <w:rFonts w:ascii="Arial" w:hAnsi="Arial" w:cs="Arial"/>
          <w:bCs/>
          <w:i/>
          <w:noProof/>
          <w:sz w:val="22"/>
          <w:szCs w:val="22"/>
        </w:rPr>
        <w:t>RNA Biol.</w:t>
      </w:r>
      <w:r>
        <w:rPr>
          <w:rFonts w:ascii="Arial" w:hAnsi="Arial" w:cs="Arial"/>
          <w:bCs/>
          <w:noProof/>
          <w:sz w:val="22"/>
          <w:szCs w:val="22"/>
        </w:rPr>
        <w:t xml:space="preserve"> </w:t>
      </w:r>
      <w:r w:rsidRPr="00A30AA8">
        <w:rPr>
          <w:rFonts w:ascii="Arial" w:hAnsi="Arial" w:cs="Arial"/>
          <w:b/>
          <w:bCs/>
          <w:noProof/>
          <w:sz w:val="22"/>
          <w:szCs w:val="22"/>
        </w:rPr>
        <w:t>16</w:t>
      </w:r>
      <w:r>
        <w:rPr>
          <w:rFonts w:ascii="Arial" w:hAnsi="Arial" w:cs="Arial"/>
          <w:bCs/>
          <w:noProof/>
          <w:sz w:val="22"/>
          <w:szCs w:val="22"/>
        </w:rPr>
        <w:t>, 1364–1376 (2019).</w:t>
      </w:r>
    </w:p>
    <w:p w14:paraId="4C6EBD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A30AA8">
        <w:rPr>
          <w:rFonts w:ascii="Arial" w:hAnsi="Arial" w:cs="Arial"/>
          <w:bCs/>
          <w:i/>
          <w:noProof/>
          <w:sz w:val="22"/>
          <w:szCs w:val="22"/>
        </w:rPr>
        <w:t>Elife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22F258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A30AA8">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73</w:t>
      </w:r>
      <w:r>
        <w:rPr>
          <w:rFonts w:ascii="Arial" w:hAnsi="Arial" w:cs="Arial"/>
          <w:bCs/>
          <w:noProof/>
          <w:sz w:val="22"/>
          <w:szCs w:val="22"/>
        </w:rPr>
        <w:t>, 183-194.e8 (2019).</w:t>
      </w:r>
    </w:p>
    <w:p w14:paraId="716AAFE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176</w:t>
      </w:r>
      <w:r>
        <w:rPr>
          <w:rFonts w:ascii="Arial" w:hAnsi="Arial" w:cs="Arial"/>
          <w:bCs/>
          <w:noProof/>
          <w:sz w:val="22"/>
          <w:szCs w:val="22"/>
        </w:rPr>
        <w:t>, 549-563.e23 (2019).</w:t>
      </w:r>
    </w:p>
    <w:p w14:paraId="7784099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163</w:t>
      </w:r>
      <w:r>
        <w:rPr>
          <w:rFonts w:ascii="Arial" w:hAnsi="Arial" w:cs="Arial"/>
          <w:bCs/>
          <w:noProof/>
          <w:sz w:val="22"/>
          <w:szCs w:val="22"/>
        </w:rPr>
        <w:t>, 698–711 (2015).</w:t>
      </w:r>
    </w:p>
    <w:p w14:paraId="2844DAA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71</w:t>
      </w:r>
      <w:r>
        <w:rPr>
          <w:rFonts w:ascii="Arial" w:hAnsi="Arial" w:cs="Arial"/>
          <w:bCs/>
          <w:noProof/>
          <w:sz w:val="22"/>
          <w:szCs w:val="22"/>
        </w:rPr>
        <w:t>, 1012-1026.e3 (2018).</w:t>
      </w:r>
    </w:p>
    <w:p w14:paraId="7558259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A30AA8">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A30AA8">
        <w:rPr>
          <w:rFonts w:ascii="Arial" w:hAnsi="Arial" w:cs="Arial"/>
          <w:bCs/>
          <w:i/>
          <w:noProof/>
          <w:sz w:val="22"/>
          <w:szCs w:val="22"/>
        </w:rPr>
        <w:t>Nat. Biotechnol.</w:t>
      </w:r>
      <w:r>
        <w:rPr>
          <w:rFonts w:ascii="Arial" w:hAnsi="Arial" w:cs="Arial"/>
          <w:bCs/>
          <w:noProof/>
          <w:sz w:val="22"/>
          <w:szCs w:val="22"/>
        </w:rPr>
        <w:t xml:space="preserve"> </w:t>
      </w:r>
      <w:r w:rsidRPr="00A30AA8">
        <w:rPr>
          <w:rFonts w:ascii="Arial" w:hAnsi="Arial" w:cs="Arial"/>
          <w:b/>
          <w:bCs/>
          <w:noProof/>
          <w:sz w:val="22"/>
          <w:szCs w:val="22"/>
        </w:rPr>
        <w:t>40</w:t>
      </w:r>
      <w:r>
        <w:rPr>
          <w:rFonts w:ascii="Arial" w:hAnsi="Arial" w:cs="Arial"/>
          <w:bCs/>
          <w:noProof/>
          <w:sz w:val="22"/>
          <w:szCs w:val="22"/>
        </w:rPr>
        <w:t>, 1103–1113 (2022).</w:t>
      </w:r>
    </w:p>
    <w:p w14:paraId="096B177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A30AA8">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A30AA8">
        <w:rPr>
          <w:rFonts w:ascii="Arial" w:hAnsi="Arial" w:cs="Arial"/>
          <w:bCs/>
          <w:i/>
          <w:noProof/>
          <w:sz w:val="22"/>
          <w:szCs w:val="22"/>
        </w:rPr>
        <w:t>BMC Res. Notes</w:t>
      </w:r>
      <w:r>
        <w:rPr>
          <w:rFonts w:ascii="Arial" w:hAnsi="Arial" w:cs="Arial"/>
          <w:bCs/>
          <w:noProof/>
          <w:sz w:val="22"/>
          <w:szCs w:val="22"/>
        </w:rPr>
        <w:t xml:space="preserve"> </w:t>
      </w:r>
      <w:r w:rsidRPr="00A30AA8">
        <w:rPr>
          <w:rFonts w:ascii="Arial" w:hAnsi="Arial" w:cs="Arial"/>
          <w:b/>
          <w:bCs/>
          <w:noProof/>
          <w:sz w:val="22"/>
          <w:szCs w:val="22"/>
        </w:rPr>
        <w:t>12</w:t>
      </w:r>
      <w:r>
        <w:rPr>
          <w:rFonts w:ascii="Arial" w:hAnsi="Arial" w:cs="Arial"/>
          <w:bCs/>
          <w:noProof/>
          <w:sz w:val="22"/>
          <w:szCs w:val="22"/>
        </w:rPr>
        <w:t>, 315 (2019).</w:t>
      </w:r>
    </w:p>
    <w:p w14:paraId="43FEE0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A30AA8">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A30AA8">
        <w:rPr>
          <w:rFonts w:ascii="Arial" w:hAnsi="Arial" w:cs="Arial"/>
          <w:bCs/>
          <w:i/>
          <w:noProof/>
          <w:sz w:val="22"/>
          <w:szCs w:val="22"/>
        </w:rPr>
        <w:t>Nat. Methods</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792–798 (2016).</w:t>
      </w:r>
    </w:p>
    <w:p w14:paraId="74847BF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Escalona, M., Rocha, S. &amp; Posada, D. A comparison of tools for the simulation of genomic next-generation sequencing data.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459–469 (2016).</w:t>
      </w:r>
    </w:p>
    <w:p w14:paraId="02495D5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Wick, R. Badread: simulation of error-prone long reads. </w:t>
      </w:r>
      <w:r w:rsidRPr="00A30AA8">
        <w:rPr>
          <w:rFonts w:ascii="Arial" w:hAnsi="Arial" w:cs="Arial"/>
          <w:bCs/>
          <w:i/>
          <w:noProof/>
          <w:sz w:val="22"/>
          <w:szCs w:val="22"/>
        </w:rPr>
        <w:t>J. Open Source Softw.</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1316 (2019).</w:t>
      </w:r>
    </w:p>
    <w:p w14:paraId="33804A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Hafezqorani, S. </w:t>
      </w:r>
      <w:r w:rsidRPr="00A30AA8">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A30AA8">
        <w:rPr>
          <w:rFonts w:ascii="Arial" w:hAnsi="Arial" w:cs="Arial"/>
          <w:bCs/>
          <w:i/>
          <w:noProof/>
          <w:sz w:val="22"/>
          <w:szCs w:val="22"/>
        </w:rPr>
        <w:t>Gigascience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77275C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Ono, Y., Hamada, M. &amp; Asai, K. PBSIM3: a simulator for all types of PacBio and ONT long reads. </w:t>
      </w:r>
      <w:r w:rsidRPr="00A30AA8">
        <w:rPr>
          <w:rFonts w:ascii="Arial" w:hAnsi="Arial" w:cs="Arial"/>
          <w:bCs/>
          <w:i/>
          <w:noProof/>
          <w:sz w:val="22"/>
          <w:szCs w:val="22"/>
        </w:rPr>
        <w:t>NAR Genom Bioinform</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lqac092 (2022).</w:t>
      </w:r>
    </w:p>
    <w:p w14:paraId="37A5E21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Lau, B. </w:t>
      </w:r>
      <w:r w:rsidRPr="00A30AA8">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A30AA8">
        <w:rPr>
          <w:rFonts w:ascii="Arial" w:hAnsi="Arial" w:cs="Arial"/>
          <w:bCs/>
          <w:i/>
          <w:noProof/>
          <w:sz w:val="22"/>
          <w:szCs w:val="22"/>
        </w:rPr>
        <w:t>Bioinformatics</w:t>
      </w:r>
      <w:r>
        <w:rPr>
          <w:rFonts w:ascii="Arial" w:hAnsi="Arial" w:cs="Arial"/>
          <w:bCs/>
          <w:noProof/>
          <w:sz w:val="22"/>
          <w:szCs w:val="22"/>
        </w:rPr>
        <w:t xml:space="preserve"> </w:t>
      </w:r>
      <w:r w:rsidRPr="00A30AA8">
        <w:rPr>
          <w:rFonts w:ascii="Arial" w:hAnsi="Arial" w:cs="Arial"/>
          <w:b/>
          <w:bCs/>
          <w:noProof/>
          <w:sz w:val="22"/>
          <w:szCs w:val="22"/>
        </w:rPr>
        <w:t>32</w:t>
      </w:r>
      <w:r>
        <w:rPr>
          <w:rFonts w:ascii="Arial" w:hAnsi="Arial" w:cs="Arial"/>
          <w:bCs/>
          <w:noProof/>
          <w:sz w:val="22"/>
          <w:szCs w:val="22"/>
        </w:rPr>
        <w:t>, 3829–3832 (2016).</w:t>
      </w:r>
    </w:p>
    <w:p w14:paraId="3793623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Zhang, W., Jia, B. &amp; Wei, C. PaSS: a sequencing simulator for PacBio sequencing. </w:t>
      </w:r>
      <w:r w:rsidRPr="00A30AA8">
        <w:rPr>
          <w:rFonts w:ascii="Arial" w:hAnsi="Arial" w:cs="Arial"/>
          <w:bCs/>
          <w:i/>
          <w:noProof/>
          <w:sz w:val="22"/>
          <w:szCs w:val="22"/>
        </w:rPr>
        <w:t>BMC Bioinformatics</w:t>
      </w:r>
      <w:r>
        <w:rPr>
          <w:rFonts w:ascii="Arial" w:hAnsi="Arial" w:cs="Arial"/>
          <w:bCs/>
          <w:noProof/>
          <w:sz w:val="22"/>
          <w:szCs w:val="22"/>
        </w:rPr>
        <w:t xml:space="preserve"> </w:t>
      </w:r>
      <w:r w:rsidRPr="00A30AA8">
        <w:rPr>
          <w:rFonts w:ascii="Arial" w:hAnsi="Arial" w:cs="Arial"/>
          <w:b/>
          <w:bCs/>
          <w:noProof/>
          <w:sz w:val="22"/>
          <w:szCs w:val="22"/>
        </w:rPr>
        <w:t>20</w:t>
      </w:r>
      <w:r>
        <w:rPr>
          <w:rFonts w:ascii="Arial" w:hAnsi="Arial" w:cs="Arial"/>
          <w:bCs/>
          <w:noProof/>
          <w:sz w:val="22"/>
          <w:szCs w:val="22"/>
        </w:rPr>
        <w:t>, 352 (2019).</w:t>
      </w:r>
    </w:p>
    <w:p w14:paraId="2850BD6A"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47.</w:t>
      </w:r>
      <w:r>
        <w:rPr>
          <w:rFonts w:ascii="Arial" w:hAnsi="Arial" w:cs="Arial"/>
          <w:bCs/>
          <w:noProof/>
          <w:sz w:val="22"/>
          <w:szCs w:val="22"/>
        </w:rPr>
        <w:tab/>
        <w:t xml:space="preserve">Schmeing, S. &amp; Robinson, M. D. ReSeq simulates realistic Illumina high-throughput sequencing data.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22</w:t>
      </w:r>
      <w:r>
        <w:rPr>
          <w:rFonts w:ascii="Arial" w:hAnsi="Arial" w:cs="Arial"/>
          <w:bCs/>
          <w:noProof/>
          <w:sz w:val="22"/>
          <w:szCs w:val="22"/>
        </w:rPr>
        <w:t>, 67 (2021).</w:t>
      </w:r>
    </w:p>
    <w:p w14:paraId="1D6258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Amarasinghe, S. L. </w:t>
      </w:r>
      <w:r w:rsidRPr="00A30AA8">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21</w:t>
      </w:r>
      <w:r>
        <w:rPr>
          <w:rFonts w:ascii="Arial" w:hAnsi="Arial" w:cs="Arial"/>
          <w:bCs/>
          <w:noProof/>
          <w:sz w:val="22"/>
          <w:szCs w:val="22"/>
        </w:rPr>
        <w:t>, 30 (2020).</w:t>
      </w:r>
    </w:p>
    <w:p w14:paraId="1C1C0747" w14:textId="60E419C8" w:rsidR="00CA0D47" w:rsidRPr="00EB5B39" w:rsidRDefault="00A30AA8"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Tareen, A. </w:t>
      </w:r>
      <w:r w:rsidRPr="00A30AA8">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42359"/>
    <w:rsid w:val="00146700"/>
    <w:rsid w:val="001A1677"/>
    <w:rsid w:val="00200566"/>
    <w:rsid w:val="00260826"/>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564853"/>
    <w:rsid w:val="00595A27"/>
    <w:rsid w:val="0060210C"/>
    <w:rsid w:val="0060261D"/>
    <w:rsid w:val="00614613"/>
    <w:rsid w:val="00622755"/>
    <w:rsid w:val="00624BAA"/>
    <w:rsid w:val="00641115"/>
    <w:rsid w:val="00677E2A"/>
    <w:rsid w:val="00706ECD"/>
    <w:rsid w:val="0078423E"/>
    <w:rsid w:val="00786D26"/>
    <w:rsid w:val="0079764C"/>
    <w:rsid w:val="007C0215"/>
    <w:rsid w:val="008241C1"/>
    <w:rsid w:val="008671BA"/>
    <w:rsid w:val="008C7AD9"/>
    <w:rsid w:val="008D1AA0"/>
    <w:rsid w:val="008E6DE3"/>
    <w:rsid w:val="00914DEF"/>
    <w:rsid w:val="00937364"/>
    <w:rsid w:val="00976121"/>
    <w:rsid w:val="009F0B68"/>
    <w:rsid w:val="00A121C1"/>
    <w:rsid w:val="00A30AA8"/>
    <w:rsid w:val="00A453A8"/>
    <w:rsid w:val="00A50B68"/>
    <w:rsid w:val="00A51174"/>
    <w:rsid w:val="00A513C1"/>
    <w:rsid w:val="00A638F8"/>
    <w:rsid w:val="00AA5E16"/>
    <w:rsid w:val="00B01AFE"/>
    <w:rsid w:val="00B106B7"/>
    <w:rsid w:val="00B11743"/>
    <w:rsid w:val="00B24656"/>
    <w:rsid w:val="00B554B0"/>
    <w:rsid w:val="00BB0821"/>
    <w:rsid w:val="00BF110C"/>
    <w:rsid w:val="00C1261B"/>
    <w:rsid w:val="00C32715"/>
    <w:rsid w:val="00C72932"/>
    <w:rsid w:val="00C75DAD"/>
    <w:rsid w:val="00C97664"/>
    <w:rsid w:val="00CA0D47"/>
    <w:rsid w:val="00CD16DE"/>
    <w:rsid w:val="00CE20AB"/>
    <w:rsid w:val="00CE264C"/>
    <w:rsid w:val="00CE5379"/>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32778</Words>
  <Characters>180283</Characters>
  <Application>Microsoft Office Word</Application>
  <DocSecurity>0</DocSecurity>
  <Lines>2690</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39</cp:revision>
  <dcterms:created xsi:type="dcterms:W3CDTF">2023-03-30T14:01:00Z</dcterms:created>
  <dcterms:modified xsi:type="dcterms:W3CDTF">2023-04-01T03:11:00Z</dcterms:modified>
</cp:coreProperties>
</file>