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3041D">
      <w:pPr>
        <w:spacing w:after="120"/>
        <w:rPr>
          <w:rFonts w:ascii="Arial" w:hAnsi="Arial" w:cs="Arial"/>
          <w:b/>
          <w:bCs/>
          <w:sz w:val="22"/>
          <w:szCs w:val="22"/>
        </w:rPr>
      </w:pPr>
      <w:r>
        <w:rPr>
          <w:rFonts w:ascii="Arial" w:hAnsi="Arial" w:cs="Arial"/>
          <w:b/>
          <w:bCs/>
          <w:sz w:val="22"/>
          <w:szCs w:val="22"/>
        </w:rPr>
        <w:t>Significance</w:t>
      </w:r>
    </w:p>
    <w:p w14:paraId="37E03FB0" w14:textId="5E72CE3B" w:rsidR="00CA0D47" w:rsidRDefault="00B11743" w:rsidP="00F3041D">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Improving our understanding of splicing will deepen our knowledge of development and differentiation and our ability to target these processes with therapeutics.</w:t>
      </w:r>
      <w:r w:rsidR="00CA0D47">
        <w:rPr>
          <w:rFonts w:ascii="Arial" w:hAnsi="Arial" w:cs="Arial"/>
          <w:sz w:val="22"/>
          <w:szCs w:val="22"/>
        </w:rPr>
        <w:t xml:space="preserve"> </w:t>
      </w:r>
    </w:p>
    <w:p w14:paraId="54F1F965" w14:textId="2A2325CB" w:rsidR="00F3041D" w:rsidRDefault="00B11743" w:rsidP="00F3041D">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whose splicing is anticorrelated such that one exon from the cluster is selected for inclusion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with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a parthenogenic SNP in clinvar.</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se SNPs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thought to be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Spliceosome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102D34AC" w:rsidR="00ED5A3F" w:rsidRDefault="00ED5A3F" w:rsidP="00F3041D">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The allosteric regulation of PKM2 causes it to transition from a tetrameric form which is competent as a pyruvate kinase to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 9 and exon 10 in PKM, no mechanism for maintaining mutual exclusivity between the exons has been demonstrated.</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these mechanisms would both deepen our understanding of an important gene and provide insight into the many diseases it is linked with.</w:t>
      </w:r>
    </w:p>
    <w:p w14:paraId="1004AB7B" w14:textId="328A7F76" w:rsidR="003D46B6" w:rsidRDefault="00B01AFE" w:rsidP="00F3041D">
      <w:pPr>
        <w:spacing w:after="120"/>
        <w:rPr>
          <w:rFonts w:ascii="Arial" w:hAnsi="Arial" w:cs="Arial"/>
          <w:sz w:val="22"/>
          <w:szCs w:val="22"/>
        </w:rPr>
      </w:pPr>
      <w:r>
        <w:rPr>
          <w:rFonts w:ascii="Arial" w:hAnsi="Arial" w:cs="Arial"/>
          <w:sz w:val="22"/>
          <w:szCs w:val="22"/>
        </w:rPr>
        <w:lastRenderedPageBreak/>
        <w:t>Massively parallel splicing assays (MPSAs) provide a window into splicing regulation but are limited by read length. In recent years MPSAs have been used to interrogate the mechanisms of splicing.</w:t>
      </w:r>
      <w:bookmarkStart w:id="0" w:name="OLE_LINK1"/>
      <w:bookmarkStart w:id="1" w:name="OLE_LINK2"/>
      <w:r>
        <w:rPr>
          <w:rFonts w:ascii="Arial" w:hAnsi="Arial" w:cs="Arial"/>
          <w:sz w:val="22"/>
          <w:szCs w:val="22"/>
        </w:rPr>
        <w:fldChar w:fldCharType="begin" w:fldLock="1"/>
      </w:r>
      <w:r>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Pr>
          <w:rFonts w:ascii="Arial" w:hAnsi="Arial" w:cs="Arial"/>
          <w:sz w:val="22"/>
          <w:szCs w:val="22"/>
        </w:rPr>
        <w:fldChar w:fldCharType="separate"/>
      </w:r>
      <w:r w:rsidRPr="00B01AFE">
        <w:rPr>
          <w:rFonts w:ascii="Arial" w:hAnsi="Arial" w:cs="Arial"/>
          <w:noProof/>
          <w:sz w:val="22"/>
          <w:szCs w:val="22"/>
          <w:vertAlign w:val="superscript"/>
        </w:rPr>
        <w:t>24–37</w:t>
      </w:r>
      <w:r>
        <w:rPr>
          <w:rFonts w:ascii="Arial" w:hAnsi="Arial" w:cs="Arial"/>
          <w:sz w:val="22"/>
          <w:szCs w:val="22"/>
        </w:rPr>
        <w:fldChar w:fldCharType="end"/>
      </w:r>
      <w:bookmarkEnd w:id="0"/>
      <w:bookmarkEnd w:id="1"/>
      <w:r>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E111A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sidR="00CE5379">
        <w:rPr>
          <w:rFonts w:ascii="Arial" w:hAnsi="Arial" w:cs="Arial"/>
          <w:sz w:val="22"/>
          <w:szCs w:val="22"/>
        </w:rPr>
        <w:fldChar w:fldCharType="separate"/>
      </w:r>
      <w:r w:rsidR="00CE5379" w:rsidRPr="00B01AFE">
        <w:rPr>
          <w:rFonts w:ascii="Arial" w:hAnsi="Arial" w:cs="Arial"/>
          <w:noProof/>
          <w:sz w:val="22"/>
          <w:szCs w:val="22"/>
          <w:vertAlign w:val="superscript"/>
        </w:rPr>
        <w:t>24–37</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E111A6">
        <w:rPr>
          <w:rFonts w:ascii="Arial" w:hAnsi="Arial" w:cs="Arial"/>
          <w:sz w:val="22"/>
          <w:szCs w:val="22"/>
        </w:rPr>
        <w:t>Many MPSAs are isoform specific and look to read out splicing as a binary choice between two known isoforms. These include methods based on linking outcome to protein expression, using fluorescent proteins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30,34</w:t>
      </w:r>
      <w:r w:rsidR="00E111A6">
        <w:rPr>
          <w:rFonts w:ascii="Arial" w:hAnsi="Arial" w:cs="Arial"/>
          <w:sz w:val="22"/>
          <w:szCs w:val="22"/>
        </w:rPr>
        <w:fldChar w:fldCharType="end"/>
      </w:r>
      <w:r w:rsidR="00E111A6">
        <w:rPr>
          <w:rFonts w:ascii="Arial" w:hAnsi="Arial" w:cs="Arial"/>
          <w:sz w:val="22"/>
          <w:szCs w:val="22"/>
        </w:rPr>
        <w:t xml:space="preserve"> or counter selectable markers.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38</w:t>
      </w:r>
      <w:r w:rsidR="00E111A6">
        <w:rPr>
          <w:rFonts w:ascii="Arial" w:hAnsi="Arial" w:cs="Arial"/>
          <w:sz w:val="22"/>
          <w:szCs w:val="22"/>
        </w:rPr>
        <w:fldChar w:fldCharType="end"/>
      </w:r>
      <w:r w:rsidR="00E111A6">
        <w:rPr>
          <w:rFonts w:ascii="Arial" w:hAnsi="Arial" w:cs="Arial"/>
          <w:sz w:val="22"/>
          <w:szCs w:val="22"/>
        </w:rPr>
        <w:t xml:space="preserve"> These MPSAs suffer from an inability to distinguish unexpected isoforms and they require very non-native contexts which can affect splicing outcomes.</w:t>
      </w:r>
      <w:r w:rsidR="00FA759F">
        <w:rPr>
          <w:rFonts w:ascii="Arial" w:hAnsi="Arial" w:cs="Arial"/>
          <w:sz w:val="22"/>
          <w:szCs w:val="22"/>
        </w:rPr>
        <w:t xml:space="preserve"> </w:t>
      </w:r>
      <w:r w:rsidR="00FA759F">
        <w:rPr>
          <w:rFonts w:ascii="Arial" w:hAnsi="Arial" w:cs="Arial"/>
          <w:color w:val="FF0000"/>
          <w:sz w:val="22"/>
          <w:szCs w:val="22"/>
        </w:rPr>
        <w:t>SOMETHING HERE ABOUT THE IMPORTANCE OF NATIVE INTRON CONTEXTS</w:t>
      </w:r>
      <w:r w:rsidR="00FA759F">
        <w:rPr>
          <w:rFonts w:ascii="Arial" w:hAnsi="Arial" w:cs="Arial"/>
          <w:color w:val="000000" w:themeColor="text1"/>
          <w:sz w:val="22"/>
          <w:szCs w:val="22"/>
        </w:rPr>
        <w:t>.</w:t>
      </w:r>
      <w:r w:rsidR="00FA759F">
        <w:rPr>
          <w:rFonts w:ascii="Arial" w:hAnsi="Arial" w:cs="Arial"/>
          <w:color w:val="000000" w:themeColor="text1"/>
          <w:sz w:val="22"/>
          <w:szCs w:val="22"/>
        </w:rPr>
        <w:t xml:space="preserve"> </w:t>
      </w:r>
      <w:r w:rsidR="00E111A6">
        <w:rPr>
          <w:rFonts w:ascii="Arial" w:hAnsi="Arial" w:cs="Arial"/>
          <w:sz w:val="22"/>
          <w:szCs w:val="22"/>
        </w:rPr>
        <w:t xml:space="preserve">Another </w:t>
      </w:r>
      <w:r w:rsidR="00CE264C">
        <w:rPr>
          <w:rFonts w:ascii="Arial" w:hAnsi="Arial" w:cs="Arial"/>
          <w:sz w:val="22"/>
          <w:szCs w:val="22"/>
        </w:rPr>
        <w:t>class of isoform specific MPSA uses an RT-PCR and amplicon sequencing as a readout. These work either by using isoform specific primers and comparing between primer sets,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N612B769X349U764&lt;/clusterId&gt;&lt;metadata&gt;&lt;citation&gt;&lt;id&gt;88990ccb-0828-481b-a8d3-58cbb9ed2942&lt;/id&gt;&lt;/citation&gt;&lt;/metadata&gt;&lt;data&gt;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&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37</w:t>
      </w:r>
      <w:r w:rsidR="00CE264C">
        <w:rPr>
          <w:rFonts w:ascii="Arial" w:hAnsi="Arial" w:cs="Arial"/>
          <w:sz w:val="22"/>
          <w:szCs w:val="22"/>
        </w:rPr>
        <w:fldChar w:fldCharType="end"/>
      </w:r>
      <w:r w:rsidR="00CE264C">
        <w:rPr>
          <w:rFonts w:ascii="Arial" w:hAnsi="Arial" w:cs="Arial"/>
          <w:sz w:val="22"/>
          <w:szCs w:val="22"/>
        </w:rPr>
        <w:t xml:space="preserve"> or by gel extracting the isoform of interest and assuming RNA expression level is constant for all variants.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24,33,35</w:t>
      </w:r>
      <w:r w:rsidR="00CE264C">
        <w:rPr>
          <w:rFonts w:ascii="Arial" w:hAnsi="Arial" w:cs="Arial"/>
          <w:sz w:val="22"/>
          <w:szCs w:val="22"/>
        </w:rPr>
        <w:fldChar w:fldCharType="end"/>
      </w:r>
      <w:r w:rsidR="00CE264C">
        <w:rPr>
          <w:rFonts w:ascii="Arial" w:hAnsi="Arial" w:cs="Arial"/>
          <w:sz w:val="22"/>
          <w:szCs w:val="22"/>
        </w:rPr>
        <w:t xml:space="preserve"> These assays can occur in more native contexts than the protein based screens, but still suffer from an inability to account for isoform diversity.</w:t>
      </w:r>
      <w:r w:rsidR="00A121C1">
        <w:rPr>
          <w:rFonts w:ascii="Arial" w:hAnsi="Arial" w:cs="Arial"/>
          <w:sz w:val="22"/>
          <w:szCs w:val="22"/>
        </w:rPr>
        <w:t xml:space="preserve"> The restriction to quantifying </w:t>
      </w:r>
      <w:r w:rsidR="002D759D">
        <w:rPr>
          <w:rFonts w:ascii="Arial" w:hAnsi="Arial" w:cs="Arial"/>
          <w:sz w:val="22"/>
          <w:szCs w:val="22"/>
        </w:rPr>
        <w:t>known</w:t>
      </w:r>
      <w:r w:rsidR="00A121C1">
        <w:rPr>
          <w:rFonts w:ascii="Arial" w:hAnsi="Arial" w:cs="Arial"/>
          <w:sz w:val="22"/>
          <w:szCs w:val="22"/>
        </w:rPr>
        <w:t xml:space="preserve"> isoforms has two significant downsides</w:t>
      </w:r>
      <w:r w:rsidR="002D759D">
        <w:rPr>
          <w:rFonts w:ascii="Arial" w:hAnsi="Arial" w:cs="Arial"/>
          <w:sz w:val="22"/>
          <w:szCs w:val="22"/>
        </w:rPr>
        <w:t xml:space="preserve"> that stem from the fact that it is common for there to be multiple alternative isoforms that can arise from mutations. The first is that by ignoring this diversity, a large amount of information is lost that could shed insight into the mechanisms of splicing decisions. The second, is that unexpected alternative isoforms are frequently incorrectly counted as one of the expected isoforms causing noise in the measurements of isoform frequencies. </w:t>
      </w:r>
      <w:r w:rsidR="00CE264C">
        <w:rPr>
          <w:rFonts w:ascii="Arial" w:hAnsi="Arial" w:cs="Arial"/>
          <w:sz w:val="22"/>
          <w:szCs w:val="22"/>
        </w:rPr>
        <w:t>An alternative s</w:t>
      </w:r>
      <w:r w:rsidR="008D1AA0">
        <w:rPr>
          <w:rFonts w:ascii="Arial" w:hAnsi="Arial" w:cs="Arial"/>
          <w:sz w:val="22"/>
          <w:szCs w:val="22"/>
        </w:rPr>
        <w:t xml:space="preserve">trategy </w:t>
      </w:r>
      <w:r w:rsidR="002D759D">
        <w:rPr>
          <w:rFonts w:ascii="Arial" w:hAnsi="Arial" w:cs="Arial"/>
          <w:sz w:val="22"/>
          <w:szCs w:val="22"/>
        </w:rPr>
        <w:t>that avoids this issue is</w:t>
      </w:r>
      <w:r w:rsidR="008D1AA0">
        <w:rPr>
          <w:rFonts w:ascii="Arial" w:hAnsi="Arial" w:cs="Arial"/>
          <w:sz w:val="22"/>
          <w:szCs w:val="22"/>
        </w:rPr>
        <w:t xml:space="preserve"> to sequence over the splice junction of interest</w:t>
      </w:r>
      <w:r w:rsidR="00DD3170">
        <w:rPr>
          <w:rFonts w:ascii="Arial" w:hAnsi="Arial" w:cs="Arial"/>
          <w:sz w:val="22"/>
          <w:szCs w:val="22"/>
        </w:rPr>
        <w:t xml:space="preserve"> with short-read sequencing</w:t>
      </w:r>
      <w:r w:rsidR="008D1AA0">
        <w:rPr>
          <w:rFonts w:ascii="Arial" w:hAnsi="Arial" w:cs="Arial"/>
          <w:sz w:val="22"/>
          <w:szCs w:val="22"/>
        </w:rPr>
        <w:t xml:space="preserve"> and directly count all isoforms for each variant.</w:t>
      </w:r>
      <w:r w:rsidR="008D1AA0">
        <w:rPr>
          <w:rFonts w:ascii="Arial" w:hAnsi="Arial" w:cs="Arial"/>
          <w:sz w:val="22"/>
          <w:szCs w:val="22"/>
        </w:rPr>
        <w:fldChar w:fldCharType="begin" w:fldLock="1"/>
      </w:r>
      <w:r w:rsidR="008D1AA0">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8D1AA0">
        <w:rPr>
          <w:rFonts w:ascii="Arial" w:hAnsi="Arial" w:cs="Arial"/>
          <w:sz w:val="22"/>
          <w:szCs w:val="22"/>
        </w:rPr>
        <w:fldChar w:fldCharType="separate"/>
      </w:r>
      <w:r w:rsidR="008D1AA0" w:rsidRPr="008D1AA0">
        <w:rPr>
          <w:rFonts w:ascii="Arial" w:hAnsi="Arial" w:cs="Arial"/>
          <w:noProof/>
          <w:sz w:val="22"/>
          <w:szCs w:val="22"/>
          <w:vertAlign w:val="superscript"/>
        </w:rPr>
        <w:t>26,28–30,32,36</w:t>
      </w:r>
      <w:r w:rsidR="008D1AA0">
        <w:rPr>
          <w:rFonts w:ascii="Arial" w:hAnsi="Arial" w:cs="Arial"/>
          <w:sz w:val="22"/>
          <w:szCs w:val="22"/>
        </w:rPr>
        <w:fldChar w:fldCharType="end"/>
      </w:r>
      <w:r w:rsidR="00DD3170">
        <w:rPr>
          <w:rFonts w:ascii="Arial" w:hAnsi="Arial" w:cs="Arial"/>
          <w:sz w:val="22"/>
          <w:szCs w:val="22"/>
        </w:rPr>
        <w:t xml:space="preserve"> This allows the quantification of all isoforms but requires that all isoforms only differ over a region small enough to fit in a short read. Since the median intron is 1.7 kb</w:t>
      </w:r>
      <w:r w:rsidR="00DD3170">
        <w:rPr>
          <w:rFonts w:ascii="Arial" w:hAnsi="Arial" w:cs="Arial"/>
          <w:sz w:val="22"/>
          <w:szCs w:val="22"/>
        </w:rPr>
        <w:fldChar w:fldCharType="begin" w:fldLock="1"/>
      </w:r>
      <w:r w:rsidR="00DD3170">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DD3170">
        <w:rPr>
          <w:rFonts w:ascii="Arial" w:hAnsi="Arial" w:cs="Arial"/>
          <w:sz w:val="22"/>
          <w:szCs w:val="22"/>
        </w:rPr>
        <w:fldChar w:fldCharType="separate"/>
      </w:r>
      <w:r w:rsidR="00DD3170" w:rsidRPr="00DD3170">
        <w:rPr>
          <w:rFonts w:ascii="Arial" w:hAnsi="Arial" w:cs="Arial"/>
          <w:noProof/>
          <w:sz w:val="22"/>
          <w:szCs w:val="22"/>
          <w:vertAlign w:val="superscript"/>
        </w:rPr>
        <w:t>39</w:t>
      </w:r>
      <w:r w:rsidR="00DD3170">
        <w:rPr>
          <w:rFonts w:ascii="Arial" w:hAnsi="Arial" w:cs="Arial"/>
          <w:sz w:val="22"/>
          <w:szCs w:val="22"/>
        </w:rPr>
        <w:fldChar w:fldCharType="end"/>
      </w:r>
      <w:r w:rsidR="00DD3170">
        <w:rPr>
          <w:rFonts w:ascii="Arial" w:hAnsi="Arial" w:cs="Arial"/>
          <w:sz w:val="22"/>
          <w:szCs w:val="22"/>
        </w:rPr>
        <w:t xml:space="preserve"> this means that to apply this technique to most splice junctions the experiment needs to be performed in a non-native, small-intron context or isoforms that retain some or all off the intron cannot be accurately quantified.</w:t>
      </w:r>
      <w:r w:rsidR="00A121C1">
        <w:rPr>
          <w:rFonts w:ascii="Arial" w:hAnsi="Arial" w:cs="Arial"/>
          <w:sz w:val="22"/>
          <w:szCs w:val="22"/>
        </w:rPr>
        <w:t xml:space="preserve"> Additionally, isoforms that loose one of the primer sites can not be quantified. Finally, none of these techniques </w:t>
      </w:r>
      <w:r w:rsidR="002D759D">
        <w:rPr>
          <w:rFonts w:ascii="Arial" w:hAnsi="Arial" w:cs="Arial"/>
          <w:sz w:val="22"/>
          <w:szCs w:val="22"/>
        </w:rPr>
        <w:t xml:space="preserve">utilize double sided barcodes, which leaves them open to isoform miscalls caused my PCR or RT template exchange events. </w:t>
      </w:r>
      <w:r w:rsidR="004B78F7">
        <w:rPr>
          <w:rFonts w:ascii="Arial" w:hAnsi="Arial" w:cs="Arial"/>
          <w:color w:val="FF0000"/>
          <w:sz w:val="22"/>
          <w:szCs w:val="22"/>
        </w:rPr>
        <w:t>SOMETHING HERE ABOUT TH</w:t>
      </w:r>
      <w:r w:rsidR="004B78F7">
        <w:rPr>
          <w:rFonts w:ascii="Arial" w:hAnsi="Arial" w:cs="Arial"/>
          <w:color w:val="FF0000"/>
          <w:sz w:val="22"/>
          <w:szCs w:val="22"/>
        </w:rPr>
        <w:t xml:space="preserve">E DATA ANALYSIS PIPELINES. </w:t>
      </w:r>
      <w:proofErr w:type="spellStart"/>
      <w:r w:rsidR="002D759D">
        <w:rPr>
          <w:rFonts w:ascii="Arial" w:hAnsi="Arial" w:cs="Arial"/>
          <w:sz w:val="22"/>
          <w:szCs w:val="22"/>
        </w:rPr>
        <w:t xml:space="preserve">Because </w:t>
      </w:r>
      <w:proofErr w:type="spellEnd"/>
      <w:r w:rsidR="002D759D">
        <w:rPr>
          <w:rFonts w:ascii="Arial" w:hAnsi="Arial" w:cs="Arial"/>
          <w:sz w:val="22"/>
          <w:szCs w:val="22"/>
        </w:rPr>
        <w:t>of these issues, current MPSAs are not well suited to interrogating the mechanisms of complicated splicing decisions in the context of the native introns, where important isoforms may be large and multiple splicing outcomes are expected</w:t>
      </w:r>
      <w:r w:rsidR="00FA759F">
        <w:rPr>
          <w:rFonts w:ascii="Arial" w:hAnsi="Arial" w:cs="Arial"/>
          <w:sz w:val="22"/>
          <w:szCs w:val="22"/>
        </w:rPr>
        <w:t xml:space="preserve">. New techniques will be needed to fully interrogate the mechanisms of mutually exclusive exon clusters. </w:t>
      </w:r>
    </w:p>
    <w:p w14:paraId="36087DED" w14:textId="6F8EF3E1" w:rsidR="009F0B68" w:rsidRDefault="004B78F7" w:rsidP="00F3041D">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w:t>
      </w:r>
      <w:r w:rsidR="002E6BAC">
        <w:rPr>
          <w:rFonts w:ascii="Arial" w:hAnsi="Arial" w:cs="Arial"/>
          <w:color w:val="000000" w:themeColor="text1"/>
          <w:sz w:val="22"/>
          <w:szCs w:val="22"/>
        </w:rPr>
        <w:t>proposed</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is to create MPSA methods that overcome</w:t>
      </w:r>
      <w:r w:rsidR="00622755">
        <w:rPr>
          <w:rFonts w:ascii="Arial" w:hAnsi="Arial" w:cs="Arial"/>
          <w:color w:val="000000" w:themeColor="text1"/>
          <w:sz w:val="22"/>
          <w:szCs w:val="22"/>
        </w:rPr>
        <w:t>s</w:t>
      </w:r>
      <w:r>
        <w:rPr>
          <w:rFonts w:ascii="Arial" w:hAnsi="Arial" w:cs="Arial"/>
          <w:color w:val="000000" w:themeColor="text1"/>
          <w:sz w:val="22"/>
          <w:szCs w:val="22"/>
        </w:rPr>
        <w:t xml:space="preserv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564853">
        <w:rPr>
          <w:rFonts w:ascii="Arial" w:hAnsi="Arial" w:cs="Arial"/>
          <w:color w:val="000000" w:themeColor="text1"/>
          <w:sz w:val="22"/>
          <w:szCs w:val="22"/>
        </w:rPr>
        <w:t>in more native contexts by making it possible to sequence over constructs with full size introns without ignoring intron included contexts</w:t>
      </w:r>
      <w:r w:rsidR="00564853">
        <w:rPr>
          <w:rFonts w:ascii="Arial" w:hAnsi="Arial" w:cs="Arial"/>
          <w:color w:val="000000" w:themeColor="text1"/>
          <w:sz w:val="22"/>
          <w:szCs w:val="22"/>
        </w:rPr>
        <w:t xml:space="preserve">. Full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 dynamic range and accuracy of the assay. The LR-MPSA </w:t>
      </w:r>
      <w:r w:rsidR="0060210C">
        <w:rPr>
          <w:rFonts w:ascii="Arial" w:hAnsi="Arial" w:cs="Arial"/>
          <w:color w:val="000000" w:themeColor="text1"/>
          <w:sz w:val="22"/>
          <w:szCs w:val="22"/>
        </w:rPr>
        <w:t xml:space="preserve">will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or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3041D">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w:t>
      </w:r>
      <w:r w:rsidR="00622755">
        <w:rPr>
          <w:rFonts w:ascii="Arial" w:hAnsi="Arial" w:cs="Arial"/>
          <w:color w:val="000000" w:themeColor="text1"/>
          <w:sz w:val="22"/>
          <w:szCs w:val="22"/>
        </w:rPr>
        <w:lastRenderedPageBreak/>
        <w:t xml:space="preserve">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58D77D4A" w14:textId="4B706AF3" w:rsidR="00B01AFE" w:rsidRPr="00CA0D47" w:rsidRDefault="00CF150B" w:rsidP="00F3041D">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and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exons. </w:t>
      </w:r>
    </w:p>
    <w:p w14:paraId="007550EE" w14:textId="633D349E" w:rsidR="00CF41ED" w:rsidRPr="00F54B0C" w:rsidRDefault="00CF41ED" w:rsidP="00EB5B39">
      <w:pPr>
        <w:pStyle w:val="ListParagraph"/>
        <w:numPr>
          <w:ilvl w:val="0"/>
          <w:numId w:val="1"/>
        </w:numPr>
        <w:rPr>
          <w:rFonts w:ascii="Arial" w:hAnsi="Arial" w:cs="Arial"/>
          <w:strike/>
          <w:sz w:val="22"/>
          <w:szCs w:val="22"/>
        </w:rPr>
      </w:pPr>
      <w:proofErr w:type="spellStart"/>
      <w:r w:rsidRPr="00F54B0C">
        <w:rPr>
          <w:rFonts w:ascii="Arial" w:hAnsi="Arial" w:cs="Arial"/>
          <w:strike/>
          <w:sz w:val="22"/>
          <w:szCs w:val="22"/>
        </w:rPr>
        <w:t>Ho</w:t>
      </w:r>
      <w:proofErr w:type="spellEnd"/>
      <w:r w:rsidRPr="00F54B0C">
        <w:rPr>
          <w:rFonts w:ascii="Arial" w:hAnsi="Arial" w:cs="Arial"/>
          <w:strike/>
          <w:sz w:val="22"/>
          <w:szCs w:val="22"/>
        </w:rPr>
        <w:t>w my study fits</w:t>
      </w:r>
    </w:p>
    <w:p w14:paraId="5A1184C7" w14:textId="6D8F76D3" w:rsidR="00595A27" w:rsidRPr="00F54B0C" w:rsidRDefault="00595A27" w:rsidP="00595A27">
      <w:pPr>
        <w:pStyle w:val="ListParagraph"/>
        <w:numPr>
          <w:ilvl w:val="1"/>
          <w:numId w:val="1"/>
        </w:numPr>
        <w:rPr>
          <w:rFonts w:ascii="Arial" w:hAnsi="Arial" w:cs="Arial"/>
          <w:strike/>
          <w:sz w:val="22"/>
          <w:szCs w:val="22"/>
        </w:rPr>
      </w:pPr>
      <w:r w:rsidRPr="00F54B0C">
        <w:rPr>
          <w:rFonts w:ascii="Arial" w:hAnsi="Arial" w:cs="Arial"/>
          <w:strike/>
          <w:sz w:val="22"/>
          <w:szCs w:val="22"/>
        </w:rPr>
        <w:t>Long reads will allow junction sequencing over larger constructs</w:t>
      </w:r>
    </w:p>
    <w:p w14:paraId="129BBAB0" w14:textId="5569AF52" w:rsidR="00595A27" w:rsidRPr="00F54B0C" w:rsidRDefault="00595A27" w:rsidP="00595A27">
      <w:pPr>
        <w:pStyle w:val="ListParagraph"/>
        <w:numPr>
          <w:ilvl w:val="2"/>
          <w:numId w:val="1"/>
        </w:numPr>
        <w:rPr>
          <w:rFonts w:ascii="Arial" w:hAnsi="Arial" w:cs="Arial"/>
          <w:strike/>
          <w:sz w:val="22"/>
          <w:szCs w:val="22"/>
        </w:rPr>
      </w:pPr>
      <w:r w:rsidRPr="00F54B0C">
        <w:rPr>
          <w:rFonts w:ascii="Arial" w:hAnsi="Arial" w:cs="Arial"/>
          <w:strike/>
          <w:sz w:val="22"/>
          <w:szCs w:val="22"/>
        </w:rPr>
        <w:t>Native contexts</w:t>
      </w:r>
    </w:p>
    <w:p w14:paraId="69D978CC" w14:textId="05B464B9" w:rsidR="00595A27" w:rsidRPr="00F54B0C" w:rsidRDefault="00595A27" w:rsidP="00595A27">
      <w:pPr>
        <w:pStyle w:val="ListParagraph"/>
        <w:numPr>
          <w:ilvl w:val="2"/>
          <w:numId w:val="1"/>
        </w:numPr>
        <w:rPr>
          <w:rFonts w:ascii="Arial" w:hAnsi="Arial" w:cs="Arial"/>
          <w:strike/>
          <w:sz w:val="22"/>
          <w:szCs w:val="22"/>
        </w:rPr>
      </w:pPr>
      <w:r w:rsidRPr="00F54B0C">
        <w:rPr>
          <w:rFonts w:ascii="Arial" w:hAnsi="Arial" w:cs="Arial"/>
          <w:strike/>
          <w:sz w:val="22"/>
          <w:szCs w:val="22"/>
        </w:rPr>
        <w:t>More complicated situations</w:t>
      </w:r>
      <w:r w:rsidR="00371BE0" w:rsidRPr="00F54B0C">
        <w:rPr>
          <w:rFonts w:ascii="Arial" w:hAnsi="Arial" w:cs="Arial"/>
          <w:strike/>
          <w:sz w:val="22"/>
          <w:szCs w:val="22"/>
        </w:rPr>
        <w:t xml:space="preserve"> </w:t>
      </w:r>
    </w:p>
    <w:p w14:paraId="1EECA76A" w14:textId="215BC5E9" w:rsidR="00595A27" w:rsidRPr="00F54B0C" w:rsidRDefault="00595A27" w:rsidP="00595A27">
      <w:pPr>
        <w:pStyle w:val="ListParagraph"/>
        <w:numPr>
          <w:ilvl w:val="3"/>
          <w:numId w:val="1"/>
        </w:numPr>
        <w:rPr>
          <w:rFonts w:ascii="Arial" w:hAnsi="Arial" w:cs="Arial"/>
          <w:strike/>
          <w:sz w:val="22"/>
          <w:szCs w:val="22"/>
        </w:rPr>
      </w:pPr>
      <w:r w:rsidRPr="00F54B0C">
        <w:rPr>
          <w:rFonts w:ascii="Arial" w:hAnsi="Arial" w:cs="Arial"/>
          <w:strike/>
          <w:sz w:val="22"/>
          <w:szCs w:val="22"/>
        </w:rPr>
        <w:t>MXEs</w:t>
      </w:r>
    </w:p>
    <w:p w14:paraId="7BC8ED7B" w14:textId="2E7B667E" w:rsidR="00595A27" w:rsidRPr="00F54B0C" w:rsidRDefault="00595A27" w:rsidP="00595A27">
      <w:pPr>
        <w:pStyle w:val="ListParagraph"/>
        <w:numPr>
          <w:ilvl w:val="3"/>
          <w:numId w:val="1"/>
        </w:numPr>
        <w:rPr>
          <w:rFonts w:ascii="Arial" w:hAnsi="Arial" w:cs="Arial"/>
          <w:strike/>
          <w:sz w:val="22"/>
          <w:szCs w:val="22"/>
        </w:rPr>
      </w:pPr>
      <w:r w:rsidRPr="00F54B0C">
        <w:rPr>
          <w:rFonts w:ascii="Arial" w:hAnsi="Arial" w:cs="Arial"/>
          <w:strike/>
          <w:sz w:val="22"/>
          <w:szCs w:val="22"/>
        </w:rPr>
        <w:t>Cryptic sites</w:t>
      </w:r>
    </w:p>
    <w:p w14:paraId="5D5C6C31" w14:textId="1C338259" w:rsidR="00595A27" w:rsidRPr="00F54B0C" w:rsidRDefault="00595A27" w:rsidP="00595A27">
      <w:pPr>
        <w:pStyle w:val="ListParagraph"/>
        <w:numPr>
          <w:ilvl w:val="3"/>
          <w:numId w:val="1"/>
        </w:numPr>
        <w:rPr>
          <w:rFonts w:ascii="Arial" w:hAnsi="Arial" w:cs="Arial"/>
          <w:strike/>
          <w:sz w:val="22"/>
          <w:szCs w:val="22"/>
        </w:rPr>
      </w:pPr>
      <w:r w:rsidRPr="00F54B0C">
        <w:rPr>
          <w:rFonts w:ascii="Arial" w:hAnsi="Arial" w:cs="Arial"/>
          <w:strike/>
          <w:sz w:val="22"/>
          <w:szCs w:val="22"/>
        </w:rPr>
        <w:t>Intron retention</w:t>
      </w:r>
    </w:p>
    <w:p w14:paraId="7A484F08" w14:textId="355CAFD6" w:rsidR="00595A27" w:rsidRPr="00F54B0C" w:rsidRDefault="00595A27" w:rsidP="00595A27">
      <w:pPr>
        <w:pStyle w:val="ListParagraph"/>
        <w:numPr>
          <w:ilvl w:val="2"/>
          <w:numId w:val="1"/>
        </w:numPr>
        <w:rPr>
          <w:rFonts w:ascii="Arial" w:hAnsi="Arial" w:cs="Arial"/>
          <w:strike/>
          <w:sz w:val="22"/>
          <w:szCs w:val="22"/>
        </w:rPr>
      </w:pPr>
      <w:r w:rsidRPr="00F54B0C">
        <w:rPr>
          <w:rFonts w:ascii="Arial" w:hAnsi="Arial" w:cs="Arial"/>
          <w:strike/>
          <w:sz w:val="22"/>
          <w:szCs w:val="22"/>
        </w:rPr>
        <w:t>Reduced count noise</w:t>
      </w:r>
    </w:p>
    <w:p w14:paraId="064C8E77" w14:textId="4BEECDA2" w:rsidR="00595A27" w:rsidRPr="00622755" w:rsidRDefault="00E330A0" w:rsidP="00595A27">
      <w:pPr>
        <w:pStyle w:val="ListParagraph"/>
        <w:numPr>
          <w:ilvl w:val="1"/>
          <w:numId w:val="1"/>
        </w:numPr>
        <w:rPr>
          <w:rFonts w:ascii="Arial" w:hAnsi="Arial" w:cs="Arial"/>
          <w:strike/>
          <w:sz w:val="22"/>
          <w:szCs w:val="22"/>
        </w:rPr>
      </w:pPr>
      <w:r w:rsidRPr="00622755">
        <w:rPr>
          <w:rFonts w:ascii="Arial" w:hAnsi="Arial" w:cs="Arial"/>
          <w:strike/>
          <w:sz w:val="22"/>
          <w:szCs w:val="22"/>
        </w:rPr>
        <w:t xml:space="preserve">Open-source software will democratize the method </w:t>
      </w:r>
    </w:p>
    <w:p w14:paraId="5A8F1DB6" w14:textId="7C8EDBAB" w:rsidR="00E330A0" w:rsidRPr="00622755" w:rsidRDefault="00E330A0" w:rsidP="00E330A0">
      <w:pPr>
        <w:pStyle w:val="ListParagraph"/>
        <w:numPr>
          <w:ilvl w:val="2"/>
          <w:numId w:val="1"/>
        </w:numPr>
        <w:rPr>
          <w:rFonts w:ascii="Arial" w:hAnsi="Arial" w:cs="Arial"/>
          <w:strike/>
          <w:sz w:val="22"/>
          <w:szCs w:val="22"/>
        </w:rPr>
      </w:pPr>
      <w:r w:rsidRPr="00622755">
        <w:rPr>
          <w:rFonts w:ascii="Arial" w:hAnsi="Arial" w:cs="Arial"/>
          <w:strike/>
          <w:sz w:val="22"/>
          <w:szCs w:val="22"/>
        </w:rPr>
        <w:t>Allow robust verification of analysis pipelines on synthetic datasets</w:t>
      </w:r>
    </w:p>
    <w:p w14:paraId="5C0AFCDD" w14:textId="5EC81CF6" w:rsidR="00E330A0" w:rsidRPr="00622755" w:rsidRDefault="00E330A0" w:rsidP="00E330A0">
      <w:pPr>
        <w:pStyle w:val="ListParagraph"/>
        <w:numPr>
          <w:ilvl w:val="2"/>
          <w:numId w:val="1"/>
        </w:numPr>
        <w:rPr>
          <w:rFonts w:ascii="Arial" w:hAnsi="Arial" w:cs="Arial"/>
          <w:strike/>
          <w:sz w:val="22"/>
          <w:szCs w:val="22"/>
        </w:rPr>
      </w:pPr>
      <w:r w:rsidRPr="00622755">
        <w:rPr>
          <w:rFonts w:ascii="Arial" w:hAnsi="Arial" w:cs="Arial"/>
          <w:strike/>
          <w:sz w:val="22"/>
          <w:szCs w:val="22"/>
        </w:rPr>
        <w:t>Allow experimentalists to go directly from reads to processed data</w:t>
      </w:r>
    </w:p>
    <w:p w14:paraId="6CDE0E78" w14:textId="007C7CBF" w:rsidR="00E330A0" w:rsidRPr="000904AC" w:rsidRDefault="000E443D" w:rsidP="00E330A0">
      <w:pPr>
        <w:pStyle w:val="ListParagraph"/>
        <w:numPr>
          <w:ilvl w:val="1"/>
          <w:numId w:val="1"/>
        </w:numPr>
        <w:rPr>
          <w:rFonts w:ascii="Arial" w:hAnsi="Arial" w:cs="Arial"/>
          <w:strike/>
          <w:sz w:val="22"/>
          <w:szCs w:val="22"/>
        </w:rPr>
      </w:pPr>
      <w:r w:rsidRPr="000904AC">
        <w:rPr>
          <w:rFonts w:ascii="Arial" w:hAnsi="Arial" w:cs="Arial"/>
          <w:strike/>
          <w:sz w:val="22"/>
          <w:szCs w:val="22"/>
        </w:rPr>
        <w:t>Applications of these methods to PKM will help understand it’s complicated regulation</w:t>
      </w:r>
    </w:p>
    <w:p w14:paraId="65D7764A" w14:textId="155CE927" w:rsidR="000E443D" w:rsidRPr="000904AC" w:rsidRDefault="000E443D" w:rsidP="000E443D">
      <w:pPr>
        <w:pStyle w:val="ListParagraph"/>
        <w:numPr>
          <w:ilvl w:val="2"/>
          <w:numId w:val="1"/>
        </w:numPr>
        <w:rPr>
          <w:rFonts w:ascii="Arial" w:hAnsi="Arial" w:cs="Arial"/>
          <w:strike/>
          <w:sz w:val="22"/>
          <w:szCs w:val="22"/>
        </w:rPr>
      </w:pPr>
      <w:r w:rsidRPr="000904AC">
        <w:rPr>
          <w:rFonts w:ascii="Arial" w:hAnsi="Arial" w:cs="Arial"/>
          <w:strike/>
          <w:sz w:val="22"/>
          <w:szCs w:val="22"/>
        </w:rPr>
        <w:t>Interesting basic biology</w:t>
      </w:r>
    </w:p>
    <w:p w14:paraId="6535BA4A" w14:textId="3AB712CD" w:rsidR="000E443D" w:rsidRPr="000904AC" w:rsidRDefault="000E443D" w:rsidP="000E443D">
      <w:pPr>
        <w:pStyle w:val="ListParagraph"/>
        <w:numPr>
          <w:ilvl w:val="2"/>
          <w:numId w:val="1"/>
        </w:numPr>
        <w:rPr>
          <w:rFonts w:ascii="Arial" w:hAnsi="Arial" w:cs="Arial"/>
          <w:strike/>
          <w:sz w:val="22"/>
          <w:szCs w:val="22"/>
        </w:rPr>
      </w:pPr>
      <w:r w:rsidRPr="000904AC">
        <w:rPr>
          <w:rFonts w:ascii="Arial" w:hAnsi="Arial" w:cs="Arial"/>
          <w:strike/>
          <w:sz w:val="22"/>
          <w:szCs w:val="22"/>
        </w:rPr>
        <w:t>Disease relevance</w:t>
      </w:r>
    </w:p>
    <w:p w14:paraId="2143FEE0" w14:textId="649A04EB" w:rsidR="000E443D" w:rsidRPr="000904AC" w:rsidRDefault="000E443D" w:rsidP="000E443D">
      <w:pPr>
        <w:pStyle w:val="ListParagraph"/>
        <w:numPr>
          <w:ilvl w:val="2"/>
          <w:numId w:val="1"/>
        </w:numPr>
        <w:rPr>
          <w:rFonts w:ascii="Arial" w:hAnsi="Arial" w:cs="Arial"/>
          <w:strike/>
          <w:sz w:val="22"/>
          <w:szCs w:val="22"/>
        </w:rPr>
      </w:pPr>
      <w:r w:rsidRPr="000904AC">
        <w:rPr>
          <w:rFonts w:ascii="Arial" w:hAnsi="Arial" w:cs="Arial"/>
          <w:strike/>
          <w:sz w:val="22"/>
          <w:szCs w:val="22"/>
        </w:rPr>
        <w:t>Form a good test ground for the techniques</w:t>
      </w:r>
    </w:p>
    <w:p w14:paraId="69CA864D" w14:textId="77777777" w:rsidR="00EB5B39" w:rsidRDefault="00EB5B39">
      <w:pPr>
        <w:rPr>
          <w:rFonts w:ascii="Arial" w:hAnsi="Arial" w:cs="Arial"/>
          <w:sz w:val="22"/>
          <w:szCs w:val="22"/>
        </w:rPr>
      </w:pPr>
    </w:p>
    <w:p w14:paraId="21CD7D2D" w14:textId="77777777" w:rsidR="00EB5B39" w:rsidRDefault="00EB5B39">
      <w:pPr>
        <w:rPr>
          <w:rFonts w:ascii="Arial" w:hAnsi="Arial" w:cs="Arial"/>
          <w:sz w:val="22"/>
          <w:szCs w:val="22"/>
        </w:rPr>
      </w:pPr>
    </w:p>
    <w:p w14:paraId="576EB924" w14:textId="77777777" w:rsidR="00EB5B39" w:rsidRDefault="00EB5B39">
      <w:pPr>
        <w:rPr>
          <w:rFonts w:ascii="Arial" w:hAnsi="Arial" w:cs="Arial"/>
          <w:sz w:val="22"/>
          <w:szCs w:val="22"/>
        </w:rPr>
      </w:pPr>
    </w:p>
    <w:p w14:paraId="139C981F" w14:textId="77777777" w:rsidR="00EB5B39" w:rsidRDefault="00EB5B39">
      <w:pPr>
        <w:rPr>
          <w:rFonts w:ascii="Arial" w:hAnsi="Arial" w:cs="Arial"/>
          <w:sz w:val="22"/>
          <w:szCs w:val="22"/>
        </w:rPr>
      </w:pPr>
    </w:p>
    <w:p w14:paraId="20F4D45A" w14:textId="77777777" w:rsidR="00493EAE" w:rsidRPr="00493EAE" w:rsidRDefault="00493EAE" w:rsidP="00493EAE">
      <w:pPr>
        <w:rPr>
          <w:rFonts w:ascii="Arial" w:hAnsi="Arial" w:cs="Arial"/>
          <w:sz w:val="22"/>
          <w:szCs w:val="22"/>
        </w:rPr>
      </w:pPr>
      <w:r w:rsidRPr="00493EAE">
        <w:rPr>
          <w:rFonts w:ascii="Arial" w:hAnsi="Arial" w:cs="Arial"/>
          <w:sz w:val="22"/>
          <w:szCs w:val="22"/>
        </w:rPr>
        <w:t>Much progress has been made using massively parallel splicing assays (MPSAs) to probe the mechanisms of splicing.\</w:t>
      </w:r>
      <w:proofErr w:type="spellStart"/>
      <w:proofErr w:type="gramStart"/>
      <w:r w:rsidRPr="00493EAE">
        <w:rPr>
          <w:rFonts w:ascii="Arial" w:hAnsi="Arial" w:cs="Arial"/>
          <w:sz w:val="22"/>
          <w:szCs w:val="22"/>
        </w:rPr>
        <w:t>supercite</w:t>
      </w:r>
      <w:proofErr w:type="spellEnd"/>
      <w:r w:rsidRPr="00493EAE">
        <w:rPr>
          <w:rFonts w:ascii="Arial" w:hAnsi="Arial" w:cs="Arial"/>
          <w:sz w:val="22"/>
          <w:szCs w:val="22"/>
        </w:rPr>
        <w:t>{</w:t>
      </w:r>
      <w:proofErr w:type="gramEnd"/>
      <w:r w:rsidRPr="00493EAE">
        <w:rPr>
          <w:rFonts w:ascii="Arial" w:hAnsi="Arial" w:cs="Arial"/>
          <w:sz w:val="22"/>
          <w:szCs w:val="22"/>
        </w:rPr>
        <w:t xml:space="preserve">Ke2018-af, Julien2016-wa, Adamson2018-va, Soemedi2017-pz, Cortes-Lopez2022-gy, Schirman2021-ss, Mikl2019-ng, Braun2018-mb, Soucek2019-iq, Baeza-Centurion2020-tn, Cheung2019-ah, Baeza-Centurion2019-hz, Rosenberg2015-zs, Wong2018-vq} </w:t>
      </w:r>
    </w:p>
    <w:p w14:paraId="6B834E8B" w14:textId="77777777" w:rsidR="00493EAE" w:rsidRPr="00493EAE" w:rsidRDefault="00493EAE" w:rsidP="00493EAE">
      <w:pPr>
        <w:rPr>
          <w:rFonts w:ascii="Arial" w:hAnsi="Arial" w:cs="Arial"/>
          <w:sz w:val="22"/>
          <w:szCs w:val="22"/>
        </w:rPr>
      </w:pPr>
      <w:r w:rsidRPr="00493EAE">
        <w:rPr>
          <w:rFonts w:ascii="Arial" w:hAnsi="Arial" w:cs="Arial"/>
          <w:sz w:val="22"/>
          <w:szCs w:val="22"/>
        </w:rPr>
        <w:t>These efforts have utilized Illumina technology which cannot produce reads capable of covering the whole length of most genes, greatly affecting the isoforms that can be detected.</w:t>
      </w:r>
    </w:p>
    <w:p w14:paraId="27692023" w14:textId="77777777" w:rsidR="00493EAE" w:rsidRPr="00493EAE" w:rsidRDefault="00493EAE" w:rsidP="00493EAE">
      <w:pPr>
        <w:rPr>
          <w:rFonts w:ascii="Arial" w:hAnsi="Arial" w:cs="Arial"/>
          <w:sz w:val="22"/>
          <w:szCs w:val="22"/>
        </w:rPr>
      </w:pPr>
      <w:r w:rsidRPr="00493EAE">
        <w:rPr>
          <w:rFonts w:ascii="Arial" w:hAnsi="Arial" w:cs="Arial"/>
          <w:sz w:val="22"/>
          <w:szCs w:val="22"/>
        </w:rPr>
        <w:t>This issue has been overcome by studying systems shrunk to fit an Illumina read or by ignoring unexpected isoforms.</w:t>
      </w:r>
    </w:p>
    <w:p w14:paraId="07029916" w14:textId="77777777" w:rsidR="00493EAE" w:rsidRPr="00493EAE" w:rsidRDefault="00493EAE" w:rsidP="00493EAE">
      <w:pPr>
        <w:rPr>
          <w:rFonts w:ascii="Arial" w:hAnsi="Arial" w:cs="Arial"/>
          <w:sz w:val="22"/>
          <w:szCs w:val="22"/>
        </w:rPr>
      </w:pPr>
      <w:r w:rsidRPr="00493EAE">
        <w:rPr>
          <w:rFonts w:ascii="Arial" w:hAnsi="Arial" w:cs="Arial"/>
          <w:sz w:val="22"/>
          <w:szCs w:val="22"/>
        </w:rPr>
        <w:t>Yet the median human intron is 1.7 kb in length\</w:t>
      </w:r>
      <w:proofErr w:type="spellStart"/>
      <w:proofErr w:type="gramStart"/>
      <w:r w:rsidRPr="00493EAE">
        <w:rPr>
          <w:rFonts w:ascii="Arial" w:hAnsi="Arial" w:cs="Arial"/>
          <w:sz w:val="22"/>
          <w:szCs w:val="22"/>
        </w:rPr>
        <w:t>supercite</w:t>
      </w:r>
      <w:proofErr w:type="spellEnd"/>
      <w:r w:rsidRPr="00493EAE">
        <w:rPr>
          <w:rFonts w:ascii="Arial" w:hAnsi="Arial" w:cs="Arial"/>
          <w:sz w:val="22"/>
          <w:szCs w:val="22"/>
        </w:rPr>
        <w:t>{</w:t>
      </w:r>
      <w:proofErr w:type="gramEnd"/>
      <w:r w:rsidRPr="00493EAE">
        <w:rPr>
          <w:rFonts w:ascii="Arial" w:hAnsi="Arial" w:cs="Arial"/>
          <w:sz w:val="22"/>
          <w:szCs w:val="22"/>
        </w:rPr>
        <w:t>Piovesan2019-rp} far longer than an Illumina read and perturbations can cause complicated changes in splicing outcomes.\supercite{Cortes-Lopez2022-gy,Wang2012-dr,Mathur2019-hy}</w:t>
      </w:r>
    </w:p>
    <w:p w14:paraId="09B7A794" w14:textId="77777777" w:rsidR="00493EAE" w:rsidRPr="00493EAE" w:rsidRDefault="00493EAE" w:rsidP="00493EAE">
      <w:pPr>
        <w:rPr>
          <w:rFonts w:ascii="Arial" w:hAnsi="Arial" w:cs="Arial"/>
          <w:sz w:val="22"/>
          <w:szCs w:val="22"/>
        </w:rPr>
      </w:pPr>
      <w:r w:rsidRPr="00493EAE">
        <w:rPr>
          <w:rFonts w:ascii="Arial" w:hAnsi="Arial" w:cs="Arial"/>
          <w:sz w:val="22"/>
          <w:szCs w:val="22"/>
        </w:rPr>
        <w:t>Further, MPSAs have so far focused on the decision to include or exclude a single exon.</w:t>
      </w:r>
    </w:p>
    <w:p w14:paraId="65A49049" w14:textId="77777777" w:rsidR="00493EAE" w:rsidRPr="00493EAE" w:rsidRDefault="00493EAE" w:rsidP="00493EAE">
      <w:pPr>
        <w:rPr>
          <w:rFonts w:ascii="Arial" w:hAnsi="Arial" w:cs="Arial"/>
          <w:sz w:val="22"/>
          <w:szCs w:val="22"/>
        </w:rPr>
      </w:pPr>
      <w:r w:rsidRPr="00493EAE">
        <w:rPr>
          <w:rFonts w:ascii="Arial" w:hAnsi="Arial" w:cs="Arial"/>
          <w:sz w:val="22"/>
          <w:szCs w:val="22"/>
        </w:rPr>
        <w:t>However, recent work has begun to show that correlated splicing decisions across exons are far more common than was previously understood.\</w:t>
      </w:r>
      <w:proofErr w:type="spellStart"/>
      <w:proofErr w:type="gramStart"/>
      <w:r w:rsidRPr="00493EAE">
        <w:rPr>
          <w:rFonts w:ascii="Arial" w:hAnsi="Arial" w:cs="Arial"/>
          <w:sz w:val="22"/>
          <w:szCs w:val="22"/>
        </w:rPr>
        <w:t>supercite</w:t>
      </w:r>
      <w:proofErr w:type="spellEnd"/>
      <w:r w:rsidRPr="00493EAE">
        <w:rPr>
          <w:rFonts w:ascii="Arial" w:hAnsi="Arial" w:cs="Arial"/>
          <w:sz w:val="22"/>
          <w:szCs w:val="22"/>
        </w:rPr>
        <w:t>{</w:t>
      </w:r>
      <w:proofErr w:type="gramEnd"/>
      <w:r w:rsidRPr="00493EAE">
        <w:rPr>
          <w:rFonts w:ascii="Arial" w:hAnsi="Arial" w:cs="Arial"/>
          <w:sz w:val="22"/>
          <w:szCs w:val="22"/>
        </w:rPr>
        <w:t xml:space="preserve">Zhu2021-fs, Tilgner2015-sb, Hatje2017-oj,Tilgner2018-jo} </w:t>
      </w:r>
    </w:p>
    <w:p w14:paraId="75403135" w14:textId="77777777" w:rsidR="00493EAE" w:rsidRPr="00493EAE" w:rsidRDefault="00493EAE" w:rsidP="00493EAE">
      <w:pPr>
        <w:rPr>
          <w:rFonts w:ascii="Arial" w:hAnsi="Arial" w:cs="Arial"/>
          <w:sz w:val="22"/>
          <w:szCs w:val="22"/>
        </w:rPr>
      </w:pPr>
      <w:r w:rsidRPr="00493EAE">
        <w:rPr>
          <w:rFonts w:ascii="Arial" w:hAnsi="Arial" w:cs="Arial"/>
          <w:sz w:val="22"/>
          <w:szCs w:val="22"/>
        </w:rPr>
        <w:t xml:space="preserve">A particularly interesting case of correlated splicing is mutually exclusive exons (MXEs). </w:t>
      </w:r>
    </w:p>
    <w:p w14:paraId="3AACC5A6" w14:textId="77777777" w:rsidR="00493EAE" w:rsidRPr="00493EAE" w:rsidRDefault="00493EAE" w:rsidP="00493EAE">
      <w:pPr>
        <w:rPr>
          <w:rFonts w:ascii="Arial" w:hAnsi="Arial" w:cs="Arial"/>
          <w:sz w:val="22"/>
          <w:szCs w:val="22"/>
        </w:rPr>
      </w:pPr>
      <w:r w:rsidRPr="00493EAE">
        <w:rPr>
          <w:rFonts w:ascii="Arial" w:hAnsi="Arial" w:cs="Arial"/>
          <w:sz w:val="22"/>
          <w:szCs w:val="22"/>
        </w:rPr>
        <w:lastRenderedPageBreak/>
        <w:t xml:space="preserve">MXEs are clusters of exons that are spliced such that every isoform includes exactly one exon from the cluster. </w:t>
      </w:r>
    </w:p>
    <w:p w14:paraId="112753D7" w14:textId="77777777" w:rsidR="00493EAE" w:rsidRPr="00493EAE" w:rsidRDefault="00493EAE" w:rsidP="00493EAE">
      <w:pPr>
        <w:rPr>
          <w:rFonts w:ascii="Arial" w:hAnsi="Arial" w:cs="Arial"/>
          <w:sz w:val="22"/>
          <w:szCs w:val="22"/>
        </w:rPr>
      </w:pPr>
      <w:r w:rsidRPr="00493EAE">
        <w:rPr>
          <w:rFonts w:ascii="Arial" w:hAnsi="Arial" w:cs="Arial"/>
          <w:sz w:val="22"/>
          <w:szCs w:val="22"/>
        </w:rPr>
        <w:t xml:space="preserve">A recent analysis of human RNA-seq data identified 629 MXE clusters, of </w:t>
      </w:r>
      <w:proofErr w:type="spellStart"/>
      <w:r w:rsidRPr="00493EAE">
        <w:rPr>
          <w:rFonts w:ascii="Arial" w:hAnsi="Arial" w:cs="Arial"/>
          <w:sz w:val="22"/>
          <w:szCs w:val="22"/>
        </w:rPr>
        <w:t>of</w:t>
      </w:r>
      <w:proofErr w:type="spellEnd"/>
      <w:r w:rsidRPr="00493EAE">
        <w:rPr>
          <w:rFonts w:ascii="Arial" w:hAnsi="Arial" w:cs="Arial"/>
          <w:sz w:val="22"/>
          <w:szCs w:val="22"/>
        </w:rPr>
        <w:t xml:space="preserve"> which less than 25\% had an identifiable mechanism for maintaining mutual exclusivity (MMX).\</w:t>
      </w:r>
      <w:proofErr w:type="spellStart"/>
      <w:proofErr w:type="gramStart"/>
      <w:r w:rsidRPr="00493EAE">
        <w:rPr>
          <w:rFonts w:ascii="Arial" w:hAnsi="Arial" w:cs="Arial"/>
          <w:sz w:val="22"/>
          <w:szCs w:val="22"/>
        </w:rPr>
        <w:t>supercite</w:t>
      </w:r>
      <w:proofErr w:type="spellEnd"/>
      <w:r w:rsidRPr="00493EAE">
        <w:rPr>
          <w:rFonts w:ascii="Arial" w:hAnsi="Arial" w:cs="Arial"/>
          <w:sz w:val="22"/>
          <w:szCs w:val="22"/>
        </w:rPr>
        <w:t>{</w:t>
      </w:r>
      <w:proofErr w:type="gramEnd"/>
      <w:r w:rsidRPr="00493EAE">
        <w:rPr>
          <w:rFonts w:ascii="Arial" w:hAnsi="Arial" w:cs="Arial"/>
          <w:sz w:val="22"/>
          <w:szCs w:val="22"/>
        </w:rPr>
        <w:t xml:space="preserve">Hatje2017-oj} </w:t>
      </w:r>
    </w:p>
    <w:p w14:paraId="2CC80D1D" w14:textId="77777777" w:rsidR="00493EAE" w:rsidRPr="00493EAE" w:rsidRDefault="00493EAE" w:rsidP="00493EAE">
      <w:pPr>
        <w:rPr>
          <w:rFonts w:ascii="Arial" w:hAnsi="Arial" w:cs="Arial"/>
          <w:sz w:val="22"/>
          <w:szCs w:val="22"/>
        </w:rPr>
      </w:pPr>
      <w:r w:rsidRPr="00493EAE">
        <w:rPr>
          <w:rFonts w:ascii="Arial" w:hAnsi="Arial" w:cs="Arial"/>
          <w:sz w:val="22"/>
          <w:szCs w:val="22"/>
        </w:rPr>
        <w:t>\</w:t>
      </w:r>
      <w:proofErr w:type="spellStart"/>
      <w:proofErr w:type="gramStart"/>
      <w:r w:rsidRPr="00493EAE">
        <w:rPr>
          <w:rFonts w:ascii="Arial" w:hAnsi="Arial" w:cs="Arial"/>
          <w:sz w:val="22"/>
          <w:szCs w:val="22"/>
        </w:rPr>
        <w:t>textbf</w:t>
      </w:r>
      <w:proofErr w:type="spellEnd"/>
      <w:r w:rsidRPr="00493EAE">
        <w:rPr>
          <w:rFonts w:ascii="Arial" w:hAnsi="Arial" w:cs="Arial"/>
          <w:sz w:val="22"/>
          <w:szCs w:val="22"/>
        </w:rPr>
        <w:t>{</w:t>
      </w:r>
      <w:proofErr w:type="gramEnd"/>
      <w:r w:rsidRPr="00493EAE">
        <w:rPr>
          <w:rFonts w:ascii="Arial" w:hAnsi="Arial" w:cs="Arial"/>
          <w:sz w:val="22"/>
          <w:szCs w:val="22"/>
        </w:rPr>
        <w:t xml:space="preserve">In order to overcome these issues, I propose to develop a long read massively parallel splicing assay (LR-MPSA) capable of handling correlated splicing, full size introns, and complicated isoform distributions.} </w:t>
      </w:r>
    </w:p>
    <w:p w14:paraId="6E5B0CB3" w14:textId="11ABD93F" w:rsidR="00EB5B39" w:rsidRDefault="00493EAE" w:rsidP="00493EAE">
      <w:pPr>
        <w:rPr>
          <w:rFonts w:ascii="Arial" w:hAnsi="Arial" w:cs="Arial"/>
          <w:sz w:val="22"/>
          <w:szCs w:val="22"/>
        </w:rPr>
      </w:pPr>
      <w:r w:rsidRPr="00493EAE">
        <w:rPr>
          <w:rFonts w:ascii="Arial" w:hAnsi="Arial" w:cs="Arial"/>
          <w:sz w:val="22"/>
          <w:szCs w:val="22"/>
        </w:rPr>
        <w:t>\</w:t>
      </w:r>
      <w:proofErr w:type="spellStart"/>
      <w:proofErr w:type="gramStart"/>
      <w:r w:rsidRPr="00493EAE">
        <w:rPr>
          <w:rFonts w:ascii="Arial" w:hAnsi="Arial" w:cs="Arial"/>
          <w:sz w:val="22"/>
          <w:szCs w:val="22"/>
        </w:rPr>
        <w:t>textbf</w:t>
      </w:r>
      <w:proofErr w:type="spellEnd"/>
      <w:r w:rsidRPr="00493EAE">
        <w:rPr>
          <w:rFonts w:ascii="Arial" w:hAnsi="Arial" w:cs="Arial"/>
          <w:sz w:val="22"/>
          <w:szCs w:val="22"/>
        </w:rPr>
        <w:t>{</w:t>
      </w:r>
      <w:proofErr w:type="gramEnd"/>
      <w:r w:rsidRPr="00493EAE">
        <w:rPr>
          <w:rFonts w:ascii="Arial" w:hAnsi="Arial" w:cs="Arial"/>
          <w:sz w:val="22"/>
          <w:szCs w:val="22"/>
        </w:rPr>
        <w:t>I will apply this assay to investigating MXEs with a focus on Pyruvate Kinase M (PKM).}</w:t>
      </w:r>
    </w:p>
    <w:p w14:paraId="31381334" w14:textId="77777777" w:rsidR="00EB5B39" w:rsidRDefault="00EB5B39">
      <w:pPr>
        <w:rPr>
          <w:rFonts w:ascii="Arial" w:hAnsi="Arial" w:cs="Arial"/>
          <w:sz w:val="22"/>
          <w:szCs w:val="22"/>
        </w:rPr>
      </w:pPr>
    </w:p>
    <w:p w14:paraId="35FAE58D" w14:textId="77777777" w:rsidR="00EB5B39" w:rsidRPr="00EB5B39" w:rsidRDefault="00EB5B39">
      <w:pPr>
        <w:rPr>
          <w:rFonts w:ascii="Arial" w:hAnsi="Arial" w:cs="Arial"/>
          <w:sz w:val="22"/>
          <w:szCs w:val="22"/>
        </w:rPr>
      </w:pPr>
    </w:p>
    <w:p w14:paraId="156CFC6E" w14:textId="02B3FA8A" w:rsidR="00EB5B39" w:rsidRDefault="00EB5B39">
      <w:pPr>
        <w:rPr>
          <w:rFonts w:ascii="Arial" w:hAnsi="Arial" w:cs="Arial"/>
          <w:b/>
          <w:bCs/>
          <w:sz w:val="22"/>
          <w:szCs w:val="22"/>
        </w:rPr>
      </w:pPr>
      <w:r>
        <w:rPr>
          <w:rFonts w:ascii="Arial" w:hAnsi="Arial" w:cs="Arial"/>
          <w:b/>
          <w:bCs/>
          <w:sz w:val="22"/>
          <w:szCs w:val="22"/>
        </w:rPr>
        <w:t>Approach</w:t>
      </w:r>
    </w:p>
    <w:p w14:paraId="7ECF7FBD" w14:textId="77777777" w:rsidR="00CA0D47" w:rsidRDefault="00CA0D47">
      <w:pPr>
        <w:rPr>
          <w:rFonts w:ascii="Arial" w:hAnsi="Arial" w:cs="Arial"/>
          <w:b/>
          <w:bCs/>
          <w:sz w:val="22"/>
          <w:szCs w:val="22"/>
        </w:rPr>
      </w:pPr>
    </w:p>
    <w:p w14:paraId="7350D1D3" w14:textId="72AA6CAB" w:rsidR="00DD3170"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DD3170">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DD3170">
        <w:rPr>
          <w:rFonts w:ascii="Arial" w:hAnsi="Arial" w:cs="Arial"/>
          <w:bCs/>
          <w:noProof/>
          <w:sz w:val="22"/>
          <w:szCs w:val="22"/>
        </w:rPr>
        <w:t>1.</w:t>
      </w:r>
      <w:r w:rsidR="00DD3170">
        <w:rPr>
          <w:rFonts w:ascii="Arial" w:hAnsi="Arial" w:cs="Arial"/>
          <w:bCs/>
          <w:noProof/>
          <w:sz w:val="22"/>
          <w:szCs w:val="22"/>
        </w:rPr>
        <w:tab/>
        <w:t xml:space="preserve">Wang, E. T. </w:t>
      </w:r>
      <w:r w:rsidR="00DD3170" w:rsidRPr="00DD3170">
        <w:rPr>
          <w:rFonts w:ascii="Arial" w:hAnsi="Arial" w:cs="Arial"/>
          <w:bCs/>
          <w:i/>
          <w:noProof/>
          <w:sz w:val="22"/>
          <w:szCs w:val="22"/>
        </w:rPr>
        <w:t>et al.</w:t>
      </w:r>
      <w:r w:rsidR="00DD3170">
        <w:rPr>
          <w:rFonts w:ascii="Arial" w:hAnsi="Arial" w:cs="Arial"/>
          <w:bCs/>
          <w:noProof/>
          <w:sz w:val="22"/>
          <w:szCs w:val="22"/>
        </w:rPr>
        <w:t xml:space="preserve"> Alternative isoform regulation in human tissue transcriptomes. </w:t>
      </w:r>
      <w:r w:rsidR="00DD3170" w:rsidRPr="00DD3170">
        <w:rPr>
          <w:rFonts w:ascii="Arial" w:hAnsi="Arial" w:cs="Arial"/>
          <w:bCs/>
          <w:i/>
          <w:noProof/>
          <w:sz w:val="22"/>
          <w:szCs w:val="22"/>
        </w:rPr>
        <w:t>Nature</w:t>
      </w:r>
      <w:r w:rsidR="00DD3170">
        <w:rPr>
          <w:rFonts w:ascii="Arial" w:hAnsi="Arial" w:cs="Arial"/>
          <w:bCs/>
          <w:noProof/>
          <w:sz w:val="22"/>
          <w:szCs w:val="22"/>
        </w:rPr>
        <w:t xml:space="preserve"> </w:t>
      </w:r>
      <w:r w:rsidR="00DD3170" w:rsidRPr="00DD3170">
        <w:rPr>
          <w:rFonts w:ascii="Arial" w:hAnsi="Arial" w:cs="Arial"/>
          <w:b/>
          <w:bCs/>
          <w:noProof/>
          <w:sz w:val="22"/>
          <w:szCs w:val="22"/>
        </w:rPr>
        <w:t>456</w:t>
      </w:r>
      <w:r w:rsidR="00DD3170">
        <w:rPr>
          <w:rFonts w:ascii="Arial" w:hAnsi="Arial" w:cs="Arial"/>
          <w:bCs/>
          <w:noProof/>
          <w:sz w:val="22"/>
          <w:szCs w:val="22"/>
        </w:rPr>
        <w:t>, 470–476 (2008).</w:t>
      </w:r>
    </w:p>
    <w:p w14:paraId="3BCF16CB"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DD3170">
        <w:rPr>
          <w:rFonts w:ascii="Arial" w:hAnsi="Arial" w:cs="Arial"/>
          <w:bCs/>
          <w:i/>
          <w:noProof/>
          <w:sz w:val="22"/>
          <w:szCs w:val="22"/>
        </w:rPr>
        <w:t>Nat. Rev. Genet.</w:t>
      </w:r>
      <w:r>
        <w:rPr>
          <w:rFonts w:ascii="Arial" w:hAnsi="Arial" w:cs="Arial"/>
          <w:bCs/>
          <w:noProof/>
          <w:sz w:val="22"/>
          <w:szCs w:val="22"/>
        </w:rPr>
        <w:t xml:space="preserve"> </w:t>
      </w:r>
      <w:r w:rsidRPr="00DD3170">
        <w:rPr>
          <w:rFonts w:ascii="Arial" w:hAnsi="Arial" w:cs="Arial"/>
          <w:b/>
          <w:bCs/>
          <w:noProof/>
          <w:sz w:val="22"/>
          <w:szCs w:val="22"/>
        </w:rPr>
        <w:t>17</w:t>
      </w:r>
      <w:r>
        <w:rPr>
          <w:rFonts w:ascii="Arial" w:hAnsi="Arial" w:cs="Arial"/>
          <w:bCs/>
          <w:noProof/>
          <w:sz w:val="22"/>
          <w:szCs w:val="22"/>
        </w:rPr>
        <w:t>, 19–32 (2015).</w:t>
      </w:r>
    </w:p>
    <w:p w14:paraId="0E3A3FB7"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DD3170">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DD3170">
        <w:rPr>
          <w:rFonts w:ascii="Arial" w:hAnsi="Arial" w:cs="Arial"/>
          <w:bCs/>
          <w:i/>
          <w:noProof/>
          <w:sz w:val="22"/>
          <w:szCs w:val="22"/>
        </w:rPr>
        <w:t>Trends Pharmacol. Sci.</w:t>
      </w:r>
      <w:r>
        <w:rPr>
          <w:rFonts w:ascii="Arial" w:hAnsi="Arial" w:cs="Arial"/>
          <w:bCs/>
          <w:noProof/>
          <w:sz w:val="22"/>
          <w:szCs w:val="22"/>
        </w:rPr>
        <w:t xml:space="preserve"> </w:t>
      </w:r>
      <w:r w:rsidRPr="00DD3170">
        <w:rPr>
          <w:rFonts w:ascii="Arial" w:hAnsi="Arial" w:cs="Arial"/>
          <w:b/>
          <w:bCs/>
          <w:noProof/>
          <w:sz w:val="22"/>
          <w:szCs w:val="22"/>
        </w:rPr>
        <w:t>43</w:t>
      </w:r>
      <w:r>
        <w:rPr>
          <w:rFonts w:ascii="Arial" w:hAnsi="Arial" w:cs="Arial"/>
          <w:bCs/>
          <w:noProof/>
          <w:sz w:val="22"/>
          <w:szCs w:val="22"/>
        </w:rPr>
        <w:t>, 437–454 (2022).</w:t>
      </w:r>
    </w:p>
    <w:p w14:paraId="1AE51F72"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DD3170">
        <w:rPr>
          <w:rFonts w:ascii="Arial" w:hAnsi="Arial" w:cs="Arial"/>
          <w:bCs/>
          <w:i/>
          <w:noProof/>
          <w:sz w:val="22"/>
          <w:szCs w:val="22"/>
        </w:rPr>
        <w:t>Wiley Interdiscip. Rev. RNA</w:t>
      </w:r>
      <w:r>
        <w:rPr>
          <w:rFonts w:ascii="Arial" w:hAnsi="Arial" w:cs="Arial"/>
          <w:bCs/>
          <w:noProof/>
          <w:sz w:val="22"/>
          <w:szCs w:val="22"/>
        </w:rPr>
        <w:t xml:space="preserve"> </w:t>
      </w:r>
      <w:r w:rsidRPr="00DD3170">
        <w:rPr>
          <w:rFonts w:ascii="Arial" w:hAnsi="Arial" w:cs="Arial"/>
          <w:b/>
          <w:bCs/>
          <w:noProof/>
          <w:sz w:val="22"/>
          <w:szCs w:val="22"/>
        </w:rPr>
        <w:t>9</w:t>
      </w:r>
      <w:r>
        <w:rPr>
          <w:rFonts w:ascii="Arial" w:hAnsi="Arial" w:cs="Arial"/>
          <w:bCs/>
          <w:noProof/>
          <w:sz w:val="22"/>
          <w:szCs w:val="22"/>
        </w:rPr>
        <w:t>, e1468 (2018).</w:t>
      </w:r>
    </w:p>
    <w:p w14:paraId="3A3DBDD5"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DD3170">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DD3170">
        <w:rPr>
          <w:rFonts w:ascii="Arial" w:hAnsi="Arial" w:cs="Arial"/>
          <w:bCs/>
          <w:i/>
          <w:noProof/>
          <w:sz w:val="22"/>
          <w:szCs w:val="22"/>
        </w:rPr>
        <w:t>Mol. Syst. Biol.</w:t>
      </w:r>
      <w:r>
        <w:rPr>
          <w:rFonts w:ascii="Arial" w:hAnsi="Arial" w:cs="Arial"/>
          <w:bCs/>
          <w:noProof/>
          <w:sz w:val="22"/>
          <w:szCs w:val="22"/>
        </w:rPr>
        <w:t xml:space="preserve"> </w:t>
      </w:r>
      <w:r w:rsidRPr="00DD3170">
        <w:rPr>
          <w:rFonts w:ascii="Arial" w:hAnsi="Arial" w:cs="Arial"/>
          <w:b/>
          <w:bCs/>
          <w:noProof/>
          <w:sz w:val="22"/>
          <w:szCs w:val="22"/>
        </w:rPr>
        <w:t>13</w:t>
      </w:r>
      <w:r>
        <w:rPr>
          <w:rFonts w:ascii="Arial" w:hAnsi="Arial" w:cs="Arial"/>
          <w:bCs/>
          <w:noProof/>
          <w:sz w:val="22"/>
          <w:szCs w:val="22"/>
        </w:rPr>
        <w:t>, 959 (2017).</w:t>
      </w:r>
    </w:p>
    <w:p w14:paraId="494F2C90"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DD3170">
        <w:rPr>
          <w:rFonts w:ascii="Arial" w:hAnsi="Arial" w:cs="Arial"/>
          <w:bCs/>
          <w:i/>
          <w:noProof/>
          <w:sz w:val="22"/>
          <w:szCs w:val="22"/>
        </w:rPr>
        <w:t>J. Biol. Chem.</w:t>
      </w:r>
      <w:r>
        <w:rPr>
          <w:rFonts w:ascii="Arial" w:hAnsi="Arial" w:cs="Arial"/>
          <w:bCs/>
          <w:noProof/>
          <w:sz w:val="22"/>
          <w:szCs w:val="22"/>
        </w:rPr>
        <w:t xml:space="preserve"> </w:t>
      </w:r>
      <w:r w:rsidRPr="00DD3170">
        <w:rPr>
          <w:rFonts w:ascii="Arial" w:hAnsi="Arial" w:cs="Arial"/>
          <w:b/>
          <w:bCs/>
          <w:noProof/>
          <w:sz w:val="22"/>
          <w:szCs w:val="22"/>
        </w:rPr>
        <w:t>261</w:t>
      </w:r>
      <w:r>
        <w:rPr>
          <w:rFonts w:ascii="Arial" w:hAnsi="Arial" w:cs="Arial"/>
          <w:bCs/>
          <w:noProof/>
          <w:sz w:val="22"/>
          <w:szCs w:val="22"/>
        </w:rPr>
        <w:t>, 13807–13812 (1986).</w:t>
      </w:r>
    </w:p>
    <w:p w14:paraId="69772CDF"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DD3170">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DD3170">
        <w:rPr>
          <w:rFonts w:ascii="Arial" w:hAnsi="Arial" w:cs="Arial"/>
          <w:bCs/>
          <w:i/>
          <w:noProof/>
          <w:sz w:val="22"/>
          <w:szCs w:val="22"/>
        </w:rPr>
        <w:t>Sci. Rep.</w:t>
      </w:r>
      <w:r>
        <w:rPr>
          <w:rFonts w:ascii="Arial" w:hAnsi="Arial" w:cs="Arial"/>
          <w:bCs/>
          <w:noProof/>
          <w:sz w:val="22"/>
          <w:szCs w:val="22"/>
        </w:rPr>
        <w:t xml:space="preserve"> </w:t>
      </w:r>
      <w:r w:rsidRPr="00DD3170">
        <w:rPr>
          <w:rFonts w:ascii="Arial" w:hAnsi="Arial" w:cs="Arial"/>
          <w:b/>
          <w:bCs/>
          <w:noProof/>
          <w:sz w:val="22"/>
          <w:szCs w:val="22"/>
        </w:rPr>
        <w:t>5</w:t>
      </w:r>
      <w:r>
        <w:rPr>
          <w:rFonts w:ascii="Arial" w:hAnsi="Arial" w:cs="Arial"/>
          <w:bCs/>
          <w:noProof/>
          <w:sz w:val="22"/>
          <w:szCs w:val="22"/>
        </w:rPr>
        <w:t>, 1–8 (2015).</w:t>
      </w:r>
    </w:p>
    <w:p w14:paraId="3443C25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DD3170">
        <w:rPr>
          <w:rFonts w:ascii="Arial" w:hAnsi="Arial" w:cs="Arial"/>
          <w:bCs/>
          <w:i/>
          <w:noProof/>
          <w:sz w:val="22"/>
          <w:szCs w:val="22"/>
        </w:rPr>
        <w:t>Semin. Cancer Biol.</w:t>
      </w:r>
      <w:r>
        <w:rPr>
          <w:rFonts w:ascii="Arial" w:hAnsi="Arial" w:cs="Arial"/>
          <w:bCs/>
          <w:noProof/>
          <w:sz w:val="22"/>
          <w:szCs w:val="22"/>
        </w:rPr>
        <w:t xml:space="preserve"> </w:t>
      </w:r>
      <w:r w:rsidRPr="00DD3170">
        <w:rPr>
          <w:rFonts w:ascii="Arial" w:hAnsi="Arial" w:cs="Arial"/>
          <w:b/>
          <w:bCs/>
          <w:noProof/>
          <w:sz w:val="22"/>
          <w:szCs w:val="22"/>
        </w:rPr>
        <w:t>15</w:t>
      </w:r>
      <w:r>
        <w:rPr>
          <w:rFonts w:ascii="Arial" w:hAnsi="Arial" w:cs="Arial"/>
          <w:bCs/>
          <w:noProof/>
          <w:sz w:val="22"/>
          <w:szCs w:val="22"/>
        </w:rPr>
        <w:t>, 300–308 (2005).</w:t>
      </w:r>
    </w:p>
    <w:p w14:paraId="40A3A36D"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DD3170">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DD3170">
        <w:rPr>
          <w:rFonts w:ascii="Arial" w:hAnsi="Arial" w:cs="Arial"/>
          <w:bCs/>
          <w:i/>
          <w:noProof/>
          <w:sz w:val="22"/>
          <w:szCs w:val="22"/>
        </w:rPr>
        <w:t>Nature</w:t>
      </w:r>
      <w:r>
        <w:rPr>
          <w:rFonts w:ascii="Arial" w:hAnsi="Arial" w:cs="Arial"/>
          <w:bCs/>
          <w:noProof/>
          <w:sz w:val="22"/>
          <w:szCs w:val="22"/>
        </w:rPr>
        <w:t xml:space="preserve"> </w:t>
      </w:r>
      <w:r w:rsidRPr="00DD3170">
        <w:rPr>
          <w:rFonts w:ascii="Arial" w:hAnsi="Arial" w:cs="Arial"/>
          <w:b/>
          <w:bCs/>
          <w:noProof/>
          <w:sz w:val="22"/>
          <w:szCs w:val="22"/>
        </w:rPr>
        <w:t>452</w:t>
      </w:r>
      <w:r>
        <w:rPr>
          <w:rFonts w:ascii="Arial" w:hAnsi="Arial" w:cs="Arial"/>
          <w:bCs/>
          <w:noProof/>
          <w:sz w:val="22"/>
          <w:szCs w:val="22"/>
        </w:rPr>
        <w:t>, 230–233 (2008).</w:t>
      </w:r>
    </w:p>
    <w:p w14:paraId="3D611F22"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10.</w:t>
      </w:r>
      <w:r>
        <w:rPr>
          <w:rFonts w:ascii="Arial" w:hAnsi="Arial" w:cs="Arial"/>
          <w:bCs/>
          <w:noProof/>
          <w:sz w:val="22"/>
          <w:szCs w:val="22"/>
        </w:rPr>
        <w:tab/>
        <w:t xml:space="preserve">Clower, C. V. </w:t>
      </w:r>
      <w:r w:rsidRPr="00DD3170">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DD3170">
        <w:rPr>
          <w:rFonts w:ascii="Arial" w:hAnsi="Arial" w:cs="Arial"/>
          <w:bCs/>
          <w:i/>
          <w:noProof/>
          <w:sz w:val="22"/>
          <w:szCs w:val="22"/>
        </w:rPr>
        <w:t>Proceedings of the National Academy of Sciences</w:t>
      </w:r>
      <w:r>
        <w:rPr>
          <w:rFonts w:ascii="Arial" w:hAnsi="Arial" w:cs="Arial"/>
          <w:bCs/>
          <w:noProof/>
          <w:sz w:val="22"/>
          <w:szCs w:val="22"/>
        </w:rPr>
        <w:t xml:space="preserve"> </w:t>
      </w:r>
      <w:r w:rsidRPr="00DD3170">
        <w:rPr>
          <w:rFonts w:ascii="Arial" w:hAnsi="Arial" w:cs="Arial"/>
          <w:b/>
          <w:bCs/>
          <w:noProof/>
          <w:sz w:val="22"/>
          <w:szCs w:val="22"/>
        </w:rPr>
        <w:t>107</w:t>
      </w:r>
      <w:r>
        <w:rPr>
          <w:rFonts w:ascii="Arial" w:hAnsi="Arial" w:cs="Arial"/>
          <w:bCs/>
          <w:noProof/>
          <w:sz w:val="22"/>
          <w:szCs w:val="22"/>
        </w:rPr>
        <w:t>, 1894–1899 (2010).</w:t>
      </w:r>
    </w:p>
    <w:p w14:paraId="5DEF7FB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DD3170">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DD3170">
        <w:rPr>
          <w:rFonts w:ascii="Arial" w:hAnsi="Arial" w:cs="Arial"/>
          <w:bCs/>
          <w:i/>
          <w:noProof/>
          <w:sz w:val="22"/>
          <w:szCs w:val="22"/>
        </w:rPr>
        <w:t>Structure</w:t>
      </w:r>
      <w:r>
        <w:rPr>
          <w:rFonts w:ascii="Arial" w:hAnsi="Arial" w:cs="Arial"/>
          <w:bCs/>
          <w:noProof/>
          <w:sz w:val="22"/>
          <w:szCs w:val="22"/>
        </w:rPr>
        <w:t xml:space="preserve"> </w:t>
      </w:r>
      <w:r w:rsidRPr="00DD3170">
        <w:rPr>
          <w:rFonts w:ascii="Arial" w:hAnsi="Arial" w:cs="Arial"/>
          <w:b/>
          <w:bCs/>
          <w:noProof/>
          <w:sz w:val="22"/>
          <w:szCs w:val="22"/>
        </w:rPr>
        <w:t>6</w:t>
      </w:r>
      <w:r>
        <w:rPr>
          <w:rFonts w:ascii="Arial" w:hAnsi="Arial" w:cs="Arial"/>
          <w:bCs/>
          <w:noProof/>
          <w:sz w:val="22"/>
          <w:szCs w:val="22"/>
        </w:rPr>
        <w:t>, 195–210 (1998).</w:t>
      </w:r>
    </w:p>
    <w:p w14:paraId="6E10921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DD3170">
        <w:rPr>
          <w:rFonts w:ascii="Arial" w:hAnsi="Arial" w:cs="Arial"/>
          <w:bCs/>
          <w:i/>
          <w:noProof/>
          <w:sz w:val="22"/>
          <w:szCs w:val="22"/>
        </w:rPr>
        <w:t>Mol. Cell</w:t>
      </w:r>
      <w:r>
        <w:rPr>
          <w:rFonts w:ascii="Arial" w:hAnsi="Arial" w:cs="Arial"/>
          <w:bCs/>
          <w:noProof/>
          <w:sz w:val="22"/>
          <w:szCs w:val="22"/>
        </w:rPr>
        <w:t xml:space="preserve"> </w:t>
      </w:r>
      <w:r w:rsidRPr="00DD3170">
        <w:rPr>
          <w:rFonts w:ascii="Arial" w:hAnsi="Arial" w:cs="Arial"/>
          <w:b/>
          <w:bCs/>
          <w:noProof/>
          <w:sz w:val="22"/>
          <w:szCs w:val="22"/>
        </w:rPr>
        <w:t>45</w:t>
      </w:r>
      <w:r>
        <w:rPr>
          <w:rFonts w:ascii="Arial" w:hAnsi="Arial" w:cs="Arial"/>
          <w:bCs/>
          <w:noProof/>
          <w:sz w:val="22"/>
          <w:szCs w:val="22"/>
        </w:rPr>
        <w:t>, 598–609 (2012).</w:t>
      </w:r>
    </w:p>
    <w:p w14:paraId="5DDCE0CD"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DD3170">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DD3170">
        <w:rPr>
          <w:rFonts w:ascii="Arial" w:hAnsi="Arial" w:cs="Arial"/>
          <w:bCs/>
          <w:i/>
          <w:noProof/>
          <w:sz w:val="22"/>
          <w:szCs w:val="22"/>
        </w:rPr>
        <w:t>Cell</w:t>
      </w:r>
      <w:r>
        <w:rPr>
          <w:rFonts w:ascii="Arial" w:hAnsi="Arial" w:cs="Arial"/>
          <w:bCs/>
          <w:noProof/>
          <w:sz w:val="22"/>
          <w:szCs w:val="22"/>
        </w:rPr>
        <w:t xml:space="preserve"> </w:t>
      </w:r>
      <w:r w:rsidRPr="00DD3170">
        <w:rPr>
          <w:rFonts w:ascii="Arial" w:hAnsi="Arial" w:cs="Arial"/>
          <w:b/>
          <w:bCs/>
          <w:noProof/>
          <w:sz w:val="22"/>
          <w:szCs w:val="22"/>
        </w:rPr>
        <w:t>145</w:t>
      </w:r>
      <w:r>
        <w:rPr>
          <w:rFonts w:ascii="Arial" w:hAnsi="Arial" w:cs="Arial"/>
          <w:bCs/>
          <w:noProof/>
          <w:sz w:val="22"/>
          <w:szCs w:val="22"/>
        </w:rPr>
        <w:t>, 732–744 (2011).</w:t>
      </w:r>
    </w:p>
    <w:p w14:paraId="581C5970"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DD3170">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DD3170">
        <w:rPr>
          <w:rFonts w:ascii="Arial" w:hAnsi="Arial" w:cs="Arial"/>
          <w:bCs/>
          <w:i/>
          <w:noProof/>
          <w:sz w:val="22"/>
          <w:szCs w:val="22"/>
        </w:rPr>
        <w:t>Nature</w:t>
      </w:r>
      <w:r>
        <w:rPr>
          <w:rFonts w:ascii="Arial" w:hAnsi="Arial" w:cs="Arial"/>
          <w:bCs/>
          <w:noProof/>
          <w:sz w:val="22"/>
          <w:szCs w:val="22"/>
        </w:rPr>
        <w:t xml:space="preserve"> </w:t>
      </w:r>
      <w:r w:rsidRPr="00DD3170">
        <w:rPr>
          <w:rFonts w:ascii="Arial" w:hAnsi="Arial" w:cs="Arial"/>
          <w:b/>
          <w:bCs/>
          <w:noProof/>
          <w:sz w:val="22"/>
          <w:szCs w:val="22"/>
        </w:rPr>
        <w:t>480</w:t>
      </w:r>
      <w:r>
        <w:rPr>
          <w:rFonts w:ascii="Arial" w:hAnsi="Arial" w:cs="Arial"/>
          <w:bCs/>
          <w:noProof/>
          <w:sz w:val="22"/>
          <w:szCs w:val="22"/>
        </w:rPr>
        <w:t>, 118–122 (2011).</w:t>
      </w:r>
    </w:p>
    <w:p w14:paraId="66CBE94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Ma, W. K. </w:t>
      </w:r>
      <w:r w:rsidRPr="00DD3170">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DD3170">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3864355C"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DD3170">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DD3170">
        <w:rPr>
          <w:rFonts w:ascii="Arial" w:hAnsi="Arial" w:cs="Arial"/>
          <w:bCs/>
          <w:i/>
          <w:noProof/>
          <w:sz w:val="22"/>
          <w:szCs w:val="22"/>
        </w:rPr>
        <w:t>Cell Metab.</w:t>
      </w:r>
      <w:r>
        <w:rPr>
          <w:rFonts w:ascii="Arial" w:hAnsi="Arial" w:cs="Arial"/>
          <w:bCs/>
          <w:noProof/>
          <w:sz w:val="22"/>
          <w:szCs w:val="22"/>
        </w:rPr>
        <w:t xml:space="preserve"> </w:t>
      </w:r>
      <w:r w:rsidRPr="00DD3170">
        <w:rPr>
          <w:rFonts w:ascii="Arial" w:hAnsi="Arial" w:cs="Arial"/>
          <w:b/>
          <w:bCs/>
          <w:noProof/>
          <w:sz w:val="22"/>
          <w:szCs w:val="22"/>
        </w:rPr>
        <w:t>34</w:t>
      </w:r>
      <w:r>
        <w:rPr>
          <w:rFonts w:ascii="Arial" w:hAnsi="Arial" w:cs="Arial"/>
          <w:bCs/>
          <w:noProof/>
          <w:sz w:val="22"/>
          <w:szCs w:val="22"/>
        </w:rPr>
        <w:t>, 1248-1263.e6 (2022).</w:t>
      </w:r>
    </w:p>
    <w:p w14:paraId="34B370CA"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DD3170">
        <w:rPr>
          <w:rFonts w:ascii="Arial" w:hAnsi="Arial" w:cs="Arial"/>
          <w:bCs/>
          <w:i/>
          <w:noProof/>
          <w:sz w:val="22"/>
          <w:szCs w:val="22"/>
        </w:rPr>
        <w:t>Front. Immunol.</w:t>
      </w:r>
      <w:r>
        <w:rPr>
          <w:rFonts w:ascii="Arial" w:hAnsi="Arial" w:cs="Arial"/>
          <w:bCs/>
          <w:noProof/>
          <w:sz w:val="22"/>
          <w:szCs w:val="22"/>
        </w:rPr>
        <w:t xml:space="preserve"> </w:t>
      </w:r>
      <w:r w:rsidRPr="00DD3170">
        <w:rPr>
          <w:rFonts w:ascii="Arial" w:hAnsi="Arial" w:cs="Arial"/>
          <w:b/>
          <w:bCs/>
          <w:noProof/>
          <w:sz w:val="22"/>
          <w:szCs w:val="22"/>
        </w:rPr>
        <w:t>13</w:t>
      </w:r>
      <w:r>
        <w:rPr>
          <w:rFonts w:ascii="Arial" w:hAnsi="Arial" w:cs="Arial"/>
          <w:bCs/>
          <w:noProof/>
          <w:sz w:val="22"/>
          <w:szCs w:val="22"/>
        </w:rPr>
        <w:t>, 936967 (2022).</w:t>
      </w:r>
    </w:p>
    <w:p w14:paraId="748F922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DD3170">
        <w:rPr>
          <w:rFonts w:ascii="Arial" w:hAnsi="Arial" w:cs="Arial"/>
          <w:bCs/>
          <w:i/>
          <w:noProof/>
          <w:sz w:val="22"/>
          <w:szCs w:val="22"/>
        </w:rPr>
        <w:t>Br. Med. J.</w:t>
      </w:r>
      <w:r>
        <w:rPr>
          <w:rFonts w:ascii="Arial" w:hAnsi="Arial" w:cs="Arial"/>
          <w:bCs/>
          <w:noProof/>
          <w:sz w:val="22"/>
          <w:szCs w:val="22"/>
        </w:rPr>
        <w:t xml:space="preserve"> </w:t>
      </w:r>
      <w:r w:rsidRPr="00DD3170">
        <w:rPr>
          <w:rFonts w:ascii="Arial" w:hAnsi="Arial" w:cs="Arial"/>
          <w:b/>
          <w:bCs/>
          <w:noProof/>
          <w:sz w:val="22"/>
          <w:szCs w:val="22"/>
        </w:rPr>
        <w:t>1</w:t>
      </w:r>
      <w:r>
        <w:rPr>
          <w:rFonts w:ascii="Arial" w:hAnsi="Arial" w:cs="Arial"/>
          <w:bCs/>
          <w:noProof/>
          <w:sz w:val="22"/>
          <w:szCs w:val="22"/>
        </w:rPr>
        <w:t>, 742–745 (1976).</w:t>
      </w:r>
    </w:p>
    <w:p w14:paraId="55F941DC"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DD3170">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DD3170">
        <w:rPr>
          <w:rFonts w:ascii="Arial" w:hAnsi="Arial" w:cs="Arial"/>
          <w:bCs/>
          <w:i/>
          <w:noProof/>
          <w:sz w:val="22"/>
          <w:szCs w:val="22"/>
        </w:rPr>
        <w:t>Dig. Dis. Sci.</w:t>
      </w:r>
      <w:r>
        <w:rPr>
          <w:rFonts w:ascii="Arial" w:hAnsi="Arial" w:cs="Arial"/>
          <w:bCs/>
          <w:noProof/>
          <w:sz w:val="22"/>
          <w:szCs w:val="22"/>
        </w:rPr>
        <w:t xml:space="preserve"> </w:t>
      </w:r>
      <w:r w:rsidRPr="00DD3170">
        <w:rPr>
          <w:rFonts w:ascii="Arial" w:hAnsi="Arial" w:cs="Arial"/>
          <w:b/>
          <w:bCs/>
          <w:noProof/>
          <w:sz w:val="22"/>
          <w:szCs w:val="22"/>
        </w:rPr>
        <w:t>60</w:t>
      </w:r>
      <w:r>
        <w:rPr>
          <w:rFonts w:ascii="Arial" w:hAnsi="Arial" w:cs="Arial"/>
          <w:bCs/>
          <w:noProof/>
          <w:sz w:val="22"/>
          <w:szCs w:val="22"/>
        </w:rPr>
        <w:t>, 393–404 (2015).</w:t>
      </w:r>
    </w:p>
    <w:p w14:paraId="7C72C689"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DD3170">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075AE6EF"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DD3170">
        <w:rPr>
          <w:rFonts w:ascii="Arial" w:hAnsi="Arial" w:cs="Arial"/>
          <w:bCs/>
          <w:i/>
          <w:noProof/>
          <w:sz w:val="22"/>
          <w:szCs w:val="22"/>
        </w:rPr>
        <w:t>Nature</w:t>
      </w:r>
      <w:r>
        <w:rPr>
          <w:rFonts w:ascii="Arial" w:hAnsi="Arial" w:cs="Arial"/>
          <w:bCs/>
          <w:noProof/>
          <w:sz w:val="22"/>
          <w:szCs w:val="22"/>
        </w:rPr>
        <w:t xml:space="preserve"> </w:t>
      </w:r>
      <w:r w:rsidRPr="00DD3170">
        <w:rPr>
          <w:rFonts w:ascii="Arial" w:hAnsi="Arial" w:cs="Arial"/>
          <w:b/>
          <w:bCs/>
          <w:noProof/>
          <w:sz w:val="22"/>
          <w:szCs w:val="22"/>
        </w:rPr>
        <w:t>463</w:t>
      </w:r>
      <w:r>
        <w:rPr>
          <w:rFonts w:ascii="Arial" w:hAnsi="Arial" w:cs="Arial"/>
          <w:bCs/>
          <w:noProof/>
          <w:sz w:val="22"/>
          <w:szCs w:val="22"/>
        </w:rPr>
        <w:t>, 364–368 (2010).</w:t>
      </w:r>
    </w:p>
    <w:p w14:paraId="3DDF8EBF"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DD3170">
        <w:rPr>
          <w:rFonts w:ascii="Arial" w:hAnsi="Arial" w:cs="Arial"/>
          <w:bCs/>
          <w:i/>
          <w:noProof/>
          <w:sz w:val="22"/>
          <w:szCs w:val="22"/>
        </w:rPr>
        <w:t>Open Biol.</w:t>
      </w:r>
      <w:r>
        <w:rPr>
          <w:rFonts w:ascii="Arial" w:hAnsi="Arial" w:cs="Arial"/>
          <w:bCs/>
          <w:noProof/>
          <w:sz w:val="22"/>
          <w:szCs w:val="22"/>
        </w:rPr>
        <w:t xml:space="preserve"> </w:t>
      </w:r>
      <w:r w:rsidRPr="00DD3170">
        <w:rPr>
          <w:rFonts w:ascii="Arial" w:hAnsi="Arial" w:cs="Arial"/>
          <w:b/>
          <w:bCs/>
          <w:noProof/>
          <w:sz w:val="22"/>
          <w:szCs w:val="22"/>
        </w:rPr>
        <w:t>2</w:t>
      </w:r>
      <w:r>
        <w:rPr>
          <w:rFonts w:ascii="Arial" w:hAnsi="Arial" w:cs="Arial"/>
          <w:bCs/>
          <w:noProof/>
          <w:sz w:val="22"/>
          <w:szCs w:val="22"/>
        </w:rPr>
        <w:t>, 120133 (2012).</w:t>
      </w:r>
    </w:p>
    <w:p w14:paraId="335F16E8"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DD3170">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DD3170">
        <w:rPr>
          <w:rFonts w:ascii="Arial" w:hAnsi="Arial" w:cs="Arial"/>
          <w:bCs/>
          <w:i/>
          <w:noProof/>
          <w:sz w:val="22"/>
          <w:szCs w:val="22"/>
        </w:rPr>
        <w:t>Journal of molecular</w:t>
      </w:r>
      <w:r>
        <w:rPr>
          <w:rFonts w:ascii="Arial" w:hAnsi="Arial" w:cs="Arial"/>
          <w:bCs/>
          <w:noProof/>
          <w:sz w:val="22"/>
          <w:szCs w:val="22"/>
        </w:rPr>
        <w:t xml:space="preserve"> (2012).</w:t>
      </w:r>
    </w:p>
    <w:p w14:paraId="6DCD80BA"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DD3170">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DD3170">
        <w:rPr>
          <w:rFonts w:ascii="Arial" w:hAnsi="Arial" w:cs="Arial"/>
          <w:bCs/>
          <w:i/>
          <w:noProof/>
          <w:sz w:val="22"/>
          <w:szCs w:val="22"/>
        </w:rPr>
        <w:t>Genome Res.</w:t>
      </w:r>
      <w:r>
        <w:rPr>
          <w:rFonts w:ascii="Arial" w:hAnsi="Arial" w:cs="Arial"/>
          <w:bCs/>
          <w:noProof/>
          <w:sz w:val="22"/>
          <w:szCs w:val="22"/>
        </w:rPr>
        <w:t xml:space="preserve"> </w:t>
      </w:r>
      <w:r w:rsidRPr="00DD3170">
        <w:rPr>
          <w:rFonts w:ascii="Arial" w:hAnsi="Arial" w:cs="Arial"/>
          <w:b/>
          <w:bCs/>
          <w:noProof/>
          <w:sz w:val="22"/>
          <w:szCs w:val="22"/>
        </w:rPr>
        <w:t>28</w:t>
      </w:r>
      <w:r>
        <w:rPr>
          <w:rFonts w:ascii="Arial" w:hAnsi="Arial" w:cs="Arial"/>
          <w:bCs/>
          <w:noProof/>
          <w:sz w:val="22"/>
          <w:szCs w:val="22"/>
        </w:rPr>
        <w:t>, 11–24 (2018).</w:t>
      </w:r>
    </w:p>
    <w:p w14:paraId="74F4A355"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DD3170">
        <w:rPr>
          <w:rFonts w:ascii="Arial" w:hAnsi="Arial" w:cs="Arial"/>
          <w:bCs/>
          <w:i/>
          <w:noProof/>
          <w:sz w:val="22"/>
          <w:szCs w:val="22"/>
        </w:rPr>
        <w:t>Nat. Commun.</w:t>
      </w:r>
      <w:r>
        <w:rPr>
          <w:rFonts w:ascii="Arial" w:hAnsi="Arial" w:cs="Arial"/>
          <w:bCs/>
          <w:noProof/>
          <w:sz w:val="22"/>
          <w:szCs w:val="22"/>
        </w:rPr>
        <w:t xml:space="preserve"> </w:t>
      </w:r>
      <w:r w:rsidRPr="00DD3170">
        <w:rPr>
          <w:rFonts w:ascii="Arial" w:hAnsi="Arial" w:cs="Arial"/>
          <w:b/>
          <w:bCs/>
          <w:noProof/>
          <w:sz w:val="22"/>
          <w:szCs w:val="22"/>
        </w:rPr>
        <w:t>7</w:t>
      </w:r>
      <w:r>
        <w:rPr>
          <w:rFonts w:ascii="Arial" w:hAnsi="Arial" w:cs="Arial"/>
          <w:bCs/>
          <w:noProof/>
          <w:sz w:val="22"/>
          <w:szCs w:val="22"/>
        </w:rPr>
        <w:t>, 1–8 (2016).</w:t>
      </w:r>
    </w:p>
    <w:p w14:paraId="3CEF4C6C"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DD3170">
        <w:rPr>
          <w:rFonts w:ascii="Arial" w:hAnsi="Arial" w:cs="Arial"/>
          <w:bCs/>
          <w:i/>
          <w:noProof/>
          <w:sz w:val="22"/>
          <w:szCs w:val="22"/>
        </w:rPr>
        <w:t>Genome Biol.</w:t>
      </w:r>
      <w:r>
        <w:rPr>
          <w:rFonts w:ascii="Arial" w:hAnsi="Arial" w:cs="Arial"/>
          <w:bCs/>
          <w:noProof/>
          <w:sz w:val="22"/>
          <w:szCs w:val="22"/>
        </w:rPr>
        <w:t xml:space="preserve"> </w:t>
      </w:r>
      <w:r w:rsidRPr="00DD3170">
        <w:rPr>
          <w:rFonts w:ascii="Arial" w:hAnsi="Arial" w:cs="Arial"/>
          <w:b/>
          <w:bCs/>
          <w:noProof/>
          <w:sz w:val="22"/>
          <w:szCs w:val="22"/>
        </w:rPr>
        <w:t>19</w:t>
      </w:r>
      <w:r>
        <w:rPr>
          <w:rFonts w:ascii="Arial" w:hAnsi="Arial" w:cs="Arial"/>
          <w:bCs/>
          <w:noProof/>
          <w:sz w:val="22"/>
          <w:szCs w:val="22"/>
        </w:rPr>
        <w:t>, 71 (2018).</w:t>
      </w:r>
    </w:p>
    <w:p w14:paraId="7248F5AF"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DD3170">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DD3170">
        <w:rPr>
          <w:rFonts w:ascii="Arial" w:hAnsi="Arial" w:cs="Arial"/>
          <w:bCs/>
          <w:i/>
          <w:noProof/>
          <w:sz w:val="22"/>
          <w:szCs w:val="22"/>
        </w:rPr>
        <w:t>Nat. Genet.</w:t>
      </w:r>
      <w:r>
        <w:rPr>
          <w:rFonts w:ascii="Arial" w:hAnsi="Arial" w:cs="Arial"/>
          <w:bCs/>
          <w:noProof/>
          <w:sz w:val="22"/>
          <w:szCs w:val="22"/>
        </w:rPr>
        <w:t xml:space="preserve"> </w:t>
      </w:r>
      <w:r w:rsidRPr="00DD3170">
        <w:rPr>
          <w:rFonts w:ascii="Arial" w:hAnsi="Arial" w:cs="Arial"/>
          <w:b/>
          <w:bCs/>
          <w:noProof/>
          <w:sz w:val="22"/>
          <w:szCs w:val="22"/>
        </w:rPr>
        <w:t>49</w:t>
      </w:r>
      <w:r>
        <w:rPr>
          <w:rFonts w:ascii="Arial" w:hAnsi="Arial" w:cs="Arial"/>
          <w:bCs/>
          <w:noProof/>
          <w:sz w:val="22"/>
          <w:szCs w:val="22"/>
        </w:rPr>
        <w:t>, 848–855 (2017).</w:t>
      </w:r>
    </w:p>
    <w:p w14:paraId="2C26CBC5"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DD3170">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DD3170">
        <w:rPr>
          <w:rFonts w:ascii="Arial" w:hAnsi="Arial" w:cs="Arial"/>
          <w:bCs/>
          <w:i/>
          <w:noProof/>
          <w:sz w:val="22"/>
          <w:szCs w:val="22"/>
        </w:rPr>
        <w:t>Nat. Commun.</w:t>
      </w:r>
      <w:r>
        <w:rPr>
          <w:rFonts w:ascii="Arial" w:hAnsi="Arial" w:cs="Arial"/>
          <w:bCs/>
          <w:noProof/>
          <w:sz w:val="22"/>
          <w:szCs w:val="22"/>
        </w:rPr>
        <w:t xml:space="preserve"> </w:t>
      </w:r>
      <w:r w:rsidRPr="00DD3170">
        <w:rPr>
          <w:rFonts w:ascii="Arial" w:hAnsi="Arial" w:cs="Arial"/>
          <w:b/>
          <w:bCs/>
          <w:noProof/>
          <w:sz w:val="22"/>
          <w:szCs w:val="22"/>
        </w:rPr>
        <w:t>13</w:t>
      </w:r>
      <w:r>
        <w:rPr>
          <w:rFonts w:ascii="Arial" w:hAnsi="Arial" w:cs="Arial"/>
          <w:bCs/>
          <w:noProof/>
          <w:sz w:val="22"/>
          <w:szCs w:val="22"/>
        </w:rPr>
        <w:t>, 1–17 (2022).</w:t>
      </w:r>
    </w:p>
    <w:p w14:paraId="5775C044"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DD3170">
        <w:rPr>
          <w:rFonts w:ascii="Arial" w:hAnsi="Arial" w:cs="Arial"/>
          <w:bCs/>
          <w:i/>
          <w:noProof/>
          <w:sz w:val="22"/>
          <w:szCs w:val="22"/>
        </w:rPr>
        <w:t>PLoS Genet.</w:t>
      </w:r>
      <w:r>
        <w:rPr>
          <w:rFonts w:ascii="Arial" w:hAnsi="Arial" w:cs="Arial"/>
          <w:bCs/>
          <w:noProof/>
          <w:sz w:val="22"/>
          <w:szCs w:val="22"/>
        </w:rPr>
        <w:t xml:space="preserve"> </w:t>
      </w:r>
      <w:r w:rsidRPr="00DD3170">
        <w:rPr>
          <w:rFonts w:ascii="Arial" w:hAnsi="Arial" w:cs="Arial"/>
          <w:b/>
          <w:bCs/>
          <w:noProof/>
          <w:sz w:val="22"/>
          <w:szCs w:val="22"/>
        </w:rPr>
        <w:t>17</w:t>
      </w:r>
      <w:r>
        <w:rPr>
          <w:rFonts w:ascii="Arial" w:hAnsi="Arial" w:cs="Arial"/>
          <w:bCs/>
          <w:noProof/>
          <w:sz w:val="22"/>
          <w:szCs w:val="22"/>
        </w:rPr>
        <w:t>, e1009805 (2021).</w:t>
      </w:r>
    </w:p>
    <w:p w14:paraId="11BA6902"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DD3170">
        <w:rPr>
          <w:rFonts w:ascii="Arial" w:hAnsi="Arial" w:cs="Arial"/>
          <w:bCs/>
          <w:i/>
          <w:noProof/>
          <w:sz w:val="22"/>
          <w:szCs w:val="22"/>
        </w:rPr>
        <w:t>Nat. Commun.</w:t>
      </w:r>
      <w:r>
        <w:rPr>
          <w:rFonts w:ascii="Arial" w:hAnsi="Arial" w:cs="Arial"/>
          <w:bCs/>
          <w:noProof/>
          <w:sz w:val="22"/>
          <w:szCs w:val="22"/>
        </w:rPr>
        <w:t xml:space="preserve"> </w:t>
      </w:r>
      <w:r w:rsidRPr="00DD3170">
        <w:rPr>
          <w:rFonts w:ascii="Arial" w:hAnsi="Arial" w:cs="Arial"/>
          <w:b/>
          <w:bCs/>
          <w:noProof/>
          <w:sz w:val="22"/>
          <w:szCs w:val="22"/>
        </w:rPr>
        <w:t>10</w:t>
      </w:r>
      <w:r>
        <w:rPr>
          <w:rFonts w:ascii="Arial" w:hAnsi="Arial" w:cs="Arial"/>
          <w:bCs/>
          <w:noProof/>
          <w:sz w:val="22"/>
          <w:szCs w:val="22"/>
        </w:rPr>
        <w:t>, 1–14 (2019).</w:t>
      </w:r>
    </w:p>
    <w:p w14:paraId="428EC0F2"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DD3170">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DD3170">
        <w:rPr>
          <w:rFonts w:ascii="Arial" w:hAnsi="Arial" w:cs="Arial"/>
          <w:bCs/>
          <w:i/>
          <w:noProof/>
          <w:sz w:val="22"/>
          <w:szCs w:val="22"/>
        </w:rPr>
        <w:t>Nat. Commun.</w:t>
      </w:r>
      <w:r>
        <w:rPr>
          <w:rFonts w:ascii="Arial" w:hAnsi="Arial" w:cs="Arial"/>
          <w:bCs/>
          <w:noProof/>
          <w:sz w:val="22"/>
          <w:szCs w:val="22"/>
        </w:rPr>
        <w:t xml:space="preserve"> </w:t>
      </w:r>
      <w:r w:rsidRPr="00DD3170">
        <w:rPr>
          <w:rFonts w:ascii="Arial" w:hAnsi="Arial" w:cs="Arial"/>
          <w:b/>
          <w:bCs/>
          <w:noProof/>
          <w:sz w:val="22"/>
          <w:szCs w:val="22"/>
        </w:rPr>
        <w:t>9</w:t>
      </w:r>
      <w:r>
        <w:rPr>
          <w:rFonts w:ascii="Arial" w:hAnsi="Arial" w:cs="Arial"/>
          <w:bCs/>
          <w:noProof/>
          <w:sz w:val="22"/>
          <w:szCs w:val="22"/>
        </w:rPr>
        <w:t>, 1–18 (2018).</w:t>
      </w:r>
    </w:p>
    <w:p w14:paraId="0CF7D888"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32.</w:t>
      </w:r>
      <w:r>
        <w:rPr>
          <w:rFonts w:ascii="Arial" w:hAnsi="Arial" w:cs="Arial"/>
          <w:bCs/>
          <w:noProof/>
          <w:sz w:val="22"/>
          <w:szCs w:val="22"/>
        </w:rPr>
        <w:tab/>
        <w:t xml:space="preserve">Souček, P. </w:t>
      </w:r>
      <w:r w:rsidRPr="00DD3170">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DD3170">
        <w:rPr>
          <w:rFonts w:ascii="Arial" w:hAnsi="Arial" w:cs="Arial"/>
          <w:bCs/>
          <w:i/>
          <w:noProof/>
          <w:sz w:val="22"/>
          <w:szCs w:val="22"/>
        </w:rPr>
        <w:t>RNA Biol.</w:t>
      </w:r>
      <w:r>
        <w:rPr>
          <w:rFonts w:ascii="Arial" w:hAnsi="Arial" w:cs="Arial"/>
          <w:bCs/>
          <w:noProof/>
          <w:sz w:val="22"/>
          <w:szCs w:val="22"/>
        </w:rPr>
        <w:t xml:space="preserve"> </w:t>
      </w:r>
      <w:r w:rsidRPr="00DD3170">
        <w:rPr>
          <w:rFonts w:ascii="Arial" w:hAnsi="Arial" w:cs="Arial"/>
          <w:b/>
          <w:bCs/>
          <w:noProof/>
          <w:sz w:val="22"/>
          <w:szCs w:val="22"/>
        </w:rPr>
        <w:t>16</w:t>
      </w:r>
      <w:r>
        <w:rPr>
          <w:rFonts w:ascii="Arial" w:hAnsi="Arial" w:cs="Arial"/>
          <w:bCs/>
          <w:noProof/>
          <w:sz w:val="22"/>
          <w:szCs w:val="22"/>
        </w:rPr>
        <w:t>, 1364–1376 (2019).</w:t>
      </w:r>
    </w:p>
    <w:p w14:paraId="33354981"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DD3170">
        <w:rPr>
          <w:rFonts w:ascii="Arial" w:hAnsi="Arial" w:cs="Arial"/>
          <w:bCs/>
          <w:i/>
          <w:noProof/>
          <w:sz w:val="22"/>
          <w:szCs w:val="22"/>
        </w:rPr>
        <w:t>Elife</w:t>
      </w:r>
      <w:r>
        <w:rPr>
          <w:rFonts w:ascii="Arial" w:hAnsi="Arial" w:cs="Arial"/>
          <w:bCs/>
          <w:noProof/>
          <w:sz w:val="22"/>
          <w:szCs w:val="22"/>
        </w:rPr>
        <w:t xml:space="preserve"> </w:t>
      </w:r>
      <w:r w:rsidRPr="00DD3170">
        <w:rPr>
          <w:rFonts w:ascii="Arial" w:hAnsi="Arial" w:cs="Arial"/>
          <w:b/>
          <w:bCs/>
          <w:noProof/>
          <w:sz w:val="22"/>
          <w:szCs w:val="22"/>
        </w:rPr>
        <w:t>9</w:t>
      </w:r>
      <w:r>
        <w:rPr>
          <w:rFonts w:ascii="Arial" w:hAnsi="Arial" w:cs="Arial"/>
          <w:bCs/>
          <w:noProof/>
          <w:sz w:val="22"/>
          <w:szCs w:val="22"/>
        </w:rPr>
        <w:t>, (2020).</w:t>
      </w:r>
    </w:p>
    <w:p w14:paraId="038F31FE"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DD3170">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DD3170">
        <w:rPr>
          <w:rFonts w:ascii="Arial" w:hAnsi="Arial" w:cs="Arial"/>
          <w:bCs/>
          <w:i/>
          <w:noProof/>
          <w:sz w:val="22"/>
          <w:szCs w:val="22"/>
        </w:rPr>
        <w:t>Mol. Cell</w:t>
      </w:r>
      <w:r>
        <w:rPr>
          <w:rFonts w:ascii="Arial" w:hAnsi="Arial" w:cs="Arial"/>
          <w:bCs/>
          <w:noProof/>
          <w:sz w:val="22"/>
          <w:szCs w:val="22"/>
        </w:rPr>
        <w:t xml:space="preserve"> </w:t>
      </w:r>
      <w:r w:rsidRPr="00DD3170">
        <w:rPr>
          <w:rFonts w:ascii="Arial" w:hAnsi="Arial" w:cs="Arial"/>
          <w:b/>
          <w:bCs/>
          <w:noProof/>
          <w:sz w:val="22"/>
          <w:szCs w:val="22"/>
        </w:rPr>
        <w:t>73</w:t>
      </w:r>
      <w:r>
        <w:rPr>
          <w:rFonts w:ascii="Arial" w:hAnsi="Arial" w:cs="Arial"/>
          <w:bCs/>
          <w:noProof/>
          <w:sz w:val="22"/>
          <w:szCs w:val="22"/>
        </w:rPr>
        <w:t>, 183-194.e8 (2019).</w:t>
      </w:r>
    </w:p>
    <w:p w14:paraId="7D717A90"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DD3170">
        <w:rPr>
          <w:rFonts w:ascii="Arial" w:hAnsi="Arial" w:cs="Arial"/>
          <w:bCs/>
          <w:i/>
          <w:noProof/>
          <w:sz w:val="22"/>
          <w:szCs w:val="22"/>
        </w:rPr>
        <w:t>Cell</w:t>
      </w:r>
      <w:r>
        <w:rPr>
          <w:rFonts w:ascii="Arial" w:hAnsi="Arial" w:cs="Arial"/>
          <w:bCs/>
          <w:noProof/>
          <w:sz w:val="22"/>
          <w:szCs w:val="22"/>
        </w:rPr>
        <w:t xml:space="preserve"> </w:t>
      </w:r>
      <w:r w:rsidRPr="00DD3170">
        <w:rPr>
          <w:rFonts w:ascii="Arial" w:hAnsi="Arial" w:cs="Arial"/>
          <w:b/>
          <w:bCs/>
          <w:noProof/>
          <w:sz w:val="22"/>
          <w:szCs w:val="22"/>
        </w:rPr>
        <w:t>176</w:t>
      </w:r>
      <w:r>
        <w:rPr>
          <w:rFonts w:ascii="Arial" w:hAnsi="Arial" w:cs="Arial"/>
          <w:bCs/>
          <w:noProof/>
          <w:sz w:val="22"/>
          <w:szCs w:val="22"/>
        </w:rPr>
        <w:t>, 549-563.e23 (2019).</w:t>
      </w:r>
    </w:p>
    <w:p w14:paraId="63B8BC28"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DD3170">
        <w:rPr>
          <w:rFonts w:ascii="Arial" w:hAnsi="Arial" w:cs="Arial"/>
          <w:bCs/>
          <w:i/>
          <w:noProof/>
          <w:sz w:val="22"/>
          <w:szCs w:val="22"/>
        </w:rPr>
        <w:t>Cell</w:t>
      </w:r>
      <w:r>
        <w:rPr>
          <w:rFonts w:ascii="Arial" w:hAnsi="Arial" w:cs="Arial"/>
          <w:bCs/>
          <w:noProof/>
          <w:sz w:val="22"/>
          <w:szCs w:val="22"/>
        </w:rPr>
        <w:t xml:space="preserve"> </w:t>
      </w:r>
      <w:r w:rsidRPr="00DD3170">
        <w:rPr>
          <w:rFonts w:ascii="Arial" w:hAnsi="Arial" w:cs="Arial"/>
          <w:b/>
          <w:bCs/>
          <w:noProof/>
          <w:sz w:val="22"/>
          <w:szCs w:val="22"/>
        </w:rPr>
        <w:t>163</w:t>
      </w:r>
      <w:r>
        <w:rPr>
          <w:rFonts w:ascii="Arial" w:hAnsi="Arial" w:cs="Arial"/>
          <w:bCs/>
          <w:noProof/>
          <w:sz w:val="22"/>
          <w:szCs w:val="22"/>
        </w:rPr>
        <w:t>, 698–711 (2015).</w:t>
      </w:r>
    </w:p>
    <w:p w14:paraId="3475AD29"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Wong, M. S., Kinney, J. B. &amp; Krainer, A. R. Quantitative Activity Profile and Context Dependence of All Human 5’ Splice Sites. </w:t>
      </w:r>
      <w:r w:rsidRPr="00DD3170">
        <w:rPr>
          <w:rFonts w:ascii="Arial" w:hAnsi="Arial" w:cs="Arial"/>
          <w:bCs/>
          <w:i/>
          <w:noProof/>
          <w:sz w:val="22"/>
          <w:szCs w:val="22"/>
        </w:rPr>
        <w:t>Mol. Cell</w:t>
      </w:r>
      <w:r>
        <w:rPr>
          <w:rFonts w:ascii="Arial" w:hAnsi="Arial" w:cs="Arial"/>
          <w:bCs/>
          <w:noProof/>
          <w:sz w:val="22"/>
          <w:szCs w:val="22"/>
        </w:rPr>
        <w:t xml:space="preserve"> </w:t>
      </w:r>
      <w:r w:rsidRPr="00DD3170">
        <w:rPr>
          <w:rFonts w:ascii="Arial" w:hAnsi="Arial" w:cs="Arial"/>
          <w:b/>
          <w:bCs/>
          <w:noProof/>
          <w:sz w:val="22"/>
          <w:szCs w:val="22"/>
        </w:rPr>
        <w:t>71</w:t>
      </w:r>
      <w:r>
        <w:rPr>
          <w:rFonts w:ascii="Arial" w:hAnsi="Arial" w:cs="Arial"/>
          <w:bCs/>
          <w:noProof/>
          <w:sz w:val="22"/>
          <w:szCs w:val="22"/>
        </w:rPr>
        <w:t>, 1012-1026.e3 (2018).</w:t>
      </w:r>
    </w:p>
    <w:p w14:paraId="54D4268B" w14:textId="77777777" w:rsidR="00DD3170" w:rsidRDefault="00DD3170"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North, K. </w:t>
      </w:r>
      <w:r w:rsidRPr="00DD3170">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DD3170">
        <w:rPr>
          <w:rFonts w:ascii="Arial" w:hAnsi="Arial" w:cs="Arial"/>
          <w:bCs/>
          <w:i/>
          <w:noProof/>
          <w:sz w:val="22"/>
          <w:szCs w:val="22"/>
        </w:rPr>
        <w:t>Nat. Biotechnol.</w:t>
      </w:r>
      <w:r>
        <w:rPr>
          <w:rFonts w:ascii="Arial" w:hAnsi="Arial" w:cs="Arial"/>
          <w:bCs/>
          <w:noProof/>
          <w:sz w:val="22"/>
          <w:szCs w:val="22"/>
        </w:rPr>
        <w:t xml:space="preserve"> </w:t>
      </w:r>
      <w:r w:rsidRPr="00DD3170">
        <w:rPr>
          <w:rFonts w:ascii="Arial" w:hAnsi="Arial" w:cs="Arial"/>
          <w:b/>
          <w:bCs/>
          <w:noProof/>
          <w:sz w:val="22"/>
          <w:szCs w:val="22"/>
        </w:rPr>
        <w:t>40</w:t>
      </w:r>
      <w:r>
        <w:rPr>
          <w:rFonts w:ascii="Arial" w:hAnsi="Arial" w:cs="Arial"/>
          <w:bCs/>
          <w:noProof/>
          <w:sz w:val="22"/>
          <w:szCs w:val="22"/>
        </w:rPr>
        <w:t>, 1103–1113 (2022).</w:t>
      </w:r>
    </w:p>
    <w:p w14:paraId="1C1C0747" w14:textId="69D78C98" w:rsidR="00CA0D47" w:rsidRPr="00EB5B39" w:rsidRDefault="00DD3170"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39.</w:t>
      </w:r>
      <w:r>
        <w:rPr>
          <w:rFonts w:ascii="Arial" w:hAnsi="Arial" w:cs="Arial"/>
          <w:bCs/>
          <w:noProof/>
          <w:sz w:val="22"/>
          <w:szCs w:val="22"/>
        </w:rPr>
        <w:tab/>
        <w:t xml:space="preserve">Piovesan, A. </w:t>
      </w:r>
      <w:r w:rsidRPr="00DD3170">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DD3170">
        <w:rPr>
          <w:rFonts w:ascii="Arial" w:hAnsi="Arial" w:cs="Arial"/>
          <w:bCs/>
          <w:i/>
          <w:noProof/>
          <w:sz w:val="22"/>
          <w:szCs w:val="22"/>
        </w:rPr>
        <w:t>BMC Res. Notes</w:t>
      </w:r>
      <w:r>
        <w:rPr>
          <w:rFonts w:ascii="Arial" w:hAnsi="Arial" w:cs="Arial"/>
          <w:bCs/>
          <w:noProof/>
          <w:sz w:val="22"/>
          <w:szCs w:val="22"/>
        </w:rPr>
        <w:t xml:space="preserve"> </w:t>
      </w:r>
      <w:r w:rsidRPr="00DD3170">
        <w:rPr>
          <w:rFonts w:ascii="Arial" w:hAnsi="Arial" w:cs="Arial"/>
          <w:b/>
          <w:bCs/>
          <w:noProof/>
          <w:sz w:val="22"/>
          <w:szCs w:val="22"/>
        </w:rPr>
        <w:t>12</w:t>
      </w:r>
      <w:r>
        <w:rPr>
          <w:rFonts w:ascii="Arial" w:hAnsi="Arial" w:cs="Arial"/>
          <w:bCs/>
          <w:noProof/>
          <w:sz w:val="22"/>
          <w:szCs w:val="22"/>
        </w:rPr>
        <w:t>, 315 (2019).</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78B4"/>
    <w:rsid w:val="0002290E"/>
    <w:rsid w:val="000904AC"/>
    <w:rsid w:val="000B1E41"/>
    <w:rsid w:val="000C4D62"/>
    <w:rsid w:val="000E0D01"/>
    <w:rsid w:val="000E443D"/>
    <w:rsid w:val="00114868"/>
    <w:rsid w:val="00142359"/>
    <w:rsid w:val="001A1677"/>
    <w:rsid w:val="00260826"/>
    <w:rsid w:val="002A7B30"/>
    <w:rsid w:val="002C0C24"/>
    <w:rsid w:val="002D759D"/>
    <w:rsid w:val="002E6BAC"/>
    <w:rsid w:val="00306448"/>
    <w:rsid w:val="003666F1"/>
    <w:rsid w:val="00371BE0"/>
    <w:rsid w:val="00394E75"/>
    <w:rsid w:val="003B7F7F"/>
    <w:rsid w:val="003D46B6"/>
    <w:rsid w:val="004232E5"/>
    <w:rsid w:val="00493EAE"/>
    <w:rsid w:val="004B78F7"/>
    <w:rsid w:val="00564853"/>
    <w:rsid w:val="00595A27"/>
    <w:rsid w:val="0060210C"/>
    <w:rsid w:val="0060261D"/>
    <w:rsid w:val="00622755"/>
    <w:rsid w:val="00624BAA"/>
    <w:rsid w:val="00677E2A"/>
    <w:rsid w:val="00706ECD"/>
    <w:rsid w:val="0078423E"/>
    <w:rsid w:val="00786D26"/>
    <w:rsid w:val="007C0215"/>
    <w:rsid w:val="008D1AA0"/>
    <w:rsid w:val="008E6DE3"/>
    <w:rsid w:val="00914DEF"/>
    <w:rsid w:val="009F0B68"/>
    <w:rsid w:val="00A121C1"/>
    <w:rsid w:val="00A453A8"/>
    <w:rsid w:val="00A638F8"/>
    <w:rsid w:val="00AA5E16"/>
    <w:rsid w:val="00B01AFE"/>
    <w:rsid w:val="00B106B7"/>
    <w:rsid w:val="00B11743"/>
    <w:rsid w:val="00B24656"/>
    <w:rsid w:val="00C72932"/>
    <w:rsid w:val="00C75DAD"/>
    <w:rsid w:val="00C97664"/>
    <w:rsid w:val="00CA0D47"/>
    <w:rsid w:val="00CD16DE"/>
    <w:rsid w:val="00CE264C"/>
    <w:rsid w:val="00CE5379"/>
    <w:rsid w:val="00CF150B"/>
    <w:rsid w:val="00CF41ED"/>
    <w:rsid w:val="00D5145D"/>
    <w:rsid w:val="00DA516F"/>
    <w:rsid w:val="00DD3170"/>
    <w:rsid w:val="00DE2F35"/>
    <w:rsid w:val="00DE630F"/>
    <w:rsid w:val="00E111A6"/>
    <w:rsid w:val="00E32F9D"/>
    <w:rsid w:val="00E330A0"/>
    <w:rsid w:val="00EB2395"/>
    <w:rsid w:val="00EB5B39"/>
    <w:rsid w:val="00EC5BA9"/>
    <w:rsid w:val="00ED5A3F"/>
    <w:rsid w:val="00F26383"/>
    <w:rsid w:val="00F3041D"/>
    <w:rsid w:val="00F37B07"/>
    <w:rsid w:val="00F54B0C"/>
    <w:rsid w:val="00F9772C"/>
    <w:rsid w:val="00FA759F"/>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25619</Words>
  <Characters>146030</Characters>
  <Application>Microsoft Office Word</Application>
  <DocSecurity>0</DocSecurity>
  <Lines>2655</Lines>
  <Paragraphs>1310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27</cp:revision>
  <dcterms:created xsi:type="dcterms:W3CDTF">2023-03-30T14:01:00Z</dcterms:created>
  <dcterms:modified xsi:type="dcterms:W3CDTF">2023-03-31T17:29:00Z</dcterms:modified>
</cp:coreProperties>
</file>