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commentRangeStart w:id="0"/>
      <w:r>
        <w:rPr>
          <w:rFonts w:ascii="Arial" w:hAnsi="Arial" w:cs="Arial"/>
          <w:sz w:val="22"/>
          <w:szCs w:val="22"/>
          <w:u w:val="single"/>
        </w:rPr>
        <w:t>Background</w:t>
      </w:r>
      <w:commentRangeEnd w:id="0"/>
      <w:r w:rsidR="003E1CDE">
        <w:rPr>
          <w:rStyle w:val="CommentReference"/>
          <w:rFonts w:ascii="Arial" w:eastAsia="Arial" w:hAnsi="Arial" w:cs="Arial"/>
        </w:rPr>
        <w:commentReference w:id="0"/>
      </w:r>
    </w:p>
    <w:p w14:paraId="34E76E38" w14:textId="037507A4"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Pr>
          <w:rFonts w:ascii="Arial" w:hAnsi="Arial" w:cs="Arial"/>
          <w:sz w:val="22"/>
          <w:szCs w:val="22"/>
        </w:rPr>
        <w:t>.</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3E0D65">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w:t>
      </w:r>
      <w:r w:rsidR="00CC4BC4">
        <w:rPr>
          <w:rFonts w:ascii="Arial" w:hAnsi="Arial" w:cs="Arial"/>
          <w:sz w:val="22"/>
          <w:szCs w:val="22"/>
        </w:rPr>
        <w:t>link</w:t>
      </w:r>
      <w:r>
        <w:rPr>
          <w:rFonts w:ascii="Arial" w:hAnsi="Arial" w:cs="Arial"/>
          <w:sz w:val="22"/>
          <w:szCs w:val="22"/>
        </w:rPr>
        <w:t>ing</w:t>
      </w:r>
      <w:r w:rsidR="00CC4BC4">
        <w:rPr>
          <w:rFonts w:ascii="Arial" w:hAnsi="Arial" w:cs="Arial"/>
          <w:sz w:val="22"/>
          <w:szCs w:val="22"/>
        </w:rPr>
        <w:t xml:space="preserve"> the sequence of the pre-mRNA to a</w:t>
      </w:r>
      <w:r w:rsidR="00CC4BC4">
        <w:rPr>
          <w:rFonts w:ascii="Arial" w:hAnsi="Arial" w:cs="Arial"/>
          <w:sz w:val="22"/>
          <w:szCs w:val="22"/>
        </w:rPr>
        <w:t xml:space="preserve">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Pr="003E0D65">
        <w:rPr>
          <w:rFonts w:ascii="Arial" w:hAnsi="Arial" w:cs="Arial"/>
          <w:noProof/>
          <w:sz w:val="22"/>
          <w:szCs w:val="22"/>
          <w:vertAlign w:val="superscript"/>
        </w:rPr>
        <w:t>1,7,10–12,14–16</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3E0D65">
        <w:rPr>
          <w:rFonts w:ascii="Arial" w:hAnsi="Arial" w:cs="Arial"/>
          <w:noProof/>
          <w:sz w:val="22"/>
          <w:szCs w:val="22"/>
          <w:vertAlign w:val="superscript"/>
        </w:rPr>
        <w:t>3,5–7,9,13</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3E0D65">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1EF52912"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CE2104" w:rsidRPr="003E0D65">
        <w:rPr>
          <w:rFonts w:ascii="Arial" w:hAnsi="Arial" w:cs="Arial"/>
          <w:noProof/>
          <w:sz w:val="22"/>
          <w:szCs w:val="22"/>
          <w:vertAlign w:val="superscript"/>
        </w:rPr>
        <w:t>5,9,17,18</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3E0D65">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CE2104" w:rsidRPr="003E0D65">
        <w:rPr>
          <w:rFonts w:ascii="Arial" w:hAnsi="Arial" w:cs="Arial"/>
          <w:noProof/>
          <w:sz w:val="22"/>
          <w:szCs w:val="22"/>
          <w:vertAlign w:val="superscript"/>
        </w:rPr>
        <w:t>19</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CE2104" w:rsidRPr="003E0D65">
        <w:rPr>
          <w:rFonts w:ascii="Arial" w:hAnsi="Arial" w:cs="Arial"/>
          <w:noProof/>
          <w:color w:val="000000" w:themeColor="text1"/>
          <w:sz w:val="22"/>
          <w:szCs w:val="22"/>
          <w:vertAlign w:val="superscript"/>
        </w:rPr>
        <w:t>17,18,20–22</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E2B398"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CE2104" w:rsidRPr="003E0D65">
        <w:rPr>
          <w:rFonts w:ascii="Arial" w:hAnsi="Arial" w:cs="Arial"/>
          <w:noProof/>
          <w:sz w:val="22"/>
          <w:szCs w:val="22"/>
          <w:vertAlign w:val="superscript"/>
        </w:rPr>
        <w:t>23–26</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CE2104" w:rsidRPr="003E0D65">
        <w:rPr>
          <w:rFonts w:ascii="Arial" w:hAnsi="Arial" w:cs="Arial"/>
          <w:noProof/>
          <w:sz w:val="22"/>
          <w:szCs w:val="22"/>
          <w:vertAlign w:val="superscript"/>
        </w:rPr>
        <w:t>17</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w:t>
      </w:r>
      <w:r w:rsidR="00D17E98">
        <w:rPr>
          <w:rFonts w:ascii="Arial" w:hAnsi="Arial" w:cs="Arial"/>
          <w:sz w:val="22"/>
          <w:szCs w:val="22"/>
        </w:rPr>
        <w:lastRenderedPageBreak/>
        <w:t xml:space="preserve">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w:t>
      </w:r>
      <w:r w:rsidR="00CA0B58">
        <w:rPr>
          <w:rFonts w:ascii="Arial" w:hAnsi="Arial" w:cs="Arial"/>
          <w:sz w:val="22"/>
          <w:szCs w:val="22"/>
        </w:rPr>
        <w:t>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1D35DFAE"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27–31</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32</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33,34</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35</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1671D194"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xml:space="preserve">: </w:t>
      </w:r>
      <w:r>
        <w:rPr>
          <w:rFonts w:ascii="Arial" w:hAnsi="Arial" w:cs="Arial"/>
          <w:b/>
          <w:bCs/>
          <w:sz w:val="22"/>
          <w:szCs w:val="22"/>
        </w:rPr>
        <w:t>Using long read sequencing as a readout</w:t>
      </w:r>
      <w:r>
        <w:rPr>
          <w:rFonts w:ascii="Arial" w:hAnsi="Arial" w:cs="Arial"/>
          <w:b/>
          <w:bCs/>
          <w:sz w:val="22"/>
          <w:szCs w:val="22"/>
        </w:rPr>
        <w: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B617E4" w:rsidRPr="003E0D65">
        <w:rPr>
          <w:rFonts w:ascii="Arial" w:hAnsi="Arial" w:cs="Arial"/>
          <w:noProof/>
          <w:sz w:val="22"/>
          <w:szCs w:val="22"/>
          <w:vertAlign w:val="superscript"/>
        </w:rPr>
        <w:t>26,36</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w:t>
      </w:r>
      <w:r w:rsidR="00EC3572">
        <w:rPr>
          <w:rFonts w:ascii="Arial" w:hAnsi="Arial" w:cs="Arial"/>
          <w:sz w:val="22"/>
          <w:szCs w:val="22"/>
        </w:rPr>
        <w:t>unbiased sequencing of isoforms</w:t>
      </w:r>
      <w:r w:rsidR="00EC3572">
        <w:rPr>
          <w:rFonts w:ascii="Arial" w:hAnsi="Arial" w:cs="Arial"/>
          <w:sz w:val="22"/>
          <w:szCs w:val="22"/>
        </w:rPr>
        <w:t xml:space="preserve">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w:t>
      </w:r>
      <w:r w:rsidR="00EC3572">
        <w:rPr>
          <w:rFonts w:ascii="Arial" w:hAnsi="Arial" w:cs="Arial"/>
          <w:sz w:val="22"/>
          <w:szCs w:val="22"/>
        </w:rPr>
        <w:t xml:space="preserve">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7C7A2435"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204BD2" w:rsidRPr="003E0D65">
        <w:rPr>
          <w:rFonts w:ascii="Arial" w:hAnsi="Arial" w:cs="Arial"/>
          <w:noProof/>
          <w:color w:val="000000" w:themeColor="text1"/>
          <w:sz w:val="22"/>
          <w:szCs w:val="22"/>
          <w:vertAlign w:val="superscript"/>
        </w:rPr>
        <w:t>17,18,20–22</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3E0D65" w:rsidRPr="003E0D65">
        <w:rPr>
          <w:rFonts w:ascii="Arial" w:hAnsi="Arial" w:cs="Arial"/>
          <w:noProof/>
          <w:color w:val="000000" w:themeColor="text1"/>
          <w:sz w:val="22"/>
          <w:szCs w:val="22"/>
          <w:vertAlign w:val="superscript"/>
        </w:rPr>
        <w:t>5,9,17,18</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w:t>
      </w:r>
      <w:r w:rsidR="00A765A3">
        <w:rPr>
          <w:rFonts w:ascii="Arial" w:hAnsi="Arial" w:cs="Arial"/>
          <w:sz w:val="22"/>
          <w:szCs w:val="22"/>
        </w:rPr>
        <w:t>focus</w:t>
      </w:r>
      <w:r w:rsidR="00A765A3">
        <w:rPr>
          <w:rFonts w:ascii="Arial" w:hAnsi="Arial" w:cs="Arial"/>
          <w:sz w:val="22"/>
          <w:szCs w:val="22"/>
        </w:rPr>
        <w:t xml:space="preserve"> in </w:t>
      </w:r>
      <w:r w:rsidR="00A765A3">
        <w:rPr>
          <w:rFonts w:ascii="Arial" w:hAnsi="Arial" w:cs="Arial"/>
          <w:b/>
          <w:bCs/>
          <w:sz w:val="22"/>
          <w:szCs w:val="22"/>
        </w:rPr>
        <w:t>aim 3.</w:t>
      </w:r>
    </w:p>
    <w:p w14:paraId="64837C6A" w14:textId="535E9B37" w:rsidR="00A54B41" w:rsidRPr="00A765A3" w:rsidRDefault="00A54B41" w:rsidP="00FC0257">
      <w:pPr>
        <w:spacing w:after="120"/>
        <w:rPr>
          <w:rFonts w:ascii="Arial" w:hAnsi="Arial" w:cs="Arial"/>
          <w:b/>
          <w:bCs/>
          <w:sz w:val="22"/>
          <w:szCs w:val="22"/>
        </w:rPr>
      </w:pPr>
      <w:r>
        <w:rPr>
          <w:rFonts w:ascii="Arial" w:hAnsi="Arial" w:cs="Arial"/>
          <w:b/>
          <w:bCs/>
          <w:sz w:val="22"/>
          <w:szCs w:val="22"/>
        </w:rPr>
        <w:lastRenderedPageBreak/>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1–15</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23–26</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58403E08"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xml:space="preserve">: Using simulated data to vet </w:t>
      </w:r>
      <w:r>
        <w:rPr>
          <w:rFonts w:ascii="Arial" w:hAnsi="Arial" w:cs="Arial"/>
          <w:b/>
          <w:bCs/>
          <w:sz w:val="22"/>
          <w:szCs w:val="22"/>
        </w:rPr>
        <w:t>analysis</w:t>
      </w:r>
      <w:r>
        <w:rPr>
          <w:rFonts w:ascii="Arial" w:hAnsi="Arial" w:cs="Arial"/>
          <w:b/>
          <w:bCs/>
          <w:sz w:val="22"/>
          <w:szCs w:val="22"/>
        </w:rPr>
        <w:t>.</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5504D9" w:rsidRPr="005504D9">
        <w:rPr>
          <w:rFonts w:ascii="Arial" w:hAnsi="Arial" w:cs="Arial"/>
          <w:noProof/>
          <w:sz w:val="22"/>
          <w:szCs w:val="22"/>
          <w:vertAlign w:val="superscript"/>
        </w:rPr>
        <w:t>37–43</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w:t>
      </w:r>
      <w:r w:rsidR="005504D9">
        <w:rPr>
          <w:rFonts w:ascii="Arial" w:hAnsi="Arial" w:cs="Arial"/>
          <w:sz w:val="22"/>
          <w:szCs w:val="22"/>
        </w:rPr>
        <w:t>accuracy at every step of the pipeline</w:t>
      </w:r>
      <w:r w:rsidR="005504D9">
        <w:rPr>
          <w:rFonts w:ascii="Arial" w:hAnsi="Arial" w:cs="Arial"/>
          <w:sz w:val="22"/>
          <w:szCs w:val="22"/>
        </w:rPr>
        <w:t xml:space="preserv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018720F0"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6</w:t>
      </w:r>
      <w:r>
        <w:rPr>
          <w:rFonts w:ascii="Arial" w:hAnsi="Arial" w:cs="Arial"/>
          <w:b/>
          <w:bCs/>
          <w:sz w:val="22"/>
          <w:szCs w:val="22"/>
        </w:rPr>
        <w:t xml:space="preserve">: </w:t>
      </w:r>
      <w:r>
        <w:rPr>
          <w:rFonts w:ascii="Arial" w:hAnsi="Arial" w:cs="Arial"/>
          <w:b/>
          <w:bCs/>
          <w:sz w:val="22"/>
          <w:szCs w:val="22"/>
        </w:rPr>
        <w:t>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D1416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D14166" w:rsidRPr="003E0D65">
        <w:rPr>
          <w:rFonts w:ascii="Arial" w:hAnsi="Arial" w:cs="Arial"/>
          <w:noProof/>
          <w:sz w:val="22"/>
          <w:szCs w:val="22"/>
          <w:vertAlign w:val="superscript"/>
        </w:rPr>
        <w:t>1–15</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1"/>
      <w:r>
        <w:rPr>
          <w:rFonts w:ascii="Arial" w:hAnsi="Arial" w:cs="Arial"/>
          <w:b/>
          <w:bCs/>
          <w:sz w:val="22"/>
          <w:szCs w:val="22"/>
        </w:rPr>
        <w:t>Approach</w:t>
      </w:r>
      <w:commentRangeEnd w:id="1"/>
      <w:r w:rsidR="009E0813">
        <w:rPr>
          <w:rStyle w:val="CommentReference"/>
          <w:rFonts w:ascii="Arial" w:eastAsia="Arial" w:hAnsi="Arial" w:cs="Arial"/>
        </w:rPr>
        <w:commentReference w:id="1"/>
      </w:r>
    </w:p>
    <w:p w14:paraId="2F2533EE" w14:textId="06017774" w:rsidR="008671BA" w:rsidRDefault="00E93CDC" w:rsidP="00FC0257">
      <w:pPr>
        <w:spacing w:after="120"/>
        <w:rPr>
          <w:rFonts w:ascii="Arial" w:hAnsi="Arial" w:cs="Arial"/>
          <w:b/>
          <w:sz w:val="22"/>
          <w:szCs w:val="22"/>
        </w:rPr>
      </w:pPr>
      <w:commentRangeStart w:id="2"/>
      <w:r w:rsidRPr="00E93CDC">
        <w:rPr>
          <w:rFonts w:ascii="Arial" w:hAnsi="Arial" w:cs="Arial"/>
          <w:b/>
          <w:sz w:val="22"/>
          <w:szCs w:val="22"/>
        </w:rPr>
        <w:t xml:space="preserve">Aim </w:t>
      </w:r>
      <w:commentRangeEnd w:id="2"/>
      <w:r w:rsidR="00B1477F">
        <w:rPr>
          <w:rStyle w:val="CommentReference"/>
          <w:rFonts w:ascii="Arial" w:eastAsia="Arial" w:hAnsi="Arial" w:cs="Arial"/>
        </w:rPr>
        <w:commentReference w:id="2"/>
      </w:r>
      <w:r w:rsidRPr="00E93CDC">
        <w:rPr>
          <w:rFonts w:ascii="Arial" w:hAnsi="Arial" w:cs="Arial"/>
          <w:b/>
          <w:sz w:val="22"/>
          <w:szCs w:val="22"/>
        </w:rPr>
        <w:t>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41EC7A36"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5504D9" w:rsidRPr="005504D9">
        <w:rPr>
          <w:rFonts w:ascii="Arial" w:hAnsi="Arial" w:cs="Arial"/>
          <w:bCs/>
          <w:noProof/>
          <w:sz w:val="22"/>
          <w:szCs w:val="22"/>
          <w:vertAlign w:val="superscript"/>
        </w:rPr>
        <w:t>44</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481CA88"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5504D9" w:rsidRPr="005504D9">
        <w:rPr>
          <w:rFonts w:ascii="Arial" w:hAnsi="Arial" w:cs="Arial"/>
          <w:bCs/>
          <w:noProof/>
          <w:sz w:val="22"/>
          <w:szCs w:val="22"/>
          <w:vertAlign w:val="superscript"/>
        </w:rPr>
        <w:t>45–47</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246BE086"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w:t>
      </w:r>
      <w:r>
        <w:rPr>
          <w:rFonts w:ascii="Arial" w:hAnsi="Arial" w:cs="Arial"/>
          <w:bCs/>
          <w:sz w:val="22"/>
          <w:szCs w:val="22"/>
        </w:rPr>
        <w:lastRenderedPageBreak/>
        <w:t>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5504D9" w:rsidRPr="005504D9">
        <w:rPr>
          <w:rFonts w:ascii="Arial" w:hAnsi="Arial" w:cs="Arial"/>
          <w:bCs/>
          <w:noProof/>
          <w:sz w:val="22"/>
          <w:szCs w:val="22"/>
          <w:vertAlign w:val="superscript"/>
        </w:rPr>
        <w:t>48–54</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5504D9" w:rsidRPr="005504D9">
        <w:rPr>
          <w:rFonts w:ascii="Arial" w:hAnsi="Arial" w:cs="Arial"/>
          <w:bCs/>
          <w:noProof/>
          <w:sz w:val="22"/>
          <w:szCs w:val="22"/>
          <w:vertAlign w:val="superscript"/>
        </w:rPr>
        <w:t>37,55,56</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4F11D73B" w14:textId="55DC31C2" w:rsidR="00C50D07" w:rsidRPr="00C50D07"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r w:rsidR="00C50D07">
        <w:rPr>
          <w:noProof/>
        </w:rPr>
        <mc:AlternateContent>
          <mc:Choice Requires="wps">
            <w:drawing>
              <wp:anchor distT="0" distB="0" distL="114300" distR="114300" simplePos="0" relativeHeight="251660288" behindDoc="0" locked="0" layoutInCell="1" allowOverlap="1" wp14:anchorId="1A8D3034" wp14:editId="369193CC">
                <wp:simplePos x="0" y="0"/>
                <wp:positionH relativeFrom="column">
                  <wp:posOffset>3379470</wp:posOffset>
                </wp:positionH>
                <wp:positionV relativeFrom="paragraph">
                  <wp:posOffset>5006975</wp:posOffset>
                </wp:positionV>
                <wp:extent cx="3478530" cy="635"/>
                <wp:effectExtent l="0" t="0" r="1270" b="12065"/>
                <wp:wrapSquare wrapText="bothSides"/>
                <wp:docPr id="3" name="Text Box 3"/>
                <wp:cNvGraphicFramePr/>
                <a:graphic xmlns:a="http://schemas.openxmlformats.org/drawingml/2006/main">
                  <a:graphicData uri="http://schemas.microsoft.com/office/word/2010/wordprocessingShape">
                    <wps:wsp>
                      <wps:cNvSpPr txBox="1"/>
                      <wps:spPr>
                        <a:xfrm>
                          <a:off x="0" y="0"/>
                          <a:ext cx="3478530" cy="635"/>
                        </a:xfrm>
                        <a:prstGeom prst="rect">
                          <a:avLst/>
                        </a:prstGeom>
                        <a:solidFill>
                          <a:prstClr val="white"/>
                        </a:solidFill>
                        <a:ln>
                          <a:noFill/>
                        </a:ln>
                      </wps:spPr>
                      <wps:txbx>
                        <w:txbxContent>
                          <w:p w14:paraId="2BED2AAC" w14:textId="0E839508" w:rsidR="00C50D07" w:rsidRPr="00386388" w:rsidRDefault="00C50D07" w:rsidP="00C50D07">
                            <w:pPr>
                              <w:pStyle w:val="Caption"/>
                              <w:rPr>
                                <w:rFonts w:cs="Arial"/>
                                <w:bCs/>
                                <w:sz w:val="22"/>
                                <w:szCs w:val="22"/>
                                <w:u w:val="single"/>
                              </w:rPr>
                            </w:pPr>
                            <w:r>
                              <w:t xml:space="preserve">Figure </w:t>
                            </w:r>
                            <w:fldSimple w:instr=" SEQ Figure \* ARABIC ">
                              <w:r>
                                <w:rPr>
                                  <w:noProof/>
                                </w:rPr>
                                <w:t>1</w:t>
                              </w:r>
                            </w:fldSimple>
                            <w:r w:rsidR="007D310E">
                              <w:t xml:space="preserve"> Mutagenesis Strategy for PKM.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8D3034" id="_x0000_t202" coordsize="21600,21600" o:spt="202" path="m,l,21600r21600,l21600,xe">
                <v:stroke joinstyle="miter"/>
                <v:path gradientshapeok="t" o:connecttype="rect"/>
              </v:shapetype>
              <v:shape id="Text Box 3" o:spid="_x0000_s1026" type="#_x0000_t202" style="position:absolute;margin-left:266.1pt;margin-top:394.25pt;width:27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" stroked="f">
                <v:textbox style="mso-fit-shape-to-text:t" inset="0,0,0,0">
                  <w:txbxContent>
                    <w:p w14:paraId="2BED2AAC" w14:textId="0E839508" w:rsidR="00C50D07" w:rsidRPr="00386388" w:rsidRDefault="00C50D07" w:rsidP="00C50D07">
                      <w:pPr>
                        <w:pStyle w:val="Caption"/>
                        <w:rPr>
                          <w:rFonts w:cs="Arial"/>
                          <w:bCs/>
                          <w:sz w:val="22"/>
                          <w:szCs w:val="22"/>
                          <w:u w:val="single"/>
                        </w:rPr>
                      </w:pPr>
                      <w:r>
                        <w:t xml:space="preserve">Figure </w:t>
                      </w:r>
                      <w:fldSimple w:instr=" SEQ Figure \* ARABIC ">
                        <w:r>
                          <w:rPr>
                            <w:noProof/>
                          </w:rPr>
                          <w:t>1</w:t>
                        </w:r>
                      </w:fldSimple>
                      <w:r w:rsidR="007D310E">
                        <w:t xml:space="preserve"> Mutagenesis Strategy for PKM.</w:t>
                      </w:r>
                    </w:p>
                  </w:txbxContent>
                </v:textbox>
                <w10:wrap type="square"/>
              </v:shape>
            </w:pict>
          </mc:Fallback>
        </mc:AlternateConten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B6DC59A" w:rsidR="00E93CDC" w:rsidRPr="00D45262" w:rsidRDefault="00C50D07" w:rsidP="00FC0257">
      <w:pPr>
        <w:spacing w:after="120"/>
        <w:rPr>
          <w:rFonts w:ascii="Arial" w:hAnsi="Arial" w:cs="Arial"/>
          <w:bCs/>
          <w:sz w:val="22"/>
          <w:szCs w:val="22"/>
        </w:rPr>
      </w:pPr>
      <w:r>
        <w:rPr>
          <w:rFonts w:ascii="Arial" w:hAnsi="Arial" w:cs="Arial"/>
          <w:bCs/>
          <w:noProof/>
          <w:sz w:val="22"/>
          <w:szCs w:val="22"/>
        </w:rPr>
        <w:drawing>
          <wp:anchor distT="0" distB="0" distL="114300" distR="114300" simplePos="0" relativeHeight="251658240" behindDoc="0" locked="0" layoutInCell="1" allowOverlap="1" wp14:anchorId="3DA01A80" wp14:editId="3D4294E4">
            <wp:simplePos x="0" y="0"/>
            <wp:positionH relativeFrom="margin">
              <wp:align>right</wp:align>
            </wp:positionH>
            <wp:positionV relativeFrom="margin">
              <wp:align>center</wp:align>
            </wp:positionV>
            <wp:extent cx="3478530" cy="34785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478530" cy="3478530"/>
                    </a:xfrm>
                    <a:prstGeom prst="rect">
                      <a:avLst/>
                    </a:prstGeom>
                  </pic:spPr>
                </pic:pic>
              </a:graphicData>
            </a:graphic>
          </wp:anchor>
        </w:drawing>
      </w:r>
      <w:r w:rsidR="00D45262">
        <w:rPr>
          <w:rFonts w:ascii="Arial" w:hAnsi="Arial" w:cs="Arial"/>
          <w:bCs/>
          <w:sz w:val="22"/>
          <w:szCs w:val="22"/>
          <w:u w:val="single"/>
        </w:rPr>
        <w:t>Goal:</w:t>
      </w:r>
      <w:r w:rsidR="00D45262">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11DA9376"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CE2104" w:rsidRPr="003E0D65">
        <w:rPr>
          <w:rFonts w:ascii="Arial" w:hAnsi="Arial" w:cs="Arial"/>
          <w:bCs/>
          <w:noProof/>
          <w:sz w:val="22"/>
          <w:szCs w:val="22"/>
          <w:vertAlign w:val="superscript"/>
        </w:rPr>
        <w:t>17,18</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99720BB"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w:t>
      </w:r>
      <w:r w:rsidR="00097277">
        <w:rPr>
          <w:rFonts w:ascii="Arial" w:hAnsi="Arial" w:cs="Arial"/>
          <w:bCs/>
          <w:sz w:val="22"/>
          <w:szCs w:val="22"/>
        </w:rPr>
        <w:lastRenderedPageBreak/>
        <w:t>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29</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17</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030176FB" w14:textId="740F7B39" w:rsidR="005504D9"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5504D9">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5504D9">
        <w:rPr>
          <w:rFonts w:ascii="Arial" w:hAnsi="Arial" w:cs="Arial"/>
          <w:bCs/>
          <w:noProof/>
          <w:sz w:val="22"/>
          <w:szCs w:val="22"/>
        </w:rPr>
        <w:t>1.</w:t>
      </w:r>
      <w:r w:rsidR="005504D9">
        <w:rPr>
          <w:rFonts w:ascii="Arial" w:hAnsi="Arial" w:cs="Arial"/>
          <w:bCs/>
          <w:noProof/>
          <w:sz w:val="22"/>
          <w:szCs w:val="22"/>
        </w:rPr>
        <w:tab/>
        <w:t xml:space="preserve">Ke, S. </w:t>
      </w:r>
      <w:r w:rsidR="005504D9" w:rsidRPr="005504D9">
        <w:rPr>
          <w:rFonts w:ascii="Arial" w:hAnsi="Arial" w:cs="Arial"/>
          <w:bCs/>
          <w:i/>
          <w:noProof/>
          <w:sz w:val="22"/>
          <w:szCs w:val="22"/>
        </w:rPr>
        <w:t>et al.</w:t>
      </w:r>
      <w:r w:rsidR="005504D9">
        <w:rPr>
          <w:rFonts w:ascii="Arial" w:hAnsi="Arial" w:cs="Arial"/>
          <w:bCs/>
          <w:noProof/>
          <w:sz w:val="22"/>
          <w:szCs w:val="22"/>
        </w:rPr>
        <w:t xml:space="preserve"> Saturation mutagenesis reveals manifold determinants of exon definition. </w:t>
      </w:r>
      <w:r w:rsidR="005504D9" w:rsidRPr="005504D9">
        <w:rPr>
          <w:rFonts w:ascii="Arial" w:hAnsi="Arial" w:cs="Arial"/>
          <w:bCs/>
          <w:i/>
          <w:noProof/>
          <w:sz w:val="22"/>
          <w:szCs w:val="22"/>
        </w:rPr>
        <w:t>Genome Res.</w:t>
      </w:r>
      <w:r w:rsidR="005504D9">
        <w:rPr>
          <w:rFonts w:ascii="Arial" w:hAnsi="Arial" w:cs="Arial"/>
          <w:bCs/>
          <w:noProof/>
          <w:sz w:val="22"/>
          <w:szCs w:val="22"/>
        </w:rPr>
        <w:t xml:space="preserve"> </w:t>
      </w:r>
      <w:r w:rsidR="005504D9" w:rsidRPr="005504D9">
        <w:rPr>
          <w:rFonts w:ascii="Arial" w:hAnsi="Arial" w:cs="Arial"/>
          <w:b/>
          <w:bCs/>
          <w:noProof/>
          <w:sz w:val="22"/>
          <w:szCs w:val="22"/>
        </w:rPr>
        <w:t>28</w:t>
      </w:r>
      <w:r w:rsidR="005504D9">
        <w:rPr>
          <w:rFonts w:ascii="Arial" w:hAnsi="Arial" w:cs="Arial"/>
          <w:bCs/>
          <w:noProof/>
          <w:sz w:val="22"/>
          <w:szCs w:val="22"/>
        </w:rPr>
        <w:t>, 11–24 (2018).</w:t>
      </w:r>
    </w:p>
    <w:p w14:paraId="2079A3F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7</w:t>
      </w:r>
      <w:r>
        <w:rPr>
          <w:rFonts w:ascii="Arial" w:hAnsi="Arial" w:cs="Arial"/>
          <w:bCs/>
          <w:noProof/>
          <w:sz w:val="22"/>
          <w:szCs w:val="22"/>
        </w:rPr>
        <w:t>, 1–8 (2016).</w:t>
      </w:r>
    </w:p>
    <w:p w14:paraId="4D19B4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19</w:t>
      </w:r>
      <w:r>
        <w:rPr>
          <w:rFonts w:ascii="Arial" w:hAnsi="Arial" w:cs="Arial"/>
          <w:bCs/>
          <w:noProof/>
          <w:sz w:val="22"/>
          <w:szCs w:val="22"/>
        </w:rPr>
        <w:t>, 71 (2018).</w:t>
      </w:r>
    </w:p>
    <w:p w14:paraId="350EFCB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5504D9">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5504D9">
        <w:rPr>
          <w:rFonts w:ascii="Arial" w:hAnsi="Arial" w:cs="Arial"/>
          <w:bCs/>
          <w:i/>
          <w:noProof/>
          <w:sz w:val="22"/>
          <w:szCs w:val="22"/>
        </w:rPr>
        <w:t>Nat. Genet.</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848–855 (2017).</w:t>
      </w:r>
    </w:p>
    <w:p w14:paraId="2A21B46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5504D9">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1–17 (2022).</w:t>
      </w:r>
    </w:p>
    <w:p w14:paraId="6BA9F65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5504D9">
        <w:rPr>
          <w:rFonts w:ascii="Arial" w:hAnsi="Arial" w:cs="Arial"/>
          <w:bCs/>
          <w:i/>
          <w:noProof/>
          <w:sz w:val="22"/>
          <w:szCs w:val="22"/>
        </w:rPr>
        <w:t>PLoS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e1009805 (2021).</w:t>
      </w:r>
    </w:p>
    <w:p w14:paraId="14AA58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1–14 (2019).</w:t>
      </w:r>
    </w:p>
    <w:p w14:paraId="2D5FE6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5504D9">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1–18 (2018).</w:t>
      </w:r>
    </w:p>
    <w:p w14:paraId="3E574A5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5504D9">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5504D9">
        <w:rPr>
          <w:rFonts w:ascii="Arial" w:hAnsi="Arial" w:cs="Arial"/>
          <w:bCs/>
          <w:i/>
          <w:noProof/>
          <w:sz w:val="22"/>
          <w:szCs w:val="22"/>
        </w:rPr>
        <w:t>RNA Biol.</w:t>
      </w:r>
      <w:r>
        <w:rPr>
          <w:rFonts w:ascii="Arial" w:hAnsi="Arial" w:cs="Arial"/>
          <w:bCs/>
          <w:noProof/>
          <w:sz w:val="22"/>
          <w:szCs w:val="22"/>
        </w:rPr>
        <w:t xml:space="preserve"> </w:t>
      </w:r>
      <w:r w:rsidRPr="005504D9">
        <w:rPr>
          <w:rFonts w:ascii="Arial" w:hAnsi="Arial" w:cs="Arial"/>
          <w:b/>
          <w:bCs/>
          <w:noProof/>
          <w:sz w:val="22"/>
          <w:szCs w:val="22"/>
        </w:rPr>
        <w:t>16</w:t>
      </w:r>
      <w:r>
        <w:rPr>
          <w:rFonts w:ascii="Arial" w:hAnsi="Arial" w:cs="Arial"/>
          <w:bCs/>
          <w:noProof/>
          <w:sz w:val="22"/>
          <w:szCs w:val="22"/>
        </w:rPr>
        <w:t>, 1364–1376 (2019).</w:t>
      </w:r>
    </w:p>
    <w:p w14:paraId="4A8D2D1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5504D9">
        <w:rPr>
          <w:rFonts w:ascii="Arial" w:hAnsi="Arial" w:cs="Arial"/>
          <w:bCs/>
          <w:i/>
          <w:noProof/>
          <w:sz w:val="22"/>
          <w:szCs w:val="22"/>
        </w:rPr>
        <w:t>Elife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D954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5504D9">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73</w:t>
      </w:r>
      <w:r>
        <w:rPr>
          <w:rFonts w:ascii="Arial" w:hAnsi="Arial" w:cs="Arial"/>
          <w:bCs/>
          <w:noProof/>
          <w:sz w:val="22"/>
          <w:szCs w:val="22"/>
        </w:rPr>
        <w:t>, 183-194.e8 (2019).</w:t>
      </w:r>
    </w:p>
    <w:p w14:paraId="693CE3FC"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549-563.e23 (2019).</w:t>
      </w:r>
    </w:p>
    <w:p w14:paraId="2823A32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163</w:t>
      </w:r>
      <w:r>
        <w:rPr>
          <w:rFonts w:ascii="Arial" w:hAnsi="Arial" w:cs="Arial"/>
          <w:bCs/>
          <w:noProof/>
          <w:sz w:val="22"/>
          <w:szCs w:val="22"/>
        </w:rPr>
        <w:t>, 698–711 (2015).</w:t>
      </w:r>
    </w:p>
    <w:p w14:paraId="46AD1A1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71</w:t>
      </w:r>
      <w:r>
        <w:rPr>
          <w:rFonts w:ascii="Arial" w:hAnsi="Arial" w:cs="Arial"/>
          <w:bCs/>
          <w:noProof/>
          <w:sz w:val="22"/>
          <w:szCs w:val="22"/>
        </w:rPr>
        <w:t>, 1012-1026.e3 (2018).</w:t>
      </w:r>
    </w:p>
    <w:p w14:paraId="21A7756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5504D9">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5504D9">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60E622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North, K. </w:t>
      </w:r>
      <w:r w:rsidRPr="005504D9">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40</w:t>
      </w:r>
      <w:r>
        <w:rPr>
          <w:rFonts w:ascii="Arial" w:hAnsi="Arial" w:cs="Arial"/>
          <w:bCs/>
          <w:noProof/>
          <w:sz w:val="22"/>
          <w:szCs w:val="22"/>
        </w:rPr>
        <w:t>, 1103–1113 (2022).</w:t>
      </w:r>
    </w:p>
    <w:p w14:paraId="7669F2E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Wang, Z. </w:t>
      </w:r>
      <w:r w:rsidRPr="005504D9">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5504D9">
        <w:rPr>
          <w:rFonts w:ascii="Arial" w:hAnsi="Arial" w:cs="Arial"/>
          <w:bCs/>
          <w:i/>
          <w:noProof/>
          <w:sz w:val="22"/>
          <w:szCs w:val="22"/>
        </w:rPr>
        <w:t>Journal of molecular</w:t>
      </w:r>
      <w:r>
        <w:rPr>
          <w:rFonts w:ascii="Arial" w:hAnsi="Arial" w:cs="Arial"/>
          <w:bCs/>
          <w:noProof/>
          <w:sz w:val="22"/>
          <w:szCs w:val="22"/>
        </w:rPr>
        <w:t xml:space="preserve"> (2012).</w:t>
      </w:r>
    </w:p>
    <w:p w14:paraId="6B4972D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5504D9">
        <w:rPr>
          <w:rFonts w:ascii="Arial" w:hAnsi="Arial" w:cs="Arial"/>
          <w:bCs/>
          <w:i/>
          <w:noProof/>
          <w:sz w:val="22"/>
          <w:szCs w:val="22"/>
        </w:rPr>
        <w:t>Open Biol.</w:t>
      </w:r>
      <w:r>
        <w:rPr>
          <w:rFonts w:ascii="Arial" w:hAnsi="Arial" w:cs="Arial"/>
          <w:bCs/>
          <w:noProof/>
          <w:sz w:val="22"/>
          <w:szCs w:val="22"/>
        </w:rPr>
        <w:t xml:space="preserve"> </w:t>
      </w:r>
      <w:r w:rsidRPr="005504D9">
        <w:rPr>
          <w:rFonts w:ascii="Arial" w:hAnsi="Arial" w:cs="Arial"/>
          <w:b/>
          <w:bCs/>
          <w:noProof/>
          <w:sz w:val="22"/>
          <w:szCs w:val="22"/>
        </w:rPr>
        <w:t>2</w:t>
      </w:r>
      <w:r>
        <w:rPr>
          <w:rFonts w:ascii="Arial" w:hAnsi="Arial" w:cs="Arial"/>
          <w:bCs/>
          <w:noProof/>
          <w:sz w:val="22"/>
          <w:szCs w:val="22"/>
        </w:rPr>
        <w:t>, 120133 (2012).</w:t>
      </w:r>
    </w:p>
    <w:p w14:paraId="0C93081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Piovesan, A. </w:t>
      </w:r>
      <w:r w:rsidRPr="005504D9">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5504D9">
        <w:rPr>
          <w:rFonts w:ascii="Arial" w:hAnsi="Arial" w:cs="Arial"/>
          <w:bCs/>
          <w:i/>
          <w:noProof/>
          <w:sz w:val="22"/>
          <w:szCs w:val="22"/>
        </w:rPr>
        <w:t>BMC Res. Notes</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315 (2019).</w:t>
      </w:r>
    </w:p>
    <w:p w14:paraId="67F3836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5504D9">
        <w:rPr>
          <w:rFonts w:ascii="Arial" w:hAnsi="Arial" w:cs="Arial"/>
          <w:bCs/>
          <w:i/>
          <w:noProof/>
          <w:sz w:val="22"/>
          <w:szCs w:val="22"/>
        </w:rPr>
        <w:t>Wiley Interdiscip. Rev. RNA</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e1468 (2018).</w:t>
      </w:r>
    </w:p>
    <w:p w14:paraId="0CFC817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&amp; Burge, C. B. Splicing regulation: from a parts list of regulatory elements to an integrated splicing code. </w:t>
      </w:r>
      <w:r w:rsidRPr="005504D9">
        <w:rPr>
          <w:rFonts w:ascii="Arial" w:hAnsi="Arial" w:cs="Arial"/>
          <w:bCs/>
          <w:i/>
          <w:noProof/>
          <w:sz w:val="22"/>
          <w:szCs w:val="22"/>
        </w:rPr>
        <w:t>RNA</w:t>
      </w:r>
      <w:r>
        <w:rPr>
          <w:rFonts w:ascii="Arial" w:hAnsi="Arial" w:cs="Arial"/>
          <w:bCs/>
          <w:noProof/>
          <w:sz w:val="22"/>
          <w:szCs w:val="22"/>
        </w:rPr>
        <w:t xml:space="preserve"> </w:t>
      </w:r>
      <w:r w:rsidRPr="005504D9">
        <w:rPr>
          <w:rFonts w:ascii="Arial" w:hAnsi="Arial" w:cs="Arial"/>
          <w:b/>
          <w:bCs/>
          <w:noProof/>
          <w:sz w:val="22"/>
          <w:szCs w:val="22"/>
        </w:rPr>
        <w:t>14</w:t>
      </w:r>
      <w:r>
        <w:rPr>
          <w:rFonts w:ascii="Arial" w:hAnsi="Arial" w:cs="Arial"/>
          <w:bCs/>
          <w:noProof/>
          <w:sz w:val="22"/>
          <w:szCs w:val="22"/>
        </w:rPr>
        <w:t>, 802–813 (2008).</w:t>
      </w:r>
    </w:p>
    <w:p w14:paraId="6A8BE3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Kalinina, M. </w:t>
      </w:r>
      <w:r w:rsidRPr="005504D9">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5504D9">
        <w:rPr>
          <w:rFonts w:ascii="Arial" w:hAnsi="Arial" w:cs="Arial"/>
          <w:bCs/>
          <w:i/>
          <w:noProof/>
          <w:sz w:val="22"/>
          <w:szCs w:val="22"/>
        </w:rPr>
        <w:t>Nucleic Acids Res.</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479–490 (2021).</w:t>
      </w:r>
    </w:p>
    <w:p w14:paraId="6ABF44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Hatje, K. </w:t>
      </w:r>
      <w:r w:rsidRPr="005504D9">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5504D9">
        <w:rPr>
          <w:rFonts w:ascii="Arial" w:hAnsi="Arial" w:cs="Arial"/>
          <w:bCs/>
          <w:i/>
          <w:noProof/>
          <w:sz w:val="22"/>
          <w:szCs w:val="22"/>
        </w:rPr>
        <w:t>Mol. Syst. Biol.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959 (2017).</w:t>
      </w:r>
    </w:p>
    <w:p w14:paraId="5A66167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33</w:t>
      </w:r>
      <w:r>
        <w:rPr>
          <w:rFonts w:ascii="Arial" w:hAnsi="Arial" w:cs="Arial"/>
          <w:bCs/>
          <w:noProof/>
          <w:sz w:val="22"/>
          <w:szCs w:val="22"/>
        </w:rPr>
        <w:t>, 736–742 (2015).</w:t>
      </w:r>
    </w:p>
    <w:p w14:paraId="2A7395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5504D9">
        <w:rPr>
          <w:rFonts w:ascii="Arial" w:hAnsi="Arial" w:cs="Arial"/>
          <w:bCs/>
          <w:i/>
          <w:noProof/>
          <w:sz w:val="22"/>
          <w:szCs w:val="22"/>
        </w:rPr>
        <w:t>Genome Res.</w:t>
      </w:r>
      <w:r>
        <w:rPr>
          <w:rFonts w:ascii="Arial" w:hAnsi="Arial" w:cs="Arial"/>
          <w:bCs/>
          <w:noProof/>
          <w:sz w:val="22"/>
          <w:szCs w:val="22"/>
        </w:rPr>
        <w:t xml:space="preserve"> </w:t>
      </w:r>
      <w:r w:rsidRPr="005504D9">
        <w:rPr>
          <w:rFonts w:ascii="Arial" w:hAnsi="Arial" w:cs="Arial"/>
          <w:b/>
          <w:bCs/>
          <w:noProof/>
          <w:sz w:val="22"/>
          <w:szCs w:val="22"/>
        </w:rPr>
        <w:t>28</w:t>
      </w:r>
      <w:r>
        <w:rPr>
          <w:rFonts w:ascii="Arial" w:hAnsi="Arial" w:cs="Arial"/>
          <w:bCs/>
          <w:noProof/>
          <w:sz w:val="22"/>
          <w:szCs w:val="22"/>
        </w:rPr>
        <w:t>, 231–242 (2018).</w:t>
      </w:r>
    </w:p>
    <w:p w14:paraId="46CB4C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26.</w:t>
      </w:r>
      <w:r>
        <w:rPr>
          <w:rFonts w:ascii="Arial" w:hAnsi="Arial" w:cs="Arial"/>
          <w:bCs/>
          <w:noProof/>
          <w:sz w:val="22"/>
          <w:szCs w:val="22"/>
        </w:rPr>
        <w:tab/>
        <w:t xml:space="preserve">Zhu, C. </w:t>
      </w:r>
      <w:r w:rsidRPr="005504D9">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4203 (2021).</w:t>
      </w:r>
    </w:p>
    <w:p w14:paraId="2395618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Christofk, H. R. </w:t>
      </w:r>
      <w:r w:rsidRPr="005504D9">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452</w:t>
      </w:r>
      <w:r>
        <w:rPr>
          <w:rFonts w:ascii="Arial" w:hAnsi="Arial" w:cs="Arial"/>
          <w:bCs/>
          <w:noProof/>
          <w:sz w:val="22"/>
          <w:szCs w:val="22"/>
        </w:rPr>
        <w:t>, 230–233 (2008).</w:t>
      </w:r>
    </w:p>
    <w:p w14:paraId="2282886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Ma, W. K. </w:t>
      </w:r>
      <w:r w:rsidRPr="005504D9">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5504D9">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125B04D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Clower, C. V. </w:t>
      </w:r>
      <w:r w:rsidRPr="005504D9">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5504D9">
        <w:rPr>
          <w:rFonts w:ascii="Arial" w:hAnsi="Arial" w:cs="Arial"/>
          <w:bCs/>
          <w:i/>
          <w:noProof/>
          <w:sz w:val="22"/>
          <w:szCs w:val="22"/>
        </w:rPr>
        <w:t>Proceedings of the National Academy of Sciences</w:t>
      </w:r>
      <w:r>
        <w:rPr>
          <w:rFonts w:ascii="Arial" w:hAnsi="Arial" w:cs="Arial"/>
          <w:bCs/>
          <w:noProof/>
          <w:sz w:val="22"/>
          <w:szCs w:val="22"/>
        </w:rPr>
        <w:t xml:space="preserve"> </w:t>
      </w:r>
      <w:r w:rsidRPr="005504D9">
        <w:rPr>
          <w:rFonts w:ascii="Arial" w:hAnsi="Arial" w:cs="Arial"/>
          <w:b/>
          <w:bCs/>
          <w:noProof/>
          <w:sz w:val="22"/>
          <w:szCs w:val="22"/>
        </w:rPr>
        <w:t>107</w:t>
      </w:r>
      <w:r>
        <w:rPr>
          <w:rFonts w:ascii="Arial" w:hAnsi="Arial" w:cs="Arial"/>
          <w:bCs/>
          <w:noProof/>
          <w:sz w:val="22"/>
          <w:szCs w:val="22"/>
        </w:rPr>
        <w:t>, 1894–1899 (2010).</w:t>
      </w:r>
    </w:p>
    <w:p w14:paraId="7BCB12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Luo, W. </w:t>
      </w:r>
      <w:r w:rsidRPr="005504D9">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145</w:t>
      </w:r>
      <w:r>
        <w:rPr>
          <w:rFonts w:ascii="Arial" w:hAnsi="Arial" w:cs="Arial"/>
          <w:bCs/>
          <w:noProof/>
          <w:sz w:val="22"/>
          <w:szCs w:val="22"/>
        </w:rPr>
        <w:t>, 732–744 (2011).</w:t>
      </w:r>
    </w:p>
    <w:p w14:paraId="5F1ACB6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Yang, W. </w:t>
      </w:r>
      <w:r w:rsidRPr="005504D9">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480</w:t>
      </w:r>
      <w:r>
        <w:rPr>
          <w:rFonts w:ascii="Arial" w:hAnsi="Arial" w:cs="Arial"/>
          <w:bCs/>
          <w:noProof/>
          <w:sz w:val="22"/>
          <w:szCs w:val="22"/>
        </w:rPr>
        <w:t>, 118–122 (2011).</w:t>
      </w:r>
    </w:p>
    <w:p w14:paraId="2320135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Traxler, L. </w:t>
      </w:r>
      <w:r w:rsidRPr="005504D9">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5504D9">
        <w:rPr>
          <w:rFonts w:ascii="Arial" w:hAnsi="Arial" w:cs="Arial"/>
          <w:bCs/>
          <w:i/>
          <w:noProof/>
          <w:sz w:val="22"/>
          <w:szCs w:val="22"/>
        </w:rPr>
        <w:t>Cell Metab.</w:t>
      </w:r>
      <w:r>
        <w:rPr>
          <w:rFonts w:ascii="Arial" w:hAnsi="Arial" w:cs="Arial"/>
          <w:bCs/>
          <w:noProof/>
          <w:sz w:val="22"/>
          <w:szCs w:val="22"/>
        </w:rPr>
        <w:t xml:space="preserve"> </w:t>
      </w:r>
      <w:r w:rsidRPr="005504D9">
        <w:rPr>
          <w:rFonts w:ascii="Arial" w:hAnsi="Arial" w:cs="Arial"/>
          <w:b/>
          <w:bCs/>
          <w:noProof/>
          <w:sz w:val="22"/>
          <w:szCs w:val="22"/>
        </w:rPr>
        <w:t>34</w:t>
      </w:r>
      <w:r>
        <w:rPr>
          <w:rFonts w:ascii="Arial" w:hAnsi="Arial" w:cs="Arial"/>
          <w:bCs/>
          <w:noProof/>
          <w:sz w:val="22"/>
          <w:szCs w:val="22"/>
        </w:rPr>
        <w:t>, 1248-1263.e6 (2022).</w:t>
      </w:r>
    </w:p>
    <w:p w14:paraId="65465B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Liu, C., Liu, C. &amp; Fu, R. Research progress on the role of PKM2 in the immune response. </w:t>
      </w:r>
      <w:r w:rsidRPr="005504D9">
        <w:rPr>
          <w:rFonts w:ascii="Arial" w:hAnsi="Arial" w:cs="Arial"/>
          <w:bCs/>
          <w:i/>
          <w:noProof/>
          <w:sz w:val="22"/>
          <w:szCs w:val="22"/>
        </w:rPr>
        <w:t>Front. Immunol.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936967 (2022).</w:t>
      </w:r>
    </w:p>
    <w:p w14:paraId="4C69CBD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Tang, Q. </w:t>
      </w:r>
      <w:r w:rsidRPr="005504D9">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5504D9">
        <w:rPr>
          <w:rFonts w:ascii="Arial" w:hAnsi="Arial" w:cs="Arial"/>
          <w:bCs/>
          <w:i/>
          <w:noProof/>
          <w:sz w:val="22"/>
          <w:szCs w:val="22"/>
        </w:rPr>
        <w:t>Dig. Dis. Sci.</w:t>
      </w:r>
      <w:r>
        <w:rPr>
          <w:rFonts w:ascii="Arial" w:hAnsi="Arial" w:cs="Arial"/>
          <w:bCs/>
          <w:noProof/>
          <w:sz w:val="22"/>
          <w:szCs w:val="22"/>
        </w:rPr>
        <w:t xml:space="preserve"> </w:t>
      </w:r>
      <w:r w:rsidRPr="005504D9">
        <w:rPr>
          <w:rFonts w:ascii="Arial" w:hAnsi="Arial" w:cs="Arial"/>
          <w:b/>
          <w:bCs/>
          <w:noProof/>
          <w:sz w:val="22"/>
          <w:szCs w:val="22"/>
        </w:rPr>
        <w:t>60</w:t>
      </w:r>
      <w:r>
        <w:rPr>
          <w:rFonts w:ascii="Arial" w:hAnsi="Arial" w:cs="Arial"/>
          <w:bCs/>
          <w:noProof/>
          <w:sz w:val="22"/>
          <w:szCs w:val="22"/>
        </w:rPr>
        <w:t>, 393–404 (2015).</w:t>
      </w:r>
    </w:p>
    <w:p w14:paraId="512FBAC9"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Rihan, M. &amp; Sharma, S. S. Role of Pyruvate Kinase M2 (PKM2) in Cardiovascular Diseases. </w:t>
      </w:r>
      <w:r w:rsidRPr="005504D9">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2CC4D48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De Paoli-Iseppi, R., Gleeson, J. &amp; Clark, M. B. Isoform Age - Splice Isoform Profiling Using Long-Read Technologies. </w:t>
      </w:r>
      <w:r w:rsidRPr="005504D9">
        <w:rPr>
          <w:rFonts w:ascii="Arial" w:hAnsi="Arial" w:cs="Arial"/>
          <w:bCs/>
          <w:i/>
          <w:noProof/>
          <w:sz w:val="22"/>
          <w:szCs w:val="22"/>
        </w:rPr>
        <w:t>Front Mol Biosci</w:t>
      </w:r>
      <w:r>
        <w:rPr>
          <w:rFonts w:ascii="Arial" w:hAnsi="Arial" w:cs="Arial"/>
          <w:bCs/>
          <w:noProof/>
          <w:sz w:val="22"/>
          <w:szCs w:val="22"/>
        </w:rPr>
        <w:t xml:space="preserve"> </w:t>
      </w:r>
      <w:r w:rsidRPr="005504D9">
        <w:rPr>
          <w:rFonts w:ascii="Arial" w:hAnsi="Arial" w:cs="Arial"/>
          <w:b/>
          <w:bCs/>
          <w:noProof/>
          <w:sz w:val="22"/>
          <w:szCs w:val="22"/>
        </w:rPr>
        <w:t>8</w:t>
      </w:r>
      <w:r>
        <w:rPr>
          <w:rFonts w:ascii="Arial" w:hAnsi="Arial" w:cs="Arial"/>
          <w:bCs/>
          <w:noProof/>
          <w:sz w:val="22"/>
          <w:szCs w:val="22"/>
        </w:rPr>
        <w:t>, 711733 (2021).</w:t>
      </w:r>
    </w:p>
    <w:p w14:paraId="004F83A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de la Rubia, I. </w:t>
      </w:r>
      <w:r w:rsidRPr="005504D9">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23</w:t>
      </w:r>
      <w:r>
        <w:rPr>
          <w:rFonts w:ascii="Arial" w:hAnsi="Arial" w:cs="Arial"/>
          <w:bCs/>
          <w:noProof/>
          <w:sz w:val="22"/>
          <w:szCs w:val="22"/>
        </w:rPr>
        <w:t>, 153 (2022).</w:t>
      </w:r>
    </w:p>
    <w:p w14:paraId="1607D39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342 (2021).</w:t>
      </w:r>
    </w:p>
    <w:p w14:paraId="1F0836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39.</w:t>
      </w:r>
      <w:r>
        <w:rPr>
          <w:rFonts w:ascii="Arial" w:hAnsi="Arial" w:cs="Arial"/>
          <w:bCs/>
          <w:noProof/>
          <w:sz w:val="22"/>
          <w:szCs w:val="22"/>
        </w:rPr>
        <w:tab/>
        <w:t xml:space="preserve">Stephens, Z. D. </w:t>
      </w:r>
      <w:r w:rsidRPr="005504D9">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5504D9">
        <w:rPr>
          <w:rFonts w:ascii="Arial" w:hAnsi="Arial" w:cs="Arial"/>
          <w:bCs/>
          <w:i/>
          <w:noProof/>
          <w:sz w:val="22"/>
          <w:szCs w:val="22"/>
        </w:rPr>
        <w:t>PLoS One</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e0167047 (2016).</w:t>
      </w:r>
    </w:p>
    <w:p w14:paraId="3D2A60B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Eliseev, A. </w:t>
      </w:r>
      <w:r w:rsidRPr="005504D9">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5504D9">
        <w:rPr>
          <w:rFonts w:ascii="Arial" w:hAnsi="Arial" w:cs="Arial"/>
          <w:bCs/>
          <w:i/>
          <w:noProof/>
          <w:sz w:val="22"/>
          <w:szCs w:val="22"/>
        </w:rPr>
        <w:t>Infect. Genet. Evol.</w:t>
      </w:r>
      <w:r>
        <w:rPr>
          <w:rFonts w:ascii="Arial" w:hAnsi="Arial" w:cs="Arial"/>
          <w:bCs/>
          <w:noProof/>
          <w:sz w:val="22"/>
          <w:szCs w:val="22"/>
        </w:rPr>
        <w:t xml:space="preserve"> </w:t>
      </w:r>
      <w:r w:rsidRPr="005504D9">
        <w:rPr>
          <w:rFonts w:ascii="Arial" w:hAnsi="Arial" w:cs="Arial"/>
          <w:b/>
          <w:bCs/>
          <w:noProof/>
          <w:sz w:val="22"/>
          <w:szCs w:val="22"/>
        </w:rPr>
        <w:t>82</w:t>
      </w:r>
      <w:r>
        <w:rPr>
          <w:rFonts w:ascii="Arial" w:hAnsi="Arial" w:cs="Arial"/>
          <w:bCs/>
          <w:noProof/>
          <w:sz w:val="22"/>
          <w:szCs w:val="22"/>
        </w:rPr>
        <w:t>, 104277 (2020).</w:t>
      </w:r>
    </w:p>
    <w:p w14:paraId="2D650B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Cosma, B.-M. </w:t>
      </w:r>
      <w:r w:rsidRPr="005504D9">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5504D9">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64BB563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Voshall, A. &amp; Moriyama, E. N. Next-generation transcriptome assembly and analysis: Impact of ploidy. </w:t>
      </w:r>
      <w:r w:rsidRPr="005504D9">
        <w:rPr>
          <w:rFonts w:ascii="Arial" w:hAnsi="Arial" w:cs="Arial"/>
          <w:bCs/>
          <w:i/>
          <w:noProof/>
          <w:sz w:val="22"/>
          <w:szCs w:val="22"/>
        </w:rPr>
        <w:t>Methods</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14–24 (2020).</w:t>
      </w:r>
    </w:p>
    <w:p w14:paraId="116133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Walter, C., Schuetzmann, D., Rosenbauer, F. &amp; Dugas, M. Benchmarking of 4C-seq pipelines based on real and simulated data.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35</w:t>
      </w:r>
      <w:r>
        <w:rPr>
          <w:rFonts w:ascii="Arial" w:hAnsi="Arial" w:cs="Arial"/>
          <w:bCs/>
          <w:noProof/>
          <w:sz w:val="22"/>
          <w:szCs w:val="22"/>
        </w:rPr>
        <w:t>, 4938–4945 (2019).</w:t>
      </w:r>
    </w:p>
    <w:p w14:paraId="5C0FFA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5504D9">
        <w:rPr>
          <w:rFonts w:ascii="Arial" w:hAnsi="Arial" w:cs="Arial"/>
          <w:bCs/>
          <w:i/>
          <w:noProof/>
          <w:sz w:val="22"/>
          <w:szCs w:val="22"/>
        </w:rPr>
        <w:t>Nat. Methods</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792–798 (2016).</w:t>
      </w:r>
    </w:p>
    <w:p w14:paraId="3E20999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5504D9">
        <w:rPr>
          <w:rFonts w:ascii="Arial" w:hAnsi="Arial" w:cs="Arial"/>
          <w:bCs/>
          <w:i/>
          <w:noProof/>
          <w:sz w:val="22"/>
          <w:szCs w:val="22"/>
        </w:rPr>
        <w:t>Front. Genet.</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309 (2019).</w:t>
      </w:r>
    </w:p>
    <w:p w14:paraId="10BDF4A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Sheynkman, G. M. </w:t>
      </w:r>
      <w:r w:rsidRPr="005504D9">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2326 (2020).</w:t>
      </w:r>
    </w:p>
    <w:p w14:paraId="1E8ADB1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5504D9">
        <w:rPr>
          <w:rFonts w:ascii="Arial" w:hAnsi="Arial" w:cs="Arial"/>
          <w:bCs/>
          <w:i/>
          <w:noProof/>
          <w:sz w:val="22"/>
          <w:szCs w:val="22"/>
        </w:rPr>
        <w:t>AMB Express</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45 (2019).</w:t>
      </w:r>
    </w:p>
    <w:p w14:paraId="6E7B1F5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Escalona, M., Rocha, S. &amp; Posada, D. A comparison of tools for the simulation of genomic next-generation sequencing data. </w:t>
      </w:r>
      <w:r w:rsidRPr="005504D9">
        <w:rPr>
          <w:rFonts w:ascii="Arial" w:hAnsi="Arial" w:cs="Arial"/>
          <w:bCs/>
          <w:i/>
          <w:noProof/>
          <w:sz w:val="22"/>
          <w:szCs w:val="22"/>
        </w:rPr>
        <w:t>Nat. Rev.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459–469 (2016).</w:t>
      </w:r>
    </w:p>
    <w:p w14:paraId="3D7ED22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Wick, R. Badread: simulation of error-prone long reads. </w:t>
      </w:r>
      <w:r w:rsidRPr="005504D9">
        <w:rPr>
          <w:rFonts w:ascii="Arial" w:hAnsi="Arial" w:cs="Arial"/>
          <w:bCs/>
          <w:i/>
          <w:noProof/>
          <w:sz w:val="22"/>
          <w:szCs w:val="22"/>
        </w:rPr>
        <w:t>J. Open Source Softw.</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1316 (2019).</w:t>
      </w:r>
    </w:p>
    <w:p w14:paraId="2F33B73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Hafezqorani, S. </w:t>
      </w:r>
      <w:r w:rsidRPr="005504D9">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5504D9">
        <w:rPr>
          <w:rFonts w:ascii="Arial" w:hAnsi="Arial" w:cs="Arial"/>
          <w:bCs/>
          <w:i/>
          <w:noProof/>
          <w:sz w:val="22"/>
          <w:szCs w:val="22"/>
        </w:rPr>
        <w:t>Gigascience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B1967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Ono, Y., Hamada, M. &amp; Asai, K. PBSIM3: a simulator for all types of PacBio and ONT long reads. </w:t>
      </w:r>
      <w:r w:rsidRPr="005504D9">
        <w:rPr>
          <w:rFonts w:ascii="Arial" w:hAnsi="Arial" w:cs="Arial"/>
          <w:bCs/>
          <w:i/>
          <w:noProof/>
          <w:sz w:val="22"/>
          <w:szCs w:val="22"/>
        </w:rPr>
        <w:t>NAR Genom Bioinform</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lqac092 (2022).</w:t>
      </w:r>
    </w:p>
    <w:p w14:paraId="65271A8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Lau, B. </w:t>
      </w:r>
      <w:r w:rsidRPr="005504D9">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32</w:t>
      </w:r>
      <w:r>
        <w:rPr>
          <w:rFonts w:ascii="Arial" w:hAnsi="Arial" w:cs="Arial"/>
          <w:bCs/>
          <w:noProof/>
          <w:sz w:val="22"/>
          <w:szCs w:val="22"/>
        </w:rPr>
        <w:t>, 3829–3832 (2016).</w:t>
      </w:r>
    </w:p>
    <w:p w14:paraId="7F662CE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53.</w:t>
      </w:r>
      <w:r>
        <w:rPr>
          <w:rFonts w:ascii="Arial" w:hAnsi="Arial" w:cs="Arial"/>
          <w:bCs/>
          <w:noProof/>
          <w:sz w:val="22"/>
          <w:szCs w:val="22"/>
        </w:rPr>
        <w:tab/>
        <w:t xml:space="preserve">Zhang, W., Jia, B. &amp; Wei, C. PaSS: a sequencing simulator for PacBio sequencing. </w:t>
      </w:r>
      <w:r w:rsidRPr="005504D9">
        <w:rPr>
          <w:rFonts w:ascii="Arial" w:hAnsi="Arial" w:cs="Arial"/>
          <w:bCs/>
          <w:i/>
          <w:noProof/>
          <w:sz w:val="22"/>
          <w:szCs w:val="22"/>
        </w:rPr>
        <w:t>BMC Bioinformatics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352 (2019).</w:t>
      </w:r>
    </w:p>
    <w:p w14:paraId="3C2078F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Schmeing, S. &amp; Robinson, M. D. ReSeq simulates realistic Illumina high-throughput sequencing data.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67 (2021).</w:t>
      </w:r>
    </w:p>
    <w:p w14:paraId="38FFBE8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Amarasinghe, S. L. </w:t>
      </w:r>
      <w:r w:rsidRPr="005504D9">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21</w:t>
      </w:r>
      <w:r>
        <w:rPr>
          <w:rFonts w:ascii="Arial" w:hAnsi="Arial" w:cs="Arial"/>
          <w:bCs/>
          <w:noProof/>
          <w:sz w:val="22"/>
          <w:szCs w:val="22"/>
        </w:rPr>
        <w:t>, 30 (2020).</w:t>
      </w:r>
    </w:p>
    <w:p w14:paraId="1C1C0747" w14:textId="05729A26" w:rsidR="00CA0D47" w:rsidRPr="00EB5B39" w:rsidRDefault="005504D9"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56.</w:t>
      </w:r>
      <w:r>
        <w:rPr>
          <w:rFonts w:ascii="Arial" w:hAnsi="Arial" w:cs="Arial"/>
          <w:bCs/>
          <w:noProof/>
          <w:sz w:val="22"/>
          <w:szCs w:val="22"/>
        </w:rPr>
        <w:tab/>
        <w:t xml:space="preserve">Al Kadi, M. </w:t>
      </w:r>
      <w:r w:rsidRPr="005504D9">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5504D9">
        <w:rPr>
          <w:rFonts w:ascii="Arial" w:hAnsi="Arial" w:cs="Arial"/>
          <w:bCs/>
          <w:i/>
          <w:noProof/>
          <w:sz w:val="22"/>
          <w:szCs w:val="22"/>
        </w:rPr>
        <w:t>Funct. Integr. Genomics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4T20:04:00Z" w:initials="JD">
    <w:p w14:paraId="5BB998E5" w14:textId="77777777" w:rsidR="003E1CDE" w:rsidRDefault="003E1CDE">
      <w:pPr>
        <w:pStyle w:val="CommentText"/>
      </w:pPr>
      <w:r>
        <w:rPr>
          <w:rStyle w:val="CommentReference"/>
        </w:rPr>
        <w:annotationRef/>
      </w:r>
      <w:r>
        <w:t>Move background from barriers to progress up to back ground</w:t>
      </w:r>
    </w:p>
    <w:p w14:paraId="533DBFD7" w14:textId="77777777" w:rsidR="003E1CDE" w:rsidRDefault="003E1CDE" w:rsidP="003E1CDE">
      <w:pPr>
        <w:pStyle w:val="CommentText"/>
        <w:numPr>
          <w:ilvl w:val="0"/>
          <w:numId w:val="8"/>
        </w:numPr>
      </w:pPr>
      <w:r>
        <w:t>MXES</w:t>
      </w:r>
    </w:p>
    <w:p w14:paraId="17789E91" w14:textId="77777777" w:rsidR="003E1CDE" w:rsidRDefault="003E1CDE" w:rsidP="003E1CDE">
      <w:pPr>
        <w:pStyle w:val="CommentText"/>
        <w:numPr>
          <w:ilvl w:val="0"/>
          <w:numId w:val="8"/>
        </w:numPr>
      </w:pPr>
      <w:r>
        <w:t>PKM</w:t>
      </w:r>
    </w:p>
    <w:p w14:paraId="444B7477" w14:textId="60F4C386" w:rsidR="003E1CDE" w:rsidRDefault="003E1CDE" w:rsidP="003E1CDE">
      <w:pPr>
        <w:pStyle w:val="CommentText"/>
        <w:numPr>
          <w:ilvl w:val="0"/>
          <w:numId w:val="8"/>
        </w:numPr>
      </w:pPr>
      <w:r>
        <w:t>MPSAs</w:t>
      </w:r>
    </w:p>
    <w:p w14:paraId="0B651BBB" w14:textId="77777777" w:rsidR="003E1CDE" w:rsidRDefault="003E1CDE" w:rsidP="003E1CDE">
      <w:pPr>
        <w:pStyle w:val="CommentText"/>
      </w:pPr>
    </w:p>
    <w:p w14:paraId="3F6D044D" w14:textId="4FFD3B35" w:rsidR="003E1CDE" w:rsidRDefault="003E1CDE" w:rsidP="003E1CDE">
      <w:pPr>
        <w:pStyle w:val="CommentText"/>
      </w:pPr>
      <w:r>
        <w:t>Cut down on colloquial language make sound more technical</w:t>
      </w:r>
    </w:p>
    <w:p w14:paraId="166E25CA" w14:textId="77777777" w:rsidR="003E1CDE" w:rsidRDefault="003E1CDE" w:rsidP="003E1CDE">
      <w:pPr>
        <w:pStyle w:val="CommentText"/>
      </w:pPr>
    </w:p>
    <w:p w14:paraId="674E4196" w14:textId="75928414" w:rsidR="003E1CDE" w:rsidRDefault="003E1CDE" w:rsidP="003E1CDE">
      <w:pPr>
        <w:pStyle w:val="CommentText"/>
      </w:pPr>
      <w:r>
        <w:t>Background 3 paragraphs</w:t>
      </w:r>
    </w:p>
    <w:p w14:paraId="445D95C3" w14:textId="70ADED8A" w:rsidR="003E1CDE" w:rsidRDefault="003E1CDE" w:rsidP="003E1CDE">
      <w:pPr>
        <w:pStyle w:val="CommentText"/>
        <w:numPr>
          <w:ilvl w:val="0"/>
          <w:numId w:val="8"/>
        </w:numPr>
      </w:pPr>
      <w:r>
        <w:t>P1 Splicing</w:t>
      </w:r>
    </w:p>
    <w:p w14:paraId="30292829" w14:textId="52F85944" w:rsidR="003E1CDE" w:rsidRDefault="003E1CDE" w:rsidP="003E1CDE">
      <w:pPr>
        <w:pStyle w:val="CommentText"/>
        <w:numPr>
          <w:ilvl w:val="1"/>
          <w:numId w:val="8"/>
        </w:numPr>
      </w:pPr>
      <w:r>
        <w:t>High level</w:t>
      </w:r>
    </w:p>
    <w:p w14:paraId="46E5442E" w14:textId="360656CC" w:rsidR="003E1CDE" w:rsidRDefault="003E1CDE" w:rsidP="003E1CDE">
      <w:pPr>
        <w:pStyle w:val="CommentText"/>
        <w:numPr>
          <w:ilvl w:val="1"/>
          <w:numId w:val="8"/>
        </w:numPr>
      </w:pPr>
      <w:r>
        <w:t xml:space="preserve">Alternative mRNA splicing is a fundamental aspect of </w:t>
      </w:r>
      <w:proofErr w:type="spellStart"/>
      <w:r>
        <w:t>eukariotic</w:t>
      </w:r>
      <w:proofErr w:type="spellEnd"/>
      <w:r>
        <w:t xml:space="preserve"> regulation</w:t>
      </w:r>
    </w:p>
    <w:p w14:paraId="2CF4D099" w14:textId="21206A49" w:rsidR="003E1CDE" w:rsidRDefault="003E1CDE" w:rsidP="003E1CDE">
      <w:pPr>
        <w:pStyle w:val="CommentText"/>
        <w:numPr>
          <w:ilvl w:val="1"/>
          <w:numId w:val="8"/>
        </w:numPr>
      </w:pPr>
      <w:r>
        <w:t xml:space="preserve">Describe splicing </w:t>
      </w:r>
    </w:p>
    <w:p w14:paraId="7FF1E84A" w14:textId="2DD06E6B" w:rsidR="003E1CDE" w:rsidRDefault="003E1CDE" w:rsidP="003E1CDE">
      <w:pPr>
        <w:pStyle w:val="CommentText"/>
        <w:numPr>
          <w:ilvl w:val="2"/>
          <w:numId w:val="8"/>
        </w:numPr>
      </w:pPr>
      <w:r>
        <w:t>Precise jargon</w:t>
      </w:r>
    </w:p>
    <w:p w14:paraId="25E13FE6" w14:textId="52BC8A2E" w:rsidR="003E1CDE" w:rsidRDefault="003E1CDE" w:rsidP="003E1CDE">
      <w:pPr>
        <w:pStyle w:val="CommentText"/>
        <w:numPr>
          <w:ilvl w:val="2"/>
          <w:numId w:val="8"/>
        </w:numPr>
      </w:pPr>
      <w:r>
        <w:t>How splicing proceeds</w:t>
      </w:r>
    </w:p>
    <w:p w14:paraId="7F6EDBBE" w14:textId="695538BC" w:rsidR="003E1CDE" w:rsidRDefault="003E1CDE" w:rsidP="003E1CDE">
      <w:pPr>
        <w:pStyle w:val="CommentText"/>
        <w:numPr>
          <w:ilvl w:val="2"/>
          <w:numId w:val="8"/>
        </w:numPr>
      </w:pPr>
      <w:r>
        <w:t>Mechanistic description</w:t>
      </w:r>
    </w:p>
    <w:p w14:paraId="7BC6F534" w14:textId="5D00F290" w:rsidR="003E1CDE" w:rsidRDefault="003E1CDE" w:rsidP="003E1CDE">
      <w:pPr>
        <w:pStyle w:val="CommentText"/>
        <w:numPr>
          <w:ilvl w:val="2"/>
          <w:numId w:val="8"/>
        </w:numPr>
      </w:pPr>
      <w:r>
        <w:t>Use all the terms exon intron isoform 5’ ss 3’ss</w:t>
      </w:r>
    </w:p>
    <w:p w14:paraId="03893D0B" w14:textId="77777777" w:rsidR="003E1CDE" w:rsidRDefault="003E1CDE" w:rsidP="003E1CDE">
      <w:pPr>
        <w:pStyle w:val="CommentText"/>
        <w:numPr>
          <w:ilvl w:val="0"/>
          <w:numId w:val="8"/>
        </w:numPr>
      </w:pPr>
      <w:r>
        <w:t xml:space="preserve">P2 </w:t>
      </w:r>
      <w:r>
        <w:t>MXE mechanisms poorly understood and important</w:t>
      </w:r>
      <w:r>
        <w:t xml:space="preserve"> </w:t>
      </w:r>
    </w:p>
    <w:p w14:paraId="4CDBD585" w14:textId="55971289" w:rsidR="003E1CDE" w:rsidRDefault="003E1CDE" w:rsidP="003E1CDE">
      <w:pPr>
        <w:pStyle w:val="CommentText"/>
        <w:numPr>
          <w:ilvl w:val="1"/>
          <w:numId w:val="8"/>
        </w:numPr>
      </w:pPr>
      <w:r>
        <w:t>Make sure to demonstrate mu knowledge</w:t>
      </w:r>
    </w:p>
    <w:p w14:paraId="76FE12F7" w14:textId="0D140A9A" w:rsidR="003E1CDE" w:rsidRDefault="003E1CDE" w:rsidP="003E1CDE">
      <w:pPr>
        <w:pStyle w:val="CommentText"/>
        <w:numPr>
          <w:ilvl w:val="1"/>
          <w:numId w:val="8"/>
        </w:numPr>
      </w:pPr>
      <w:r>
        <w:t>Describe DSCAM as classic example</w:t>
      </w:r>
    </w:p>
    <w:p w14:paraId="4DCC9A02" w14:textId="4C3ECC57" w:rsidR="003E1CDE" w:rsidRDefault="003E1CDE" w:rsidP="003E1CDE">
      <w:pPr>
        <w:pStyle w:val="CommentText"/>
        <w:numPr>
          <w:ilvl w:val="1"/>
          <w:numId w:val="8"/>
        </w:numPr>
      </w:pPr>
      <w:r>
        <w:t>Know to occur in humans</w:t>
      </w:r>
    </w:p>
    <w:p w14:paraId="37E27871" w14:textId="548AFD0D" w:rsidR="003E1CDE" w:rsidRDefault="003E1CDE" w:rsidP="003E1CDE">
      <w:pPr>
        <w:pStyle w:val="CommentText"/>
        <w:numPr>
          <w:ilvl w:val="1"/>
          <w:numId w:val="8"/>
        </w:numPr>
      </w:pPr>
      <w:r>
        <w:t>What are the known mechanisms</w:t>
      </w:r>
    </w:p>
    <w:p w14:paraId="03CF8226" w14:textId="4613B568" w:rsidR="003E1CDE" w:rsidRDefault="003E1CDE" w:rsidP="003E1CDE">
      <w:pPr>
        <w:pStyle w:val="CommentText"/>
        <w:numPr>
          <w:ilvl w:val="2"/>
          <w:numId w:val="8"/>
        </w:numPr>
      </w:pPr>
      <w:r>
        <w:t>Describe mechanistically</w:t>
      </w:r>
    </w:p>
    <w:p w14:paraId="3D178582" w14:textId="2CAF249F" w:rsidR="003E1CDE" w:rsidRDefault="003E1CDE" w:rsidP="003E1CDE">
      <w:pPr>
        <w:pStyle w:val="CommentText"/>
        <w:numPr>
          <w:ilvl w:val="1"/>
          <w:numId w:val="8"/>
        </w:numPr>
      </w:pPr>
      <w:proofErr w:type="gramStart"/>
      <w:r>
        <w:t>Overall</w:t>
      </w:r>
      <w:proofErr w:type="gramEnd"/>
      <w:r>
        <w:t xml:space="preserve"> poorly understood in humans</w:t>
      </w:r>
    </w:p>
    <w:p w14:paraId="26F1717E" w14:textId="0902C6C2" w:rsidR="003E1CDE" w:rsidRDefault="003E1CDE" w:rsidP="003E1CDE">
      <w:pPr>
        <w:pStyle w:val="CommentText"/>
        <w:numPr>
          <w:ilvl w:val="0"/>
          <w:numId w:val="8"/>
        </w:numPr>
      </w:pPr>
      <w:r>
        <w:t>P3 is PKM is particularly important</w:t>
      </w:r>
    </w:p>
    <w:p w14:paraId="13B73F1B" w14:textId="11E3FE1B" w:rsidR="003E1CDE" w:rsidRDefault="003E1CDE" w:rsidP="003E1CDE">
      <w:pPr>
        <w:pStyle w:val="CommentText"/>
        <w:numPr>
          <w:ilvl w:val="0"/>
          <w:numId w:val="8"/>
        </w:numPr>
      </w:pPr>
      <w:r>
        <w:t>P4 MPSAs allow the study but the application to MXEs hindered by 2 barriers</w:t>
      </w:r>
    </w:p>
    <w:p w14:paraId="6B634861" w14:textId="77777777" w:rsidR="003E1CDE" w:rsidRDefault="003E1CDE" w:rsidP="003E1CDE">
      <w:pPr>
        <w:pStyle w:val="CommentText"/>
        <w:numPr>
          <w:ilvl w:val="0"/>
          <w:numId w:val="8"/>
        </w:numPr>
      </w:pPr>
    </w:p>
    <w:p w14:paraId="2B9D84D5" w14:textId="77777777" w:rsidR="003E1CDE" w:rsidRDefault="003E1CDE" w:rsidP="003E1CDE">
      <w:pPr>
        <w:pStyle w:val="CommentText"/>
      </w:pPr>
    </w:p>
    <w:p w14:paraId="5E149EDE" w14:textId="77777777" w:rsidR="003E1CDE" w:rsidRDefault="003E1CDE" w:rsidP="003E1CDE">
      <w:pPr>
        <w:pStyle w:val="CommentText"/>
      </w:pPr>
      <w:r>
        <w:t>Combine Barrier 1 and barrier 2</w:t>
      </w:r>
    </w:p>
    <w:p w14:paraId="7C1164DF" w14:textId="057C7BF3" w:rsidR="003E1CDE" w:rsidRDefault="003E1CDE" w:rsidP="003E1CDE">
      <w:pPr>
        <w:pStyle w:val="CommentText"/>
        <w:numPr>
          <w:ilvl w:val="0"/>
          <w:numId w:val="8"/>
        </w:numPr>
      </w:pPr>
      <w:r>
        <w:t>B1 current MPSAs have limitations</w:t>
      </w:r>
    </w:p>
    <w:p w14:paraId="076EB85C" w14:textId="7BAE249A" w:rsidR="003E1CDE" w:rsidRDefault="003E1CDE" w:rsidP="003E1CDE">
      <w:pPr>
        <w:pStyle w:val="CommentText"/>
        <w:numPr>
          <w:ilvl w:val="1"/>
          <w:numId w:val="8"/>
        </w:numPr>
      </w:pPr>
      <w:r>
        <w:t>MPSAs particularly poorly suited to MXEs</w:t>
      </w:r>
    </w:p>
    <w:p w14:paraId="1D112C69" w14:textId="3A2F4164" w:rsidR="00B1477F" w:rsidRDefault="00B1477F" w:rsidP="003E1CDE">
      <w:pPr>
        <w:pStyle w:val="CommentText"/>
        <w:numPr>
          <w:ilvl w:val="1"/>
          <w:numId w:val="8"/>
        </w:numPr>
      </w:pPr>
      <w:r>
        <w:t>Minigenes are hard to make</w:t>
      </w:r>
    </w:p>
    <w:p w14:paraId="19FE1B24" w14:textId="5DD627BD" w:rsidR="003E1CDE" w:rsidRDefault="003E1CDE" w:rsidP="003E1CDE">
      <w:pPr>
        <w:pStyle w:val="CommentText"/>
        <w:numPr>
          <w:ilvl w:val="0"/>
          <w:numId w:val="8"/>
        </w:numPr>
      </w:pPr>
      <w:r>
        <w:t xml:space="preserve">B2 there is a lack of software that hinders uptake </w:t>
      </w:r>
    </w:p>
  </w:comment>
  <w:comment w:id="1"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 w:author="John Desmarais" w:date="2023-04-04T20:18:00Z" w:initials="JD">
    <w:p w14:paraId="12C3022D" w14:textId="7B886779" w:rsidR="00B1477F" w:rsidRDefault="00B1477F">
      <w:pPr>
        <w:pStyle w:val="CommentText"/>
      </w:pPr>
      <w:r>
        <w:rPr>
          <w:rStyle w:val="CommentReference"/>
        </w:rPr>
        <w:annotationRef/>
      </w:r>
      <w:r>
        <w:t>Add minigene library production</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E1B24" w15:done="0"/>
  <w15:commentEx w15:paraId="60EC4C4A" w15:done="0"/>
  <w15:commentEx w15:paraId="12C3022D"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148" w16cex:dateUtc="2023-04-05T00:04:00Z"/>
  <w16cex:commentExtensible w16cex:durableId="27D535C0" w16cex:dateUtc="2023-04-03T15:23:00Z"/>
  <w16cex:commentExtensible w16cex:durableId="27D704A4" w16cex:dateUtc="2023-04-05T00:18: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E1B24" w16cid:durableId="27D70148"/>
  <w16cid:commentId w16cid:paraId="60EC4C4A" w16cid:durableId="27D535C0"/>
  <w16cid:commentId w16cid:paraId="12C3022D" w16cid:durableId="27D704A4"/>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7875" w14:textId="77777777" w:rsidR="00CB6A72" w:rsidRDefault="00CB6A72" w:rsidP="00242D15">
      <w:r>
        <w:separator/>
      </w:r>
    </w:p>
  </w:endnote>
  <w:endnote w:type="continuationSeparator" w:id="0">
    <w:p w14:paraId="6854D5A7" w14:textId="77777777" w:rsidR="00CB6A72" w:rsidRDefault="00CB6A72"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9EDD4" w14:textId="77777777" w:rsidR="00CB6A72" w:rsidRDefault="00CB6A72" w:rsidP="00242D15">
      <w:r>
        <w:separator/>
      </w:r>
    </w:p>
  </w:footnote>
  <w:footnote w:type="continuationSeparator" w:id="0">
    <w:p w14:paraId="0645078C" w14:textId="77777777" w:rsidR="00CB6A72" w:rsidRDefault="00CB6A72"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D272F"/>
    <w:rsid w:val="001F3F72"/>
    <w:rsid w:val="001F7959"/>
    <w:rsid w:val="00200566"/>
    <w:rsid w:val="00204BD2"/>
    <w:rsid w:val="00206632"/>
    <w:rsid w:val="0022176C"/>
    <w:rsid w:val="00223CF2"/>
    <w:rsid w:val="002249F6"/>
    <w:rsid w:val="00242D15"/>
    <w:rsid w:val="002430E4"/>
    <w:rsid w:val="00244CDD"/>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30409"/>
    <w:rsid w:val="0034401F"/>
    <w:rsid w:val="003662B0"/>
    <w:rsid w:val="003666F1"/>
    <w:rsid w:val="00371BE0"/>
    <w:rsid w:val="003728B0"/>
    <w:rsid w:val="00376540"/>
    <w:rsid w:val="00394E75"/>
    <w:rsid w:val="003966EC"/>
    <w:rsid w:val="003B7F7F"/>
    <w:rsid w:val="003C628F"/>
    <w:rsid w:val="003D46B6"/>
    <w:rsid w:val="003E03ED"/>
    <w:rsid w:val="003E0D65"/>
    <w:rsid w:val="003E1CDE"/>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4E2335"/>
    <w:rsid w:val="0051129A"/>
    <w:rsid w:val="005504D9"/>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10BDA"/>
    <w:rsid w:val="00726468"/>
    <w:rsid w:val="00761713"/>
    <w:rsid w:val="0078423E"/>
    <w:rsid w:val="00786D26"/>
    <w:rsid w:val="0079764C"/>
    <w:rsid w:val="007C0215"/>
    <w:rsid w:val="007C7620"/>
    <w:rsid w:val="007D310E"/>
    <w:rsid w:val="007F24A5"/>
    <w:rsid w:val="007F685F"/>
    <w:rsid w:val="008020DF"/>
    <w:rsid w:val="00821520"/>
    <w:rsid w:val="008241C1"/>
    <w:rsid w:val="00824463"/>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B623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4B41"/>
    <w:rsid w:val="00A579DE"/>
    <w:rsid w:val="00A638F8"/>
    <w:rsid w:val="00A765A3"/>
    <w:rsid w:val="00AA5E16"/>
    <w:rsid w:val="00AA74D4"/>
    <w:rsid w:val="00AD3001"/>
    <w:rsid w:val="00AD6D31"/>
    <w:rsid w:val="00AE0771"/>
    <w:rsid w:val="00B01AFE"/>
    <w:rsid w:val="00B04835"/>
    <w:rsid w:val="00B106B7"/>
    <w:rsid w:val="00B11743"/>
    <w:rsid w:val="00B1477F"/>
    <w:rsid w:val="00B227C8"/>
    <w:rsid w:val="00B2349F"/>
    <w:rsid w:val="00B24656"/>
    <w:rsid w:val="00B32B39"/>
    <w:rsid w:val="00B332DC"/>
    <w:rsid w:val="00B554B0"/>
    <w:rsid w:val="00B617E4"/>
    <w:rsid w:val="00B737CF"/>
    <w:rsid w:val="00B84323"/>
    <w:rsid w:val="00B85C91"/>
    <w:rsid w:val="00B93B6D"/>
    <w:rsid w:val="00B9495F"/>
    <w:rsid w:val="00BA6FF0"/>
    <w:rsid w:val="00BB0821"/>
    <w:rsid w:val="00BF110C"/>
    <w:rsid w:val="00C01C8A"/>
    <w:rsid w:val="00C07B1F"/>
    <w:rsid w:val="00C1261B"/>
    <w:rsid w:val="00C32715"/>
    <w:rsid w:val="00C40C08"/>
    <w:rsid w:val="00C50D07"/>
    <w:rsid w:val="00C72932"/>
    <w:rsid w:val="00C75DAD"/>
    <w:rsid w:val="00C97664"/>
    <w:rsid w:val="00CA0B58"/>
    <w:rsid w:val="00CA0D47"/>
    <w:rsid w:val="00CA6B18"/>
    <w:rsid w:val="00CB6A72"/>
    <w:rsid w:val="00CC4BC4"/>
    <w:rsid w:val="00CD16DE"/>
    <w:rsid w:val="00CE20AB"/>
    <w:rsid w:val="00CE2104"/>
    <w:rsid w:val="00CE264C"/>
    <w:rsid w:val="00CE5379"/>
    <w:rsid w:val="00CE6FD7"/>
    <w:rsid w:val="00CF150B"/>
    <w:rsid w:val="00CF41ED"/>
    <w:rsid w:val="00D04137"/>
    <w:rsid w:val="00D04C83"/>
    <w:rsid w:val="00D14166"/>
    <w:rsid w:val="00D17E98"/>
    <w:rsid w:val="00D21FF4"/>
    <w:rsid w:val="00D234F8"/>
    <w:rsid w:val="00D45262"/>
    <w:rsid w:val="00D5145D"/>
    <w:rsid w:val="00D72824"/>
    <w:rsid w:val="00D74A59"/>
    <w:rsid w:val="00DA516F"/>
    <w:rsid w:val="00DA5C46"/>
    <w:rsid w:val="00DD3170"/>
    <w:rsid w:val="00DE2F35"/>
    <w:rsid w:val="00DE630F"/>
    <w:rsid w:val="00DE7156"/>
    <w:rsid w:val="00DF2BC9"/>
    <w:rsid w:val="00DF63C6"/>
    <w:rsid w:val="00E111A6"/>
    <w:rsid w:val="00E23545"/>
    <w:rsid w:val="00E32F9D"/>
    <w:rsid w:val="00E330A0"/>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4B0C"/>
    <w:rsid w:val="00F66B02"/>
    <w:rsid w:val="00F816B1"/>
    <w:rsid w:val="00F93F46"/>
    <w:rsid w:val="00F9772C"/>
    <w:rsid w:val="00FA759F"/>
    <w:rsid w:val="00FB42BA"/>
    <w:rsid w:val="00FB6579"/>
    <w:rsid w:val="00FC0257"/>
    <w:rsid w:val="00FC3711"/>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9</Pages>
  <Words>45899</Words>
  <Characters>253366</Characters>
  <Application>Microsoft Office Word</Application>
  <DocSecurity>0</DocSecurity>
  <Lines>3248</Lines>
  <Paragraphs>1031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101</cp:revision>
  <dcterms:created xsi:type="dcterms:W3CDTF">2023-03-30T14:01:00Z</dcterms:created>
  <dcterms:modified xsi:type="dcterms:W3CDTF">2023-04-05T00:21:00Z</dcterms:modified>
</cp:coreProperties>
</file>