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 w:rsidP="00F3041D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37E03FB0" w14:textId="71F5FB25" w:rsidR="00CA0D47" w:rsidRDefault="00493EAE" w:rsidP="00F3041D">
      <w:pPr>
        <w:spacing w:after="120"/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Splicing is a process where introns are removed from pre-mRNAs and the exons are stitched together. This offers the potential to introduce tremendous diversity into the proteome by changing which sequences from the pre-mRNA are included as exons.</w:t>
      </w:r>
      <w:r>
        <w:rPr>
          <w:rFonts w:ascii="Arial" w:hAnsi="Arial" w:cs="Arial"/>
          <w:sz w:val="22"/>
          <w:szCs w:val="22"/>
        </w:rPr>
        <w:t xml:space="preserve"> </w:t>
      </w:r>
      <w:r w:rsidRPr="00493EAE">
        <w:rPr>
          <w:rFonts w:ascii="Arial" w:hAnsi="Arial" w:cs="Arial"/>
          <w:sz w:val="22"/>
          <w:szCs w:val="22"/>
        </w:rPr>
        <w:t>Accordingly, more than 90% of human genes are alternatively spliced.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paperpile_citation &lt;clusterId&gt;L368Z628O919S739&lt;/clusterId&gt;&lt;metadata&gt;&lt;citation&gt;&lt;id&gt;3443a64d-e270-400e-aa95-d8df588a1cf5&lt;/id&gt;&lt;/citation&gt;&lt;/metadata&gt;&lt;data&gt;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&lt;/data&gt; \* MERGEFORMAT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93EAE">
        <w:rPr>
          <w:rFonts w:ascii="Arial" w:hAnsi="Arial" w:cs="Arial"/>
          <w:noProof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 w:rsidRPr="00493EAE">
        <w:rPr>
          <w:rFonts w:ascii="Arial" w:hAnsi="Arial" w:cs="Arial"/>
          <w:sz w:val="22"/>
          <w:szCs w:val="22"/>
        </w:rPr>
        <w:t xml:space="preserve"> Errors in splicing are involved in a wide variety of human diseases including familial dysautonomia, early onset Parkinson disease, and cancer.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paperpile_citation &lt;clusterId&gt;P759D117S587W211&lt;/clusterId&gt;&lt;metadata&gt;&lt;citation&gt;&lt;id&gt;c1f835d9-5a6c-4e00-b127-f12126ddaa68&lt;/id&gt;&lt;/citation&gt;&lt;/metadata&gt;&lt;data&gt;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&lt;/data&gt; \* MERGEFORMAT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93EAE">
        <w:rPr>
          <w:rFonts w:ascii="Arial" w:hAnsi="Arial" w:cs="Arial"/>
          <w:noProof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493EAE">
        <w:rPr>
          <w:rFonts w:ascii="Arial" w:hAnsi="Arial" w:cs="Arial"/>
          <w:sz w:val="22"/>
          <w:szCs w:val="22"/>
        </w:rPr>
        <w:t>Recent efforts have produced drugs that modulate splicing outcomes to treat spinal muscular atrophy, Huntington's disease, Duchenne muscular dystrophy, and cancer.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paperpile_citation &lt;clusterId&gt;I784V141R522P225&lt;/clusterId&gt;&lt;metadata&gt;&lt;citation&gt;&lt;id&gt;54a0960b-c3f8-41ed-95f8-99c5c1735af5&lt;/id&gt;&lt;/citation&gt;&lt;/metadata&gt;&lt;data&gt;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&lt;/data&gt; \* MERGEFORMAT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93EAE">
        <w:rPr>
          <w:rFonts w:ascii="Arial" w:hAnsi="Arial" w:cs="Arial"/>
          <w:noProof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However, despite these recent advances, mechanisms of splicing regulation are still poorly understood. </w:t>
      </w:r>
      <w:r w:rsidRPr="00493EAE">
        <w:rPr>
          <w:rFonts w:ascii="Arial" w:hAnsi="Arial" w:cs="Arial"/>
          <w:sz w:val="22"/>
          <w:szCs w:val="22"/>
        </w:rPr>
        <w:t>Improving our understanding of splicing will deepen our knowledge of development and differentiation and our ability to target these processes with therapeutics.</w:t>
      </w:r>
      <w:r w:rsidR="00CA0D47">
        <w:rPr>
          <w:rFonts w:ascii="Arial" w:hAnsi="Arial" w:cs="Arial"/>
          <w:sz w:val="22"/>
          <w:szCs w:val="22"/>
        </w:rPr>
        <w:t xml:space="preserve"> </w:t>
      </w:r>
    </w:p>
    <w:p w14:paraId="54F1F965" w14:textId="77777777" w:rsidR="00F3041D" w:rsidRPr="00CA0D47" w:rsidRDefault="00F3041D" w:rsidP="00F3041D">
      <w:pPr>
        <w:spacing w:after="120"/>
        <w:rPr>
          <w:rFonts w:ascii="Arial" w:hAnsi="Arial" w:cs="Arial"/>
          <w:sz w:val="22"/>
          <w:szCs w:val="22"/>
        </w:rPr>
      </w:pPr>
    </w:p>
    <w:p w14:paraId="0201D827" w14:textId="50472EDD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Mutually exclusive splicing is important </w:t>
      </w:r>
    </w:p>
    <w:p w14:paraId="303EF9FE" w14:textId="77777777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important in many processes</w:t>
      </w:r>
    </w:p>
    <w:p w14:paraId="6AACF3A9" w14:textId="6BAF657C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 mutations drive disease</w:t>
      </w:r>
    </w:p>
    <w:p w14:paraId="0F915A64" w14:textId="333FF4FB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enriched for disease causing SNPs</w:t>
      </w:r>
    </w:p>
    <w:p w14:paraId="150A3E76" w14:textId="72C31133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Mutually exclusive splicing was once though uncommon</w:t>
      </w:r>
    </w:p>
    <w:p w14:paraId="50CC980F" w14:textId="0223136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Recent work has shown it is much more common than previously thought</w:t>
      </w:r>
    </w:p>
    <w:p w14:paraId="2CF2627E" w14:textId="72CF09B6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Mechanisms that are known for MXEs</w:t>
      </w:r>
    </w:p>
    <w:p w14:paraId="25F315C0" w14:textId="7FD7589E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 MXEs still have no known mechanism</w:t>
      </w: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Differentially regulated across cell types</w:t>
      </w:r>
    </w:p>
    <w:p w14:paraId="0DBCA67F" w14:textId="52A91564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translocate to the nucle</w:t>
      </w:r>
      <w:r w:rsidR="00F37B07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s and act as a regulator</w:t>
      </w:r>
    </w:p>
    <w:p w14:paraId="4C6D4B16" w14:textId="7AC1DBA0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Driver of the Warburg effect</w:t>
      </w:r>
    </w:p>
    <w:p w14:paraId="1281C32D" w14:textId="1C8E535F" w:rsidR="00114868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0F4D45A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Much progress has been made using massively parallel splicing assays (MPSAs) to probe the mechanisms of splicing.\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Ke2018-af, Julien2016-wa, Adamson2018-va, Soemedi2017-pz, Cortes-Lopez2022-gy, Schirman2021-ss, Mikl2019-ng, Braun2018-mb, Soucek2019-iq, Baeza-Centurion2020-tn, Cheung2019-ah, Baeza-Centurion2019-hz, Rosenberg2015-zs, Wong2018-vq} </w:t>
      </w:r>
    </w:p>
    <w:p w14:paraId="6B834E8B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These efforts have utilized Illumina technology which cannot produce reads capable of covering the whole length of most genes, greatly affecting the isoforms that can be detected.</w:t>
      </w:r>
    </w:p>
    <w:p w14:paraId="27692023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This issue has been overcome by studying systems shrunk to fit an Illumina read or by ignoring unexpected isoforms.</w:t>
      </w:r>
    </w:p>
    <w:p w14:paraId="0702991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Yet the median human intron is 1.7 kb in length\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Piovesan2019-rp} far longer than an Illumina read and perturbations can cause complicated changes in splicing outcomes.\supercite{Cortes-Lopez2022-gy,Wang2012-dr,Mathur2019-hy}</w:t>
      </w:r>
    </w:p>
    <w:p w14:paraId="09B7A794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Further, MPSAs have so far focused on the decision to include or exclude a single exon.</w:t>
      </w:r>
    </w:p>
    <w:p w14:paraId="65A49049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However, recent work has begun to show that correlated splicing decisions across exons are far more common than was previously understood.\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Zhu2021-fs, Tilgner2015-sb, Hatje2017-oj,Tilgner2018-jo} </w:t>
      </w:r>
    </w:p>
    <w:p w14:paraId="75403135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particularly interesting case of correlated splicing is mutually exclusive exons (MXEs). </w:t>
      </w:r>
    </w:p>
    <w:p w14:paraId="3AACC5A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MXEs are clusters of exons that are spliced such that every isoform includes exactly one exon from the cluster. </w:t>
      </w:r>
    </w:p>
    <w:p w14:paraId="112753D7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recent analysis of human RNA-seq data identified 629 MXE clusters, of </w:t>
      </w:r>
      <w:proofErr w:type="spellStart"/>
      <w:r w:rsidRPr="00493EAE">
        <w:rPr>
          <w:rFonts w:ascii="Arial" w:hAnsi="Arial" w:cs="Arial"/>
          <w:sz w:val="22"/>
          <w:szCs w:val="22"/>
        </w:rPr>
        <w:t>of</w:t>
      </w:r>
      <w:proofErr w:type="spellEnd"/>
      <w:r w:rsidRPr="00493EAE">
        <w:rPr>
          <w:rFonts w:ascii="Arial" w:hAnsi="Arial" w:cs="Arial"/>
          <w:sz w:val="22"/>
          <w:szCs w:val="22"/>
        </w:rPr>
        <w:t xml:space="preserve"> which less than 25\% had an identifiable mechanism for maintaining mutual exclusivity (MMX).\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Hatje2017-oj} </w:t>
      </w:r>
    </w:p>
    <w:p w14:paraId="2CC80D1D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In order to overcome these issues, I propose to develop a long read massively parallel splicing assay (LR-MPSA) capable of handling correlated splicing, full size introns, and complicated isoform distributions.} </w:t>
      </w:r>
    </w:p>
    <w:p w14:paraId="6E5B0CB3" w14:textId="11ABD93F" w:rsidR="00EB5B39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I will apply this assay to investigating MXEs with a focus on Pyruvate Kinase M (PKM).}</w:t>
      </w: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p w14:paraId="7ECF7FBD" w14:textId="77777777" w:rsidR="00CA0D47" w:rsidRDefault="00CA0D47">
      <w:pPr>
        <w:rPr>
          <w:rFonts w:ascii="Arial" w:hAnsi="Arial" w:cs="Arial"/>
          <w:b/>
          <w:bCs/>
          <w:sz w:val="22"/>
          <w:szCs w:val="22"/>
        </w:rPr>
      </w:pPr>
    </w:p>
    <w:p w14:paraId="1DFC12DC" w14:textId="76CF7D8D" w:rsidR="00493EAE" w:rsidRDefault="00CA0D47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 w:fldLock="1"/>
      </w:r>
      <w:r w:rsidR="00493EAE">
        <w:rPr>
          <w:rFonts w:ascii="Arial" w:hAnsi="Arial" w:cs="Arial"/>
          <w:b/>
          <w:bCs/>
          <w:sz w:val="22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493EAE">
        <w:rPr>
          <w:rFonts w:ascii="Arial" w:hAnsi="Arial" w:cs="Arial"/>
          <w:bCs/>
          <w:noProof/>
          <w:sz w:val="22"/>
          <w:szCs w:val="22"/>
        </w:rPr>
        <w:t>1.</w:t>
      </w:r>
      <w:r w:rsidR="00493EAE">
        <w:rPr>
          <w:rFonts w:ascii="Arial" w:hAnsi="Arial" w:cs="Arial"/>
          <w:bCs/>
          <w:noProof/>
          <w:sz w:val="22"/>
          <w:szCs w:val="22"/>
        </w:rPr>
        <w:tab/>
        <w:t xml:space="preserve">Wang, E. T. </w:t>
      </w:r>
      <w:r w:rsidR="00493EAE" w:rsidRPr="00493EAE">
        <w:rPr>
          <w:rFonts w:ascii="Arial" w:hAnsi="Arial" w:cs="Arial"/>
          <w:bCs/>
          <w:i/>
          <w:noProof/>
          <w:sz w:val="22"/>
          <w:szCs w:val="22"/>
        </w:rPr>
        <w:t>et al.</w:t>
      </w:r>
      <w:r w:rsidR="00493EAE">
        <w:rPr>
          <w:rFonts w:ascii="Arial" w:hAnsi="Arial" w:cs="Arial"/>
          <w:bCs/>
          <w:noProof/>
          <w:sz w:val="22"/>
          <w:szCs w:val="22"/>
        </w:rPr>
        <w:t xml:space="preserve"> Alternative isoform regulation in human tissue transcriptomes. </w:t>
      </w:r>
      <w:r w:rsidR="00493EAE" w:rsidRPr="00493EAE">
        <w:rPr>
          <w:rFonts w:ascii="Arial" w:hAnsi="Arial" w:cs="Arial"/>
          <w:bCs/>
          <w:i/>
          <w:noProof/>
          <w:sz w:val="22"/>
          <w:szCs w:val="22"/>
        </w:rPr>
        <w:t>Nature</w:t>
      </w:r>
      <w:r w:rsidR="00493EAE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b/>
          <w:bCs/>
          <w:noProof/>
          <w:sz w:val="22"/>
          <w:szCs w:val="22"/>
        </w:rPr>
        <w:t>456</w:t>
      </w:r>
      <w:r w:rsidR="00493EAE">
        <w:rPr>
          <w:rFonts w:ascii="Arial" w:hAnsi="Arial" w:cs="Arial"/>
          <w:bCs/>
          <w:noProof/>
          <w:sz w:val="22"/>
          <w:szCs w:val="22"/>
        </w:rPr>
        <w:t>, 470–476 (2008).</w:t>
      </w:r>
    </w:p>
    <w:p w14:paraId="55B66B4D" w14:textId="77777777" w:rsidR="00493EAE" w:rsidRDefault="00493EA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Scotti, M. M. &amp; Swanson, M. S. RNA mis-splicing in disease. </w:t>
      </w:r>
      <w:r w:rsidRPr="00493EAE">
        <w:rPr>
          <w:rFonts w:ascii="Arial" w:hAnsi="Arial" w:cs="Arial"/>
          <w:bCs/>
          <w:i/>
          <w:noProof/>
          <w:sz w:val="22"/>
          <w:szCs w:val="22"/>
        </w:rPr>
        <w:t>Nat. Rev.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493EAE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19–32 (2015).</w:t>
      </w:r>
    </w:p>
    <w:p w14:paraId="1C1C0747" w14:textId="61EFC058" w:rsidR="00CA0D47" w:rsidRPr="00EB5B39" w:rsidRDefault="00493EA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Neil, C. R. </w:t>
      </w:r>
      <w:r w:rsidRPr="00493EA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Reprogramming RNA processing: an emerging therapeutic landscape. </w:t>
      </w:r>
      <w:r w:rsidRPr="00493EAE">
        <w:rPr>
          <w:rFonts w:ascii="Arial" w:hAnsi="Arial" w:cs="Arial"/>
          <w:bCs/>
          <w:i/>
          <w:noProof/>
          <w:sz w:val="22"/>
          <w:szCs w:val="22"/>
        </w:rPr>
        <w:t>Trends Pharmacol.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493EAE">
        <w:rPr>
          <w:rFonts w:ascii="Arial" w:hAnsi="Arial" w:cs="Arial"/>
          <w:b/>
          <w:bCs/>
          <w:noProof/>
          <w:sz w:val="22"/>
          <w:szCs w:val="22"/>
        </w:rPr>
        <w:t>43</w:t>
      </w:r>
      <w:r>
        <w:rPr>
          <w:rFonts w:ascii="Arial" w:hAnsi="Arial" w:cs="Arial"/>
          <w:bCs/>
          <w:noProof/>
          <w:sz w:val="22"/>
          <w:szCs w:val="22"/>
        </w:rPr>
        <w:t>, 437–454 (2022).</w:t>
      </w:r>
      <w:r w:rsidR="00CA0D47">
        <w:rPr>
          <w:rFonts w:ascii="Arial" w:hAnsi="Arial" w:cs="Arial"/>
          <w:b/>
          <w:bCs/>
          <w:sz w:val="22"/>
          <w:szCs w:val="22"/>
        </w:rPr>
        <w:fldChar w:fldCharType="end"/>
      </w:r>
    </w:p>
    <w:sectPr w:rsidR="00CA0D47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H184V144R524P245"/>
    <w:docVar w:name="paperpile-doc-name" w:val="research_strategy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B106B7"/>
    <w:rsid w:val="000078B4"/>
    <w:rsid w:val="000E443D"/>
    <w:rsid w:val="00114868"/>
    <w:rsid w:val="004232E5"/>
    <w:rsid w:val="00493EAE"/>
    <w:rsid w:val="00595A27"/>
    <w:rsid w:val="00706ECD"/>
    <w:rsid w:val="00786D26"/>
    <w:rsid w:val="00A453A8"/>
    <w:rsid w:val="00A638F8"/>
    <w:rsid w:val="00B106B7"/>
    <w:rsid w:val="00C97664"/>
    <w:rsid w:val="00CA0D47"/>
    <w:rsid w:val="00CD16DE"/>
    <w:rsid w:val="00CF41ED"/>
    <w:rsid w:val="00E330A0"/>
    <w:rsid w:val="00EB2395"/>
    <w:rsid w:val="00EB5B39"/>
    <w:rsid w:val="00EC5BA9"/>
    <w:rsid w:val="00F26383"/>
    <w:rsid w:val="00F3041D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1910</Words>
  <Characters>10528</Characters>
  <Application>Microsoft Office Word</Application>
  <DocSecurity>0</DocSecurity>
  <Lines>309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6</cp:revision>
  <dcterms:created xsi:type="dcterms:W3CDTF">2023-03-30T14:01:00Z</dcterms:created>
  <dcterms:modified xsi:type="dcterms:W3CDTF">2023-03-30T17:03:00Z</dcterms:modified>
</cp:coreProperties>
</file>