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FFF0A" w14:textId="77777777" w:rsidR="007C634A" w:rsidRDefault="00000000">
      <w:pPr>
        <w:pStyle w:val="Title"/>
      </w:pPr>
      <w:r>
        <w:t>Active Attack Fact Sheet</w:t>
      </w:r>
    </w:p>
    <w:p w14:paraId="254FFF0B" w14:textId="77777777" w:rsidR="007C634A" w:rsidRDefault="00000000" w:rsidP="0015103D">
      <w:pPr>
        <w:pStyle w:val="Heading1"/>
        <w:jc w:val="center"/>
      </w:pPr>
      <w:bookmarkStart w:id="0" w:name="active-attack-data"/>
      <w:r>
        <w:t>2000 - 2024 Active Attack Data</w:t>
      </w:r>
    </w:p>
    <w:bookmarkEnd w:id="0"/>
    <w:p w14:paraId="254FFF0C" w14:textId="77777777" w:rsidR="007C634A" w:rsidRDefault="00000000" w:rsidP="0015103D">
      <w:pPr>
        <w:pStyle w:val="FirstParagraph"/>
        <w:jc w:val="center"/>
      </w:pPr>
      <w:r>
        <w:rPr>
          <w:noProof/>
        </w:rPr>
        <w:drawing>
          <wp:inline distT="0" distB="0" distL="0" distR="0" wp14:anchorId="254FFF44" wp14:editId="254FFF45">
            <wp:extent cx="2857500" cy="301097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lerrt_center_badge_logo.png"/>
                    <pic:cNvPicPr>
                      <a:picLocks noChangeAspect="1" noChangeArrowheads="1"/>
                    </pic:cNvPicPr>
                  </pic:nvPicPr>
                  <pic:blipFill>
                    <a:blip r:embed="rId5"/>
                    <a:stretch>
                      <a:fillRect/>
                    </a:stretch>
                  </pic:blipFill>
                  <pic:spPr bwMode="auto">
                    <a:xfrm>
                      <a:off x="0" y="0"/>
                      <a:ext cx="2857500" cy="3010971"/>
                    </a:xfrm>
                    <a:prstGeom prst="rect">
                      <a:avLst/>
                    </a:prstGeom>
                    <a:noFill/>
                    <a:ln w="9525">
                      <a:noFill/>
                      <a:headEnd/>
                      <a:tailEnd/>
                    </a:ln>
                  </pic:spPr>
                </pic:pic>
              </a:graphicData>
            </a:graphic>
          </wp:inline>
        </w:drawing>
      </w:r>
    </w:p>
    <w:p w14:paraId="254FFF0D" w14:textId="77777777" w:rsidR="007C634A" w:rsidRDefault="00000000">
      <w:pPr>
        <w:pStyle w:val="BodyText"/>
      </w:pPr>
      <w:r>
        <w:t>This dataset includes all active attacks identified from 2000 through 2024. It is a rolling list, as new events happen, or are found, these data adjust accordingly. These data include the events identified by the FBI through 2024 as well as the active attacks identified by ALERRT for the same time period.</w:t>
      </w:r>
    </w:p>
    <w:p w14:paraId="254FFF0E" w14:textId="77777777" w:rsidR="007C634A" w:rsidRDefault="00000000">
      <w:pPr>
        <w:pStyle w:val="BodyText"/>
      </w:pPr>
      <w:r>
        <w:t xml:space="preserve">There have been </w:t>
      </w:r>
      <w:r>
        <w:rPr>
          <w:b/>
          <w:bCs/>
        </w:rPr>
        <w:t>597</w:t>
      </w:r>
      <w:r>
        <w:t xml:space="preserve"> active attacks identified.</w:t>
      </w:r>
    </w:p>
    <w:p w14:paraId="254FFF0F" w14:textId="77777777" w:rsidR="007C634A" w:rsidRDefault="00000000">
      <w:pPr>
        <w:pStyle w:val="Heading2"/>
      </w:pPr>
      <w:bookmarkStart w:id="1" w:name="weapons"/>
      <w:r>
        <w:t>Weapons</w:t>
      </w:r>
    </w:p>
    <w:p w14:paraId="254FFF10" w14:textId="77777777" w:rsidR="007C634A" w:rsidRDefault="00000000">
      <w:pPr>
        <w:pStyle w:val="FirstParagraph"/>
      </w:pPr>
      <w:r>
        <w:rPr>
          <w:u w:val="single"/>
        </w:rPr>
        <w:t>Primary Weapon:</w:t>
      </w:r>
    </w:p>
    <w:p w14:paraId="254FFF11" w14:textId="77777777" w:rsidR="007C634A" w:rsidRDefault="00000000">
      <w:pPr>
        <w:pStyle w:val="BodyText"/>
      </w:pPr>
      <w:r>
        <w:t xml:space="preserve">Firearm: </w:t>
      </w:r>
      <w:r>
        <w:rPr>
          <w:b/>
          <w:bCs/>
          <w:u w:val="single"/>
        </w:rPr>
        <w:t>557</w:t>
      </w:r>
      <w:r>
        <w:t xml:space="preserve"> (93.3%)</w:t>
      </w:r>
    </w:p>
    <w:p w14:paraId="254FFF12" w14:textId="77777777" w:rsidR="007C634A" w:rsidRDefault="00000000">
      <w:pPr>
        <w:pStyle w:val="BodyText"/>
      </w:pPr>
      <w:r>
        <w:t xml:space="preserve">Blade: </w:t>
      </w:r>
      <w:r>
        <w:rPr>
          <w:b/>
          <w:bCs/>
          <w:u w:val="single"/>
        </w:rPr>
        <w:t>28</w:t>
      </w:r>
      <w:r>
        <w:t xml:space="preserve"> (4.7%)</w:t>
      </w:r>
    </w:p>
    <w:p w14:paraId="254FFF13" w14:textId="77777777" w:rsidR="007C634A" w:rsidRDefault="00000000">
      <w:pPr>
        <w:pStyle w:val="BodyText"/>
      </w:pPr>
      <w:r>
        <w:t xml:space="preserve">Vehicle: </w:t>
      </w:r>
      <w:r>
        <w:rPr>
          <w:b/>
          <w:bCs/>
          <w:u w:val="single"/>
        </w:rPr>
        <w:t>12</w:t>
      </w:r>
      <w:r>
        <w:t xml:space="preserve"> (2%)</w:t>
      </w:r>
    </w:p>
    <w:p w14:paraId="254FFF14" w14:textId="77777777" w:rsidR="007C634A" w:rsidRDefault="00000000">
      <w:pPr>
        <w:pStyle w:val="BodyText"/>
      </w:pPr>
      <w:r>
        <w:t xml:space="preserve">Multiple Weapons used in </w:t>
      </w:r>
      <w:r>
        <w:rPr>
          <w:b/>
          <w:bCs/>
        </w:rPr>
        <w:t>30.7%</w:t>
      </w:r>
      <w:r>
        <w:t xml:space="preserve"> of events.</w:t>
      </w:r>
    </w:p>
    <w:p w14:paraId="254FFF15" w14:textId="77777777" w:rsidR="007C634A" w:rsidRDefault="00000000">
      <w:pPr>
        <w:pStyle w:val="BodyText"/>
      </w:pPr>
      <w:r>
        <w:rPr>
          <w:u w:val="single"/>
        </w:rPr>
        <w:t>Breakdown of Firearms:</w:t>
      </w:r>
    </w:p>
    <w:p w14:paraId="254FFF16" w14:textId="77777777" w:rsidR="007C634A" w:rsidRDefault="00000000">
      <w:pPr>
        <w:pStyle w:val="BodyText"/>
      </w:pPr>
      <w:r>
        <w:t xml:space="preserve">Pistol: </w:t>
      </w:r>
      <w:r>
        <w:rPr>
          <w:b/>
          <w:bCs/>
          <w:u w:val="single"/>
        </w:rPr>
        <w:t>331</w:t>
      </w:r>
      <w:r>
        <w:t xml:space="preserve"> (59.4%)</w:t>
      </w:r>
    </w:p>
    <w:p w14:paraId="254FFF17" w14:textId="77777777" w:rsidR="007C634A" w:rsidRDefault="00000000">
      <w:pPr>
        <w:pStyle w:val="BodyText"/>
      </w:pPr>
      <w:r>
        <w:t xml:space="preserve">Rifle: </w:t>
      </w:r>
      <w:r>
        <w:rPr>
          <w:b/>
          <w:bCs/>
          <w:u w:val="single"/>
        </w:rPr>
        <w:t>170</w:t>
      </w:r>
      <w:r>
        <w:t xml:space="preserve"> (30.5%)</w:t>
      </w:r>
    </w:p>
    <w:p w14:paraId="254FFF18" w14:textId="77777777" w:rsidR="007C634A" w:rsidRDefault="00000000">
      <w:pPr>
        <w:pStyle w:val="BodyText"/>
      </w:pPr>
      <w:r>
        <w:lastRenderedPageBreak/>
        <w:t xml:space="preserve">Shotgun: </w:t>
      </w:r>
      <w:r>
        <w:rPr>
          <w:b/>
          <w:bCs/>
          <w:u w:val="single"/>
        </w:rPr>
        <w:t>49</w:t>
      </w:r>
      <w:r>
        <w:t xml:space="preserve"> (8.8%)</w:t>
      </w:r>
    </w:p>
    <w:p w14:paraId="254FFF19" w14:textId="77777777" w:rsidR="007C634A" w:rsidRDefault="00000000">
      <w:pPr>
        <w:pStyle w:val="BodyText"/>
      </w:pPr>
      <w:r>
        <w:t xml:space="preserve">Unknown: </w:t>
      </w:r>
      <w:r>
        <w:rPr>
          <w:b/>
          <w:bCs/>
          <w:u w:val="single"/>
        </w:rPr>
        <w:t>7</w:t>
      </w:r>
      <w:r>
        <w:t xml:space="preserve"> (1.3%)</w:t>
      </w:r>
    </w:p>
    <w:p w14:paraId="254FFF1A" w14:textId="77777777" w:rsidR="007C634A" w:rsidRDefault="00000000">
      <w:pPr>
        <w:pStyle w:val="Heading2"/>
      </w:pPr>
      <w:bookmarkStart w:id="2" w:name="attackers"/>
      <w:bookmarkEnd w:id="1"/>
      <w:r>
        <w:t>Attackers</w:t>
      </w:r>
    </w:p>
    <w:p w14:paraId="254FFF1B" w14:textId="77777777" w:rsidR="007C634A" w:rsidRDefault="00000000">
      <w:pPr>
        <w:pStyle w:val="FirstParagraph"/>
      </w:pPr>
      <w:r>
        <w:rPr>
          <w:u w:val="single"/>
        </w:rPr>
        <w:t>Number of Attackers:</w:t>
      </w:r>
    </w:p>
    <w:p w14:paraId="254FFF1C" w14:textId="77777777" w:rsidR="007C634A" w:rsidRDefault="00000000">
      <w:pPr>
        <w:pStyle w:val="BodyText"/>
      </w:pPr>
      <w:r>
        <w:t>Part of an active attack can include spillover from a previously excludable event, such as a gang attack. If an event begins as a gang attack and the attacker(s) continue the killing process with unrelated individuals, we include it as an active attack. As a result, we have a small number of cases with multiple attackers.</w:t>
      </w:r>
    </w:p>
    <w:p w14:paraId="254FFF1D" w14:textId="77777777" w:rsidR="007C634A" w:rsidRDefault="00000000">
      <w:pPr>
        <w:pStyle w:val="BodyText"/>
      </w:pPr>
      <w:r>
        <w:t xml:space="preserve">1 Attacker: </w:t>
      </w:r>
      <w:r>
        <w:rPr>
          <w:b/>
          <w:bCs/>
          <w:u w:val="single"/>
        </w:rPr>
        <w:t>582</w:t>
      </w:r>
      <w:r>
        <w:t xml:space="preserve"> (97.5%)</w:t>
      </w:r>
    </w:p>
    <w:p w14:paraId="254FFF1E" w14:textId="77777777" w:rsidR="007C634A" w:rsidRDefault="00000000">
      <w:pPr>
        <w:pStyle w:val="BodyText"/>
      </w:pPr>
      <w:r>
        <w:t xml:space="preserve">2 Attackers: </w:t>
      </w:r>
      <w:r>
        <w:rPr>
          <w:b/>
          <w:bCs/>
          <w:u w:val="single"/>
        </w:rPr>
        <w:t>12</w:t>
      </w:r>
      <w:r>
        <w:t xml:space="preserve"> (2%)</w:t>
      </w:r>
    </w:p>
    <w:p w14:paraId="254FFF1F" w14:textId="77777777" w:rsidR="007C634A" w:rsidRDefault="00000000">
      <w:pPr>
        <w:pStyle w:val="BodyText"/>
      </w:pPr>
      <w:r>
        <w:t xml:space="preserve">3 Attackers: </w:t>
      </w:r>
      <w:r>
        <w:rPr>
          <w:b/>
          <w:bCs/>
          <w:u w:val="single"/>
        </w:rPr>
        <w:t>3</w:t>
      </w:r>
      <w:r>
        <w:t xml:space="preserve"> (0.5%)</w:t>
      </w:r>
    </w:p>
    <w:p w14:paraId="254FFF20" w14:textId="77777777" w:rsidR="007C634A" w:rsidRDefault="00000000">
      <w:pPr>
        <w:pStyle w:val="BodyText"/>
      </w:pPr>
      <w:r>
        <w:rPr>
          <w:u w:val="single"/>
        </w:rPr>
        <w:t>Race:</w:t>
      </w:r>
    </w:p>
    <w:p w14:paraId="254FFF21" w14:textId="77777777" w:rsidR="007C634A" w:rsidRDefault="00000000">
      <w:pPr>
        <w:pStyle w:val="BodyText"/>
      </w:pPr>
      <w:r>
        <w:t xml:space="preserve">African American: </w:t>
      </w:r>
      <w:r>
        <w:rPr>
          <w:b/>
          <w:bCs/>
          <w:u w:val="single"/>
        </w:rPr>
        <w:t>175</w:t>
      </w:r>
      <w:r>
        <w:t xml:space="preserve"> (29.3%)</w:t>
      </w:r>
    </w:p>
    <w:p w14:paraId="254FFF22" w14:textId="77777777" w:rsidR="007C634A" w:rsidRDefault="00000000">
      <w:pPr>
        <w:pStyle w:val="BodyText"/>
      </w:pPr>
      <w:r>
        <w:t xml:space="preserve">Asian: </w:t>
      </w:r>
      <w:r>
        <w:rPr>
          <w:b/>
          <w:bCs/>
          <w:u w:val="single"/>
        </w:rPr>
        <w:t>22</w:t>
      </w:r>
      <w:r>
        <w:t xml:space="preserve"> (3.7%)</w:t>
      </w:r>
    </w:p>
    <w:p w14:paraId="254FFF23" w14:textId="77777777" w:rsidR="007C634A" w:rsidRDefault="00000000">
      <w:pPr>
        <w:pStyle w:val="BodyText"/>
      </w:pPr>
      <w:r>
        <w:t xml:space="preserve">Caucasian: </w:t>
      </w:r>
      <w:r>
        <w:rPr>
          <w:b/>
          <w:bCs/>
          <w:u w:val="single"/>
        </w:rPr>
        <w:t>282</w:t>
      </w:r>
      <w:r>
        <w:t xml:space="preserve"> (47.2%)</w:t>
      </w:r>
    </w:p>
    <w:p w14:paraId="254FFF24" w14:textId="77777777" w:rsidR="007C634A" w:rsidRDefault="00000000">
      <w:pPr>
        <w:pStyle w:val="BodyText"/>
      </w:pPr>
      <w:r>
        <w:t xml:space="preserve">Latino: </w:t>
      </w:r>
      <w:r>
        <w:rPr>
          <w:b/>
          <w:bCs/>
          <w:u w:val="single"/>
        </w:rPr>
        <w:t>78</w:t>
      </w:r>
      <w:r>
        <w:t>(13.1%)</w:t>
      </w:r>
    </w:p>
    <w:p w14:paraId="254FFF25" w14:textId="77777777" w:rsidR="007C634A" w:rsidRDefault="00000000">
      <w:pPr>
        <w:pStyle w:val="BodyText"/>
      </w:pPr>
      <w:r>
        <w:t xml:space="preserve">Middle Eastern: </w:t>
      </w:r>
      <w:r>
        <w:rPr>
          <w:b/>
          <w:bCs/>
          <w:u w:val="single"/>
        </w:rPr>
        <w:t>16</w:t>
      </w:r>
      <w:r>
        <w:t xml:space="preserve"> (2.7%)</w:t>
      </w:r>
    </w:p>
    <w:p w14:paraId="254FFF26" w14:textId="77777777" w:rsidR="007C634A" w:rsidRDefault="00000000">
      <w:pPr>
        <w:pStyle w:val="BodyText"/>
      </w:pPr>
      <w:r>
        <w:t xml:space="preserve">Other: </w:t>
      </w:r>
      <w:r>
        <w:rPr>
          <w:b/>
          <w:bCs/>
          <w:u w:val="single"/>
        </w:rPr>
        <w:t>4</w:t>
      </w:r>
      <w:r>
        <w:t xml:space="preserve"> (0.7%)</w:t>
      </w:r>
    </w:p>
    <w:p w14:paraId="254FFF27" w14:textId="77777777" w:rsidR="007C634A" w:rsidRDefault="00000000">
      <w:pPr>
        <w:pStyle w:val="BodyText"/>
      </w:pPr>
      <w:r>
        <w:t xml:space="preserve">Unknown: </w:t>
      </w:r>
      <w:r>
        <w:rPr>
          <w:b/>
          <w:bCs/>
          <w:u w:val="single"/>
        </w:rPr>
        <w:t>20</w:t>
      </w:r>
      <w:r>
        <w:t xml:space="preserve"> (3.4%)</w:t>
      </w:r>
    </w:p>
    <w:p w14:paraId="254FFF28" w14:textId="77777777" w:rsidR="007C634A" w:rsidRDefault="00000000">
      <w:pPr>
        <w:pStyle w:val="BodyText"/>
      </w:pPr>
      <w:r>
        <w:rPr>
          <w:u w:val="single"/>
        </w:rPr>
        <w:t>Attacker/Victim Relationship:</w:t>
      </w:r>
    </w:p>
    <w:p w14:paraId="254FFF29" w14:textId="77777777" w:rsidR="007C634A" w:rsidRDefault="00000000">
      <w:pPr>
        <w:pStyle w:val="BodyText"/>
      </w:pPr>
      <w:r>
        <w:t xml:space="preserve">No Relationship: </w:t>
      </w:r>
      <w:r>
        <w:rPr>
          <w:b/>
          <w:bCs/>
          <w:u w:val="single"/>
        </w:rPr>
        <w:t>388</w:t>
      </w:r>
      <w:r>
        <w:t xml:space="preserve"> (65%)</w:t>
      </w:r>
    </w:p>
    <w:p w14:paraId="254FFF2A" w14:textId="77777777" w:rsidR="007C634A" w:rsidRDefault="00000000">
      <w:pPr>
        <w:pStyle w:val="BodyText"/>
      </w:pPr>
      <w:r>
        <w:t xml:space="preserve">Employee/Former Employee: </w:t>
      </w:r>
      <w:r>
        <w:rPr>
          <w:b/>
          <w:bCs/>
          <w:u w:val="single"/>
        </w:rPr>
        <w:t>94</w:t>
      </w:r>
      <w:r>
        <w:t xml:space="preserve"> (15.7%)</w:t>
      </w:r>
    </w:p>
    <w:p w14:paraId="254FFF2B" w14:textId="77777777" w:rsidR="007C634A" w:rsidRDefault="00000000">
      <w:pPr>
        <w:pStyle w:val="BodyText"/>
      </w:pPr>
      <w:r>
        <w:t xml:space="preserve">Student/Former Student: </w:t>
      </w:r>
      <w:r>
        <w:rPr>
          <w:b/>
          <w:bCs/>
          <w:u w:val="single"/>
        </w:rPr>
        <w:t>67</w:t>
      </w:r>
      <w:r>
        <w:t xml:space="preserve"> (11.2%)</w:t>
      </w:r>
    </w:p>
    <w:p w14:paraId="254FFF2C" w14:textId="77777777" w:rsidR="007C634A" w:rsidRDefault="00000000">
      <w:pPr>
        <w:pStyle w:val="BodyText"/>
      </w:pPr>
      <w:r>
        <w:t xml:space="preserve">All Other: </w:t>
      </w:r>
      <w:r>
        <w:rPr>
          <w:b/>
          <w:bCs/>
          <w:u w:val="single"/>
        </w:rPr>
        <w:t>48</w:t>
      </w:r>
      <w:r>
        <w:t xml:space="preserve"> (8%)</w:t>
      </w:r>
    </w:p>
    <w:p w14:paraId="254FFF2D" w14:textId="77777777" w:rsidR="007C634A" w:rsidRDefault="00000000">
      <w:pPr>
        <w:pStyle w:val="Heading2"/>
      </w:pPr>
      <w:bookmarkStart w:id="3" w:name="locations"/>
      <w:bookmarkEnd w:id="2"/>
      <w:r>
        <w:t>Locations</w:t>
      </w:r>
    </w:p>
    <w:p w14:paraId="254FFF2E" w14:textId="77777777" w:rsidR="007C634A" w:rsidRDefault="00000000">
      <w:pPr>
        <w:pStyle w:val="FirstParagraph"/>
      </w:pPr>
      <w:r>
        <w:rPr>
          <w:u w:val="single"/>
        </w:rPr>
        <w:t>Location of Attacks:</w:t>
      </w:r>
    </w:p>
    <w:p w14:paraId="254FFF2F" w14:textId="77777777" w:rsidR="007C634A" w:rsidRDefault="00000000">
      <w:pPr>
        <w:pStyle w:val="BodyText"/>
      </w:pPr>
      <w:r>
        <w:t xml:space="preserve">Business: </w:t>
      </w:r>
      <w:r>
        <w:rPr>
          <w:b/>
          <w:bCs/>
          <w:u w:val="single"/>
        </w:rPr>
        <w:t>269</w:t>
      </w:r>
      <w:r>
        <w:t xml:space="preserve"> (45.1%)</w:t>
      </w:r>
    </w:p>
    <w:p w14:paraId="254FFF30" w14:textId="77777777" w:rsidR="007C634A" w:rsidRDefault="00000000">
      <w:pPr>
        <w:pStyle w:val="BodyText"/>
      </w:pPr>
      <w:r>
        <w:t xml:space="preserve">School: </w:t>
      </w:r>
      <w:r>
        <w:rPr>
          <w:b/>
          <w:bCs/>
          <w:u w:val="single"/>
        </w:rPr>
        <w:t>80</w:t>
      </w:r>
      <w:r>
        <w:t xml:space="preserve"> (13.4%)</w:t>
      </w:r>
    </w:p>
    <w:p w14:paraId="254FFF31" w14:textId="77777777" w:rsidR="007C634A" w:rsidRDefault="00000000">
      <w:pPr>
        <w:pStyle w:val="BodyText"/>
      </w:pPr>
      <w:r>
        <w:lastRenderedPageBreak/>
        <w:t xml:space="preserve">Public/Outdoors: </w:t>
      </w:r>
      <w:r>
        <w:rPr>
          <w:b/>
          <w:bCs/>
          <w:u w:val="single"/>
        </w:rPr>
        <w:t>166</w:t>
      </w:r>
      <w:r>
        <w:t xml:space="preserve"> (27.8%)</w:t>
      </w:r>
    </w:p>
    <w:p w14:paraId="254FFF32" w14:textId="77777777" w:rsidR="007C634A" w:rsidRDefault="00000000">
      <w:pPr>
        <w:pStyle w:val="BodyText"/>
      </w:pPr>
      <w:r>
        <w:t xml:space="preserve">Church: </w:t>
      </w:r>
      <w:r>
        <w:rPr>
          <w:b/>
          <w:bCs/>
          <w:u w:val="single"/>
        </w:rPr>
        <w:t>20</w:t>
      </w:r>
      <w:r>
        <w:t xml:space="preserve"> (3.4%)</w:t>
      </w:r>
    </w:p>
    <w:p w14:paraId="254FFF33" w14:textId="77777777" w:rsidR="007C634A" w:rsidRDefault="00000000">
      <w:pPr>
        <w:pStyle w:val="BodyText"/>
      </w:pPr>
      <w:r>
        <w:t xml:space="preserve">Military Base: </w:t>
      </w:r>
      <w:r>
        <w:rPr>
          <w:b/>
          <w:bCs/>
          <w:u w:val="single"/>
        </w:rPr>
        <w:t>6</w:t>
      </w:r>
      <w:r>
        <w:t xml:space="preserve"> (1%)</w:t>
      </w:r>
    </w:p>
    <w:p w14:paraId="254FFF34" w14:textId="77777777" w:rsidR="007C634A" w:rsidRDefault="00000000">
      <w:pPr>
        <w:pStyle w:val="BodyText"/>
      </w:pPr>
      <w:r>
        <w:t xml:space="preserve">All Other: </w:t>
      </w:r>
      <w:r>
        <w:rPr>
          <w:b/>
          <w:bCs/>
          <w:u w:val="single"/>
        </w:rPr>
        <w:t>56</w:t>
      </w:r>
      <w:r>
        <w:t xml:space="preserve"> (9.4%)</w:t>
      </w:r>
    </w:p>
    <w:p w14:paraId="254FFF35" w14:textId="77777777" w:rsidR="007C634A" w:rsidRDefault="00000000">
      <w:pPr>
        <w:pStyle w:val="Heading2"/>
      </w:pPr>
      <w:bookmarkStart w:id="4" w:name="resolutions"/>
      <w:bookmarkEnd w:id="3"/>
      <w:r>
        <w:t>Resolutions</w:t>
      </w:r>
    </w:p>
    <w:p w14:paraId="254FFF36" w14:textId="77777777" w:rsidR="007C634A" w:rsidRDefault="00000000">
      <w:pPr>
        <w:pStyle w:val="FirstParagraph"/>
      </w:pPr>
      <w:r>
        <w:t>Prior to LE Arrival (347 [58.2%])</w:t>
      </w:r>
    </w:p>
    <w:p w14:paraId="254FFF37" w14:textId="77777777" w:rsidR="007C634A" w:rsidRDefault="00000000">
      <w:pPr>
        <w:pStyle w:val="BodyText"/>
      </w:pPr>
      <w:r>
        <w:t xml:space="preserve">            Shot by Civilian: </w:t>
      </w:r>
      <w:r>
        <w:rPr>
          <w:b/>
          <w:bCs/>
          <w:u w:val="single"/>
        </w:rPr>
        <w:t>27</w:t>
      </w:r>
      <w:r>
        <w:t>(4.5%)</w:t>
      </w:r>
    </w:p>
    <w:p w14:paraId="254FFF38" w14:textId="77777777" w:rsidR="007C634A" w:rsidRDefault="00000000">
      <w:pPr>
        <w:pStyle w:val="BodyText"/>
      </w:pPr>
      <w:r>
        <w:t xml:space="preserve">            Subdued by Civilian: </w:t>
      </w:r>
      <w:r>
        <w:rPr>
          <w:b/>
          <w:bCs/>
          <w:u w:val="single"/>
        </w:rPr>
        <w:t>53</w:t>
      </w:r>
      <w:r>
        <w:t xml:space="preserve"> (8.9%)</w:t>
      </w:r>
    </w:p>
    <w:p w14:paraId="254FFF39" w14:textId="77777777" w:rsidR="007C634A" w:rsidRDefault="00000000">
      <w:pPr>
        <w:pStyle w:val="BodyText"/>
      </w:pPr>
      <w:r>
        <w:t xml:space="preserve">            Suicide before Police Arrival: </w:t>
      </w:r>
      <w:r>
        <w:rPr>
          <w:b/>
          <w:bCs/>
          <w:u w:val="single"/>
        </w:rPr>
        <w:t>81</w:t>
      </w:r>
      <w:r>
        <w:t xml:space="preserve"> (13.6%)</w:t>
      </w:r>
    </w:p>
    <w:p w14:paraId="254FFF3A" w14:textId="77777777" w:rsidR="007C634A" w:rsidRDefault="00000000">
      <w:pPr>
        <w:pStyle w:val="BodyText"/>
      </w:pPr>
      <w:r>
        <w:t xml:space="preserve">            Flee the Scene: </w:t>
      </w:r>
      <w:r>
        <w:rPr>
          <w:b/>
          <w:bCs/>
          <w:u w:val="single"/>
        </w:rPr>
        <w:t>186</w:t>
      </w:r>
      <w:r>
        <w:t xml:space="preserve"> (31.2%)</w:t>
      </w:r>
    </w:p>
    <w:p w14:paraId="254FFF3B" w14:textId="77777777" w:rsidR="007C634A" w:rsidRDefault="00000000">
      <w:pPr>
        <w:pStyle w:val="BodyText"/>
      </w:pPr>
      <w:r>
        <w:t>After LE Arrival (250 [41.8%])</w:t>
      </w:r>
    </w:p>
    <w:p w14:paraId="254FFF3C" w14:textId="77777777" w:rsidR="007C634A" w:rsidRDefault="00000000">
      <w:pPr>
        <w:pStyle w:val="BodyText"/>
      </w:pPr>
      <w:r>
        <w:t xml:space="preserve">            Shot by Police: </w:t>
      </w:r>
      <w:r>
        <w:rPr>
          <w:b/>
          <w:bCs/>
          <w:u w:val="single"/>
        </w:rPr>
        <w:t>132</w:t>
      </w:r>
      <w:r>
        <w:t xml:space="preserve"> (22.1%)</w:t>
      </w:r>
    </w:p>
    <w:p w14:paraId="254FFF3D" w14:textId="77777777" w:rsidR="007C634A" w:rsidRDefault="00000000">
      <w:pPr>
        <w:pStyle w:val="BodyText"/>
      </w:pPr>
      <w:r>
        <w:t xml:space="preserve">            Subdued by Police: </w:t>
      </w:r>
      <w:r>
        <w:rPr>
          <w:b/>
          <w:bCs/>
          <w:u w:val="single"/>
        </w:rPr>
        <w:t>54</w:t>
      </w:r>
      <w:r>
        <w:t xml:space="preserve"> (9%)</w:t>
      </w:r>
    </w:p>
    <w:p w14:paraId="254FFF3E" w14:textId="77777777" w:rsidR="007C634A" w:rsidRDefault="00000000">
      <w:pPr>
        <w:pStyle w:val="BodyText"/>
      </w:pPr>
      <w:r>
        <w:t xml:space="preserve">            Suicide after Police Arrival: </w:t>
      </w:r>
      <w:r>
        <w:rPr>
          <w:b/>
          <w:bCs/>
          <w:u w:val="single"/>
        </w:rPr>
        <w:t>47</w:t>
      </w:r>
      <w:r>
        <w:t xml:space="preserve"> (7.9%)</w:t>
      </w:r>
    </w:p>
    <w:p w14:paraId="254FFF3F" w14:textId="77777777" w:rsidR="007C634A" w:rsidRDefault="00000000">
      <w:pPr>
        <w:pStyle w:val="BodyText"/>
      </w:pPr>
      <w:r>
        <w:t xml:space="preserve">            Surrendered: </w:t>
      </w:r>
      <w:r>
        <w:rPr>
          <w:b/>
          <w:bCs/>
          <w:u w:val="single"/>
        </w:rPr>
        <w:t>17</w:t>
      </w:r>
      <w:r>
        <w:t xml:space="preserve"> (2.8%)</w:t>
      </w:r>
    </w:p>
    <w:p w14:paraId="254FFF40" w14:textId="77777777" w:rsidR="007C634A" w:rsidRDefault="00000000">
      <w:pPr>
        <w:pStyle w:val="Heading2"/>
      </w:pPr>
      <w:bookmarkStart w:id="5" w:name="victims"/>
      <w:bookmarkEnd w:id="4"/>
      <w:r>
        <w:t>Victims</w:t>
      </w:r>
    </w:p>
    <w:p w14:paraId="254FFF41" w14:textId="77777777" w:rsidR="007C634A" w:rsidRDefault="00000000">
      <w:pPr>
        <w:pStyle w:val="FirstParagraph"/>
      </w:pPr>
      <w:r>
        <w:t xml:space="preserve">Total: </w:t>
      </w:r>
      <w:r>
        <w:rPr>
          <w:b/>
          <w:bCs/>
          <w:u w:val="single"/>
        </w:rPr>
        <w:t>4055</w:t>
      </w:r>
      <w:r>
        <w:t xml:space="preserve"> (Median # of Victims: </w:t>
      </w:r>
      <w:r>
        <w:rPr>
          <w:b/>
          <w:bCs/>
          <w:u w:val="single"/>
        </w:rPr>
        <w:t>4</w:t>
      </w:r>
      <w:r>
        <w:t>)</w:t>
      </w:r>
    </w:p>
    <w:p w14:paraId="254FFF42" w14:textId="77777777" w:rsidR="007C634A" w:rsidRDefault="00000000">
      <w:pPr>
        <w:pStyle w:val="BodyText"/>
      </w:pPr>
      <w:r>
        <w:t xml:space="preserve">Wounded: </w:t>
      </w:r>
      <w:r>
        <w:rPr>
          <w:b/>
          <w:bCs/>
          <w:u w:val="single"/>
        </w:rPr>
        <w:t>2640</w:t>
      </w:r>
      <w:r>
        <w:t xml:space="preserve"> (Median # of Wounded: </w:t>
      </w:r>
      <w:r>
        <w:rPr>
          <w:b/>
          <w:bCs/>
          <w:u w:val="single"/>
        </w:rPr>
        <w:t>2</w:t>
      </w:r>
      <w:r>
        <w:t>)</w:t>
      </w:r>
    </w:p>
    <w:p w14:paraId="254FFF43" w14:textId="77777777" w:rsidR="007C634A" w:rsidRDefault="00000000">
      <w:pPr>
        <w:pStyle w:val="BodyText"/>
      </w:pPr>
      <w:r>
        <w:t xml:space="preserve">Killed: </w:t>
      </w:r>
      <w:r>
        <w:rPr>
          <w:b/>
          <w:bCs/>
          <w:u w:val="single"/>
        </w:rPr>
        <w:t>1415</w:t>
      </w:r>
      <w:r>
        <w:t xml:space="preserve"> (Median # of Victims Killed: </w:t>
      </w:r>
      <w:r>
        <w:rPr>
          <w:b/>
          <w:bCs/>
          <w:u w:val="single"/>
        </w:rPr>
        <w:t>1</w:t>
      </w:r>
      <w:r>
        <w:t>)</w:t>
      </w:r>
      <w:bookmarkEnd w:id="5"/>
    </w:p>
    <w:sectPr w:rsidR="007C634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978BE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677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C634A"/>
    <w:rsid w:val="0015103D"/>
    <w:rsid w:val="007C634A"/>
    <w:rsid w:val="00D2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F0A"/>
  <w15:docId w15:val="{15F0ABB1-1E97-4A03-9E3E-628920D3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Attack Fact Sheet</dc:title>
  <dc:creator/>
  <cp:keywords/>
  <cp:lastModifiedBy>Johncox, Jack</cp:lastModifiedBy>
  <cp:revision>2</cp:revision>
  <dcterms:created xsi:type="dcterms:W3CDTF">2025-10-09T18:25:00Z</dcterms:created>
  <dcterms:modified xsi:type="dcterms:W3CDTF">2025-10-09T18:35:00Z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itle-block-banner">
    <vt:lpwstr>#571C1F</vt:lpwstr>
  </property>
  <property fmtid="{D5CDD505-2E9C-101B-9397-08002B2CF9AE}" pid="10" name="toc-title">
    <vt:lpwstr>Table of contents</vt:lpwstr>
  </property>
</Properties>
</file>