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120"/>
      </w:pPr>
      <w:r>
        <w:rPr>
          <w:rFonts w:ascii="Arial" w:cs="Arial" w:eastAsia="Arial" w:hAnsi="Arial"/>
          <w:b/>
          <w:bCs/>
          <w:color w:val="FFFFFF"/>
          <w:sz w:val="36"/>
          <w:szCs w:val="36"/>
        </w:rPr>
        <w:t xml:space="preserve">Prospect Theory and Opponent Inference in Strategic Deterrence</w:t>
      </w:r>
    </w:p>
    <w:p>
      <w:pPr>
        <w:spacing w:before="0" w:after="200"/>
      </w:pPr>
      <w:r>
        <w:rPr>
          <w:rFonts w:ascii="Arial" w:cs="Arial" w:eastAsia="Arial" w:hAnsi="Arial"/>
          <w:i/>
          <w:iCs/>
          <w:color w:val="666666"/>
          <w:sz w:val="22"/>
          <w:szCs w:val="22"/>
        </w:rPr>
        <w:t xml:space="preserve">Decision Making Under Uncertainty — Project Proposal B: Focused Approach</w:t>
      </w:r>
    </w:p>
    <w:p>
      <w:pPr>
        <w:pBdr>
          <w:bottom w:val="single" w:color="2E75B6" w:sz="6" w:space="1"/>
        </w:pBdr>
        <w:spacing w:before="240" w:after="80"/>
      </w:pPr>
      <w:r>
        <w:rPr>
          <w:rFonts w:ascii="Arial" w:cs="Arial" w:eastAsia="Arial" w:hAnsi="Arial"/>
          <w:b/>
          <w:bCs/>
          <w:color w:val="1F4E79"/>
          <w:sz w:val="26"/>
          <w:szCs w:val="26"/>
        </w:rPr>
        <w:t xml:space="preserve">Overview</w:t>
      </w:r>
    </w:p>
    <w:p>
      <w:pPr>
        <w:spacing w:before="80" w:after="80"/>
      </w:pPr>
      <w:r>
        <w:rPr>
          <w:rFonts w:ascii="Arial" w:cs="Arial" w:eastAsia="Arial" w:hAnsi="Arial"/>
          <w:sz w:val="22"/>
          <w:szCs w:val="22"/>
        </w:rPr>
        <w:t xml:space="preserve">This project focuses on a single, well-scoped research question: does replacing expected utility maximization with prospect theory meaningfully change equilibrium behavior in a multi-agent deterrence setting, and can agents learn to infer their opponent's behavioral parameters from observation? The environment is a two-agent Partially Observable Stochastic Game (POSG) formalized around the DIME framework (Diplomatic, Informational, Military, Economic instruments of statecraft).</w:t>
      </w:r>
    </w:p>
    <w:p>
      <w:pPr>
        <w:pBdr>
          <w:bottom w:val="single" w:color="2E75B6" w:sz="6" w:space="1"/>
        </w:pBdr>
        <w:spacing w:before="240" w:after="80"/>
      </w:pPr>
      <w:r>
        <w:rPr>
          <w:rFonts w:ascii="Arial" w:cs="Arial" w:eastAsia="Arial" w:hAnsi="Arial"/>
          <w:b/>
          <w:bCs/>
          <w:color w:val="1F4E79"/>
          <w:sz w:val="26"/>
          <w:szCs w:val="26"/>
        </w:rPr>
        <w:t xml:space="preserve">Research Question</w:t>
      </w:r>
    </w:p>
    <w:p>
      <w:pPr>
        <w:spacing w:before="80" w:after="80"/>
      </w:pPr>
      <w:r>
        <w:rPr>
          <w:rFonts w:ascii="Arial" w:cs="Arial" w:eastAsia="Arial" w:hAnsi="Arial"/>
          <w:b/>
          <w:bCs/>
          <w:sz w:val="22"/>
          <w:szCs w:val="22"/>
        </w:rPr>
        <w:t xml:space="preserve">Two sub-questions drive the project:</w:t>
      </w:r>
    </w:p>
    <w:p>
      <w:pPr>
        <w:pStyle w:val="ListParagraph"/>
        <w:numPr>
          <w:ilvl w:val="0"/>
          <w:numId w:val="2"/>
        </w:numPr>
        <w:spacing w:before="40" w:after="40"/>
      </w:pPr>
      <w:r>
        <w:rPr>
          <w:rFonts w:ascii="Arial" w:cs="Arial" w:eastAsia="Arial" w:hAnsi="Arial"/>
          <w:sz w:val="22"/>
          <w:szCs w:val="22"/>
        </w:rPr>
        <w:t xml:space="preserve">How do prospect theory parameters (loss aversion λ, reference point r) shape equilibrium DIME allocations compared to a standard EU baseline?</w:t>
      </w:r>
    </w:p>
    <w:p>
      <w:pPr>
        <w:pStyle w:val="ListParagraph"/>
        <w:numPr>
          <w:ilvl w:val="0"/>
          <w:numId w:val="2"/>
        </w:numPr>
        <w:spacing w:before="40" w:after="40"/>
      </w:pPr>
      <w:r>
        <w:rPr>
          <w:rFonts w:ascii="Arial" w:cs="Arial" w:eastAsia="Arial" w:hAnsi="Arial"/>
          <w:sz w:val="22"/>
          <w:szCs w:val="22"/>
        </w:rPr>
        <w:t xml:space="preserve">Can an agent running Maximum Entropy IRL on observed opponent behavior accurately recover the opponent's λ and reference point, and does better inference improve deterrence outcomes?</w:t>
      </w:r>
    </w:p>
    <w:p>
      <w:pPr>
        <w:pBdr>
          <w:bottom w:val="single" w:color="2E75B6" w:sz="6" w:space="1"/>
        </w:pBdr>
        <w:spacing w:before="240" w:after="80"/>
      </w:pPr>
      <w:r>
        <w:rPr>
          <w:rFonts w:ascii="Arial" w:cs="Arial" w:eastAsia="Arial" w:hAnsi="Arial"/>
          <w:b/>
          <w:bCs/>
          <w:color w:val="1F4E79"/>
          <w:sz w:val="26"/>
          <w:szCs w:val="26"/>
        </w:rPr>
        <w:t xml:space="preserve">Environment Design</w:t>
      </w:r>
    </w:p>
    <w:p>
      <w:pPr>
        <w:spacing w:before="80" w:after="80"/>
      </w:pPr>
      <w:r>
        <w:rPr>
          <w:rFonts w:ascii="Arial" w:cs="Arial" w:eastAsia="Arial" w:hAnsi="Arial"/>
          <w:sz w:val="22"/>
          <w:szCs w:val="22"/>
        </w:rPr>
        <w:t xml:space="preserve">State space: each agent's true DIME resource levels (D, I, M, E ∈ [0,1]) and reference points. Observations: own state fully observed; opponent state observed with Gaussian noise (σ reduced by own I-investment). Actions: continuous DIME allocation vector summing to 1. Rewards: prospect theory value function over resource changes relative to reference point.</w:t>
      </w:r>
    </w:p>
    <w:p>
      <w:pPr>
        <w:pStyle w:val="ListParagraph"/>
        <w:numPr>
          <w:ilvl w:val="0"/>
          <w:numId w:val="2"/>
        </w:numPr>
        <w:spacing w:before="40" w:after="40"/>
      </w:pPr>
      <w:r>
        <w:rPr>
          <w:rFonts w:ascii="Arial" w:cs="Arial" w:eastAsia="Arial" w:hAnsi="Arial"/>
          <w:sz w:val="22"/>
          <w:szCs w:val="22"/>
        </w:rPr>
        <w:t xml:space="preserve">Loss aversion: losses weighted by λ ≈ 2.25; risk-seeking in deficit domain</w:t>
      </w:r>
    </w:p>
    <w:p>
      <w:pPr>
        <w:pStyle w:val="ListParagraph"/>
        <w:numPr>
          <w:ilvl w:val="0"/>
          <w:numId w:val="2"/>
        </w:numPr>
        <w:spacing w:before="40" w:after="40"/>
      </w:pPr>
      <w:r>
        <w:rPr>
          <w:rFonts w:ascii="Arial" w:cs="Arial" w:eastAsia="Arial" w:hAnsi="Arial"/>
          <w:sz w:val="22"/>
          <w:szCs w:val="22"/>
        </w:rPr>
        <w:t xml:space="preserve">Probability weighting: small-probability catastrophic outcomes (nuclear) overweighted via inverse-S weighting function</w:t>
      </w:r>
    </w:p>
    <w:p>
      <w:pPr>
        <w:pStyle w:val="ListParagraph"/>
        <w:numPr>
          <w:ilvl w:val="0"/>
          <w:numId w:val="2"/>
        </w:numPr>
        <w:spacing w:before="40" w:after="40"/>
      </w:pPr>
      <w:r>
        <w:rPr>
          <w:rFonts w:ascii="Arial" w:cs="Arial" w:eastAsia="Arial" w:hAnsi="Arial"/>
          <w:sz w:val="22"/>
          <w:szCs w:val="22"/>
        </w:rPr>
        <w:t xml:space="preserve">Reference point dynamics: slow adaptation toward current state, creating path-dependent psychology</w:t>
      </w:r>
    </w:p>
    <w:p>
      <w:pPr>
        <w:pBdr>
          <w:bottom w:val="single" w:color="2E75B6" w:sz="6" w:space="1"/>
        </w:pBdr>
        <w:spacing w:before="240" w:after="80"/>
      </w:pPr>
      <w:r>
        <w:rPr>
          <w:rFonts w:ascii="Arial" w:cs="Arial" w:eastAsia="Arial" w:hAnsi="Arial"/>
          <w:b/>
          <w:bCs/>
          <w:color w:val="1F4E79"/>
          <w:sz w:val="26"/>
          <w:szCs w:val="26"/>
        </w:rPr>
        <w:t xml:space="preserve">Methods</w:t>
      </w:r>
    </w:p>
    <w:p>
      <w:pPr>
        <w:spacing w:before="80" w:after="80"/>
      </w:pPr>
      <w:r>
        <w:rPr>
          <w:rFonts w:ascii="Arial" w:cs="Arial" w:eastAsia="Arial" w:hAnsi="Arial"/>
          <w:b/>
          <w:bCs/>
          <w:sz w:val="22"/>
          <w:szCs w:val="22"/>
        </w:rPr>
        <w:t xml:space="preserve">Phase 1 — EU vs. PT Comparison:</w:t>
      </w:r>
    </w:p>
    <w:p>
      <w:pPr>
        <w:spacing w:before="80" w:after="80"/>
      </w:pPr>
      <w:r>
        <w:rPr>
          <w:rFonts w:ascii="Arial" w:cs="Arial" w:eastAsia="Arial" w:hAnsi="Arial"/>
          <w:sz w:val="22"/>
          <w:szCs w:val="22"/>
        </w:rPr>
        <w:t xml:space="preserve">Train two pairs of agents — one under standard EU, one under prospect theory — using multi-agent policy gradient (MAPPO or MADDPG). Compare equilibrium DIME allocations, conflict rates, and escalation dynamics.</w:t>
      </w:r>
    </w:p>
    <w:p>
      <w:pPr>
        <w:spacing w:before="80" w:after="80"/>
      </w:pPr>
      <w:r>
        <w:rPr>
          <w:rFonts w:ascii="Arial" w:cs="Arial" w:eastAsia="Arial" w:hAnsi="Arial"/>
          <w:b/>
          <w:bCs/>
          <w:sz w:val="22"/>
          <w:szCs w:val="22"/>
        </w:rPr>
        <w:t xml:space="preserve">Phase 2 — Inverse RL for Opponent Modeling:</w:t>
      </w:r>
    </w:p>
    <w:p>
      <w:pPr>
        <w:spacing w:before="80" w:after="80"/>
      </w:pPr>
      <w:r>
        <w:rPr>
          <w:rFonts w:ascii="Arial" w:cs="Arial" w:eastAsia="Arial" w:hAnsi="Arial"/>
          <w:sz w:val="22"/>
          <w:szCs w:val="22"/>
        </w:rPr>
        <w:t xml:space="preserve">Implement Maximum Entropy IRL. Each agent maintains a belief over the opponent's prospect theory parameters and updates it via maximum likelihood over observed action trajectories. The inferred model augments the agent's policy as an additional observation.</w:t>
      </w:r>
    </w:p>
    <w:p>
      <w:pPr>
        <w:pBdr>
          <w:bottom w:val="single" w:color="2E75B6" w:sz="6" w:space="1"/>
        </w:pBdr>
        <w:spacing w:before="240" w:after="80"/>
      </w:pPr>
      <w:r>
        <w:rPr>
          <w:rFonts w:ascii="Arial" w:cs="Arial" w:eastAsia="Arial" w:hAnsi="Arial"/>
          <w:b/>
          <w:bCs/>
          <w:color w:val="1F4E79"/>
          <w:sz w:val="26"/>
          <w:szCs w:val="26"/>
        </w:rPr>
        <w:t xml:space="preserve">Hypotheses</w:t>
      </w:r>
    </w:p>
    <w:p>
      <w:pPr>
        <w:pStyle w:val="ListParagraph"/>
        <w:numPr>
          <w:ilvl w:val="0"/>
          <w:numId w:val="2"/>
        </w:numPr>
        <w:spacing w:before="40" w:after="40"/>
      </w:pPr>
      <w:r>
        <w:rPr>
          <w:rFonts w:ascii="Arial" w:cs="Arial" w:eastAsia="Arial" w:hAnsi="Arial"/>
          <w:sz w:val="22"/>
          <w:szCs w:val="22"/>
        </w:rPr>
        <w:t xml:space="preserve">H1: PT agents in the loss domain initiate conflict at higher rates than EU agents at equivalent capability levels</w:t>
      </w:r>
    </w:p>
    <w:p>
      <w:pPr>
        <w:pStyle w:val="ListParagraph"/>
        <w:numPr>
          <w:ilvl w:val="0"/>
          <w:numId w:val="2"/>
        </w:numPr>
        <w:spacing w:before="40" w:after="40"/>
      </w:pPr>
      <w:r>
        <w:rPr>
          <w:rFonts w:ascii="Arial" w:cs="Arial" w:eastAsia="Arial" w:hAnsi="Arial"/>
          <w:sz w:val="22"/>
          <w:szCs w:val="22"/>
        </w:rPr>
        <w:t xml:space="preserve">H2: Agents with accurate opponent models (low IRL inference error) achieve better deterrence outcomes than agents using a default EU prior</w:t>
      </w:r>
    </w:p>
    <w:p>
      <w:pPr>
        <w:pStyle w:val="ListParagraph"/>
        <w:numPr>
          <w:ilvl w:val="0"/>
          <w:numId w:val="2"/>
        </w:numPr>
        <w:spacing w:before="40" w:after="40"/>
      </w:pPr>
      <w:r>
        <w:rPr>
          <w:rFonts w:ascii="Arial" w:cs="Arial" w:eastAsia="Arial" w:hAnsi="Arial"/>
          <w:sz w:val="22"/>
          <w:szCs w:val="22"/>
        </w:rPr>
        <w:t xml:space="preserve">H3: Investment in the I-instrument accelerates IRL convergence by reducing observation noise</w:t>
      </w:r>
    </w:p>
    <w:p>
      <w:pPr>
        <w:pBdr>
          <w:bottom w:val="single" w:color="2E75B6" w:sz="6" w:space="1"/>
        </w:pBdr>
        <w:spacing w:before="240" w:after="80"/>
      </w:pPr>
      <w:r>
        <w:rPr>
          <w:rFonts w:ascii="Arial" w:cs="Arial" w:eastAsia="Arial" w:hAnsi="Arial"/>
          <w:b/>
          <w:bCs/>
          <w:color w:val="1F4E79"/>
          <w:sz w:val="26"/>
          <w:szCs w:val="26"/>
        </w:rPr>
        <w:t xml:space="preserve">Deliverables</w:t>
      </w:r>
    </w:p>
    <w:p>
      <w:pPr>
        <w:pStyle w:val="ListParagraph"/>
        <w:numPr>
          <w:ilvl w:val="0"/>
          <w:numId w:val="2"/>
        </w:numPr>
        <w:spacing w:before="40" w:after="40"/>
      </w:pPr>
      <w:r>
        <w:rPr>
          <w:rFonts w:ascii="Arial" w:cs="Arial" w:eastAsia="Arial" w:hAnsi="Arial"/>
          <w:sz w:val="22"/>
          <w:szCs w:val="22"/>
        </w:rPr>
        <w:t xml:space="preserve">PettingZoo POSG environment with configurable prospect theory parameters</w:t>
      </w:r>
    </w:p>
    <w:p>
      <w:pPr>
        <w:pStyle w:val="ListParagraph"/>
        <w:numPr>
          <w:ilvl w:val="0"/>
          <w:numId w:val="2"/>
        </w:numPr>
        <w:spacing w:before="40" w:after="40"/>
      </w:pPr>
      <w:r>
        <w:rPr>
          <w:rFonts w:ascii="Arial" w:cs="Arial" w:eastAsia="Arial" w:hAnsi="Arial"/>
          <w:sz w:val="22"/>
          <w:szCs w:val="22"/>
        </w:rPr>
        <w:t xml:space="preserve">EU vs. PT policy comparison with statistical significance testing</w:t>
      </w:r>
    </w:p>
    <w:p>
      <w:pPr>
        <w:pStyle w:val="ListParagraph"/>
        <w:numPr>
          <w:ilvl w:val="0"/>
          <w:numId w:val="2"/>
        </w:numPr>
        <w:spacing w:before="40" w:after="40"/>
      </w:pPr>
      <w:r>
        <w:rPr>
          <w:rFonts w:ascii="Arial" w:cs="Arial" w:eastAsia="Arial" w:hAnsi="Arial"/>
          <w:sz w:val="22"/>
          <w:szCs w:val="22"/>
        </w:rPr>
        <w:t xml:space="preserve">IRL convergence curves: inferred λ vs. ground truth λ over training episodes</w:t>
      </w:r>
    </w:p>
    <w:p>
      <w:pPr>
        <w:pStyle w:val="ListParagraph"/>
        <w:numPr>
          <w:ilvl w:val="0"/>
          <w:numId w:val="2"/>
        </w:numPr>
        <w:spacing w:before="40" w:after="40"/>
      </w:pPr>
      <w:r>
        <w:rPr>
          <w:rFonts w:ascii="Arial" w:cs="Arial" w:eastAsia="Arial" w:hAnsi="Arial"/>
          <w:sz w:val="22"/>
          <w:szCs w:val="22"/>
        </w:rPr>
        <w:t xml:space="preserve">Ablation: deterrence outcomes with vs. without opponent modeling</w:t>
      </w:r>
    </w:p>
    <w:p>
      <w:pPr>
        <w:pBdr>
          <w:bottom w:val="single" w:color="2E75B6" w:sz="6" w:space="1"/>
        </w:pBdr>
        <w:spacing w:before="240" w:after="80"/>
      </w:pPr>
      <w:r>
        <w:rPr>
          <w:rFonts w:ascii="Arial" w:cs="Arial" w:eastAsia="Arial" w:hAnsi="Arial"/>
          <w:b/>
          <w:bCs/>
          <w:color w:val="1F4E79"/>
          <w:sz w:val="26"/>
          <w:szCs w:val="26"/>
        </w:rPr>
        <w:t xml:space="preserve">Course Alignment</w:t>
      </w:r>
    </w:p>
    <w:p>
      <w:pPr>
        <w:spacing w:before="80" w:after="80"/>
      </w:pPr>
      <w:r>
        <w:rPr>
          <w:rFonts w:ascii="Arial" w:cs="Arial" w:eastAsia="Arial" w:hAnsi="Arial"/>
          <w:sz w:val="22"/>
          <w:szCs w:val="22"/>
        </w:rPr>
        <w:t xml:space="preserve">The project sits at the intersection of the course's two major blocks. The POSG formulation covers POMDPs, Bayesian filters, and Markov games. The IRL component connects model-free RL (Q-learning, policy gradient) with inference. Prospect theory grounds the reward design in the course's treatment of decision making under uncertainty beyond EU maximization.</w:t>
      </w:r>
    </w:p>
    <w:p>
      <w:pPr>
        <w:pBdr>
          <w:bottom w:val="single" w:color="2E75B6" w:sz="6" w:space="1"/>
        </w:pBdr>
        <w:spacing w:before="240" w:after="80"/>
      </w:pPr>
      <w:r>
        <w:rPr>
          <w:rFonts w:ascii="Arial" w:cs="Arial" w:eastAsia="Arial" w:hAnsi="Arial"/>
          <w:b/>
          <w:bCs/>
          <w:color w:val="1F4E79"/>
          <w:sz w:val="26"/>
          <w:szCs w:val="26"/>
        </w:rPr>
        <w:t xml:space="preserve">Scope &amp; Feasibility</w:t>
      </w:r>
    </w:p>
    <w:p>
      <w:pPr>
        <w:spacing w:before="80" w:after="80"/>
      </w:pPr>
      <w:r>
        <w:rPr>
          <w:rFonts w:ascii="Arial" w:cs="Arial" w:eastAsia="Arial" w:hAnsi="Arial"/>
          <w:sz w:val="22"/>
          <w:szCs w:val="22"/>
        </w:rPr>
        <w:t xml:space="preserve">The core experiment (Phase 1, EU vs. PT comparison) is implementable in 2–3 weeks with standard MARL libraries. Phase 2 (IRL) adds 1–2 weeks. The DIME state space is low-dimensional (4D per agent), keeping training tractable. The main implementation risk is IRL convergence stability, which can be addressed by constraining the parameter search space with reasonable bounds from the behavioral economics literature.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2026-02-24T22:24:39.484Z</dcterms:created>
  <dcterms:modified xsi:type="dcterms:W3CDTF">2026-02-24T22:24:39.484Z</dcterms:modified>
</cp:coreProperties>
</file>

<file path=docProps/custom.xml><?xml version="1.0" encoding="utf-8"?>
<Properties xmlns="http://schemas.openxmlformats.org/officeDocument/2006/custom-properties" xmlns:vt="http://schemas.openxmlformats.org/officeDocument/2006/docPropsVTypes"/>
</file>