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120"/>
      </w:pPr>
      <w:r>
        <w:rPr>
          <w:rFonts w:ascii="Arial" w:cs="Arial" w:eastAsia="Arial" w:hAnsi="Arial"/>
          <w:b/>
          <w:bCs/>
          <w:color w:val="FFFFFF"/>
          <w:sz w:val="36"/>
          <w:szCs w:val="36"/>
        </w:rPr>
        <w:t xml:space="preserve">Modeling Strategic Deterrence Under Uncertainty</w:t>
      </w:r>
    </w:p>
    <w:p>
      <w:pPr>
        <w:spacing w:before="0" w:after="200"/>
      </w:pPr>
      <w:r>
        <w:rPr>
          <w:rFonts w:ascii="Arial" w:cs="Arial" w:eastAsia="Arial" w:hAnsi="Arial"/>
          <w:i/>
          <w:iCs/>
          <w:color w:val="666666"/>
          <w:sz w:val="22"/>
          <w:szCs w:val="22"/>
        </w:rPr>
        <w:t xml:space="preserve">Decision Making Under Uncertainty — Project Proposal A: Tiered Approach</w:t>
      </w:r>
    </w:p>
    <w:p>
      <w:pPr>
        <w:pBdr>
          <w:bottom w:val="single" w:color="2E75B6" w:sz="6" w:space="1"/>
        </w:pBdr>
        <w:spacing w:before="240" w:after="80"/>
      </w:pPr>
      <w:r>
        <w:rPr>
          <w:rFonts w:ascii="Arial" w:cs="Arial" w:eastAsia="Arial" w:hAnsi="Arial"/>
          <w:b/>
          <w:bCs/>
          <w:color w:val="1F4E79"/>
          <w:sz w:val="26"/>
          <w:szCs w:val="26"/>
        </w:rPr>
        <w:t xml:space="preserve">Overview</w:t>
      </w:r>
    </w:p>
    <w:p>
      <w:pPr>
        <w:spacing w:before="80" w:after="80"/>
      </w:pPr>
      <w:r>
        <w:rPr>
          <w:rFonts w:ascii="Arial" w:cs="Arial" w:eastAsia="Arial" w:hAnsi="Arial"/>
          <w:sz w:val="22"/>
          <w:szCs w:val="22"/>
        </w:rPr>
        <w:t xml:space="preserve">This project builds a computational model of strategic deterrence through a layered sequence of increasingly sophisticated formulations. Each tier directly maps to a core topic from the course, allowing the project to serve as a unified thread connecting MDPs, POMDPs, Markov games, and behavioral decision theory. The final tier produces a Partially Observable Stochastic Game (POSG) in which agents reason under uncertainty about both the environment and their opponent's preferences.</w:t>
      </w:r>
    </w:p>
    <w:p>
      <w:pPr>
        <w:pBdr>
          <w:bottom w:val="single" w:color="2E75B6" w:sz="6" w:space="1"/>
        </w:pBdr>
        <w:spacing w:before="240" w:after="80"/>
      </w:pPr>
      <w:r>
        <w:rPr>
          <w:rFonts w:ascii="Arial" w:cs="Arial" w:eastAsia="Arial" w:hAnsi="Arial"/>
          <w:b/>
          <w:bCs/>
          <w:color w:val="1F4E79"/>
          <w:sz w:val="26"/>
          <w:szCs w:val="26"/>
        </w:rPr>
        <w:t xml:space="preserve">Tier 1 — Single-Agent MDP Baseline</w:t>
      </w:r>
    </w:p>
    <w:p>
      <w:pPr>
        <w:spacing w:before="80" w:after="80"/>
      </w:pPr>
      <w:r>
        <w:rPr>
          <w:rFonts w:ascii="Arial" w:cs="Arial" w:eastAsia="Arial" w:hAnsi="Arial"/>
          <w:sz w:val="22"/>
          <w:szCs w:val="22"/>
        </w:rPr>
        <w:t xml:space="preserve">A single decision-maker allocates resources across the DIME instruments (Diplomatic, Informational, Military, Economic) against a fixed opponent policy. Standard expected utility maximization. Solved via value iteration.</w:t>
      </w:r>
    </w:p>
    <w:p>
      <w:pPr>
        <w:pStyle w:val="ListParagraph"/>
        <w:numPr>
          <w:ilvl w:val="0"/>
          <w:numId w:val="2"/>
        </w:numPr>
        <w:spacing w:before="40" w:after="40"/>
      </w:pPr>
      <w:r>
        <w:rPr>
          <w:rFonts w:ascii="Arial" w:cs="Arial" w:eastAsia="Arial" w:hAnsi="Arial"/>
          <w:sz w:val="22"/>
          <w:szCs w:val="22"/>
        </w:rPr>
        <w:t xml:space="preserve">Concepts covered: MDPs, Bellman equations, value iteration, policy evaluation</w:t>
      </w:r>
    </w:p>
    <w:p>
      <w:pPr>
        <w:pStyle w:val="ListParagraph"/>
        <w:numPr>
          <w:ilvl w:val="0"/>
          <w:numId w:val="2"/>
        </w:numPr>
        <w:spacing w:before="40" w:after="40"/>
      </w:pPr>
      <w:r>
        <w:rPr>
          <w:rFonts w:ascii="Arial" w:cs="Arial" w:eastAsia="Arial" w:hAnsi="Arial"/>
          <w:sz w:val="22"/>
          <w:szCs w:val="22"/>
        </w:rPr>
        <w:t xml:space="preserve">Deliverable: convergence plots, optimal DIME allocation policy</w:t>
      </w:r>
    </w:p>
    <w:p>
      <w:pPr>
        <w:pBdr>
          <w:bottom w:val="single" w:color="2E75B6" w:sz="6" w:space="1"/>
        </w:pBdr>
        <w:spacing w:before="240" w:after="80"/>
      </w:pPr>
      <w:r>
        <w:rPr>
          <w:rFonts w:ascii="Arial" w:cs="Arial" w:eastAsia="Arial" w:hAnsi="Arial"/>
          <w:b/>
          <w:bCs/>
          <w:color w:val="1F4E79"/>
          <w:sz w:val="26"/>
          <w:szCs w:val="26"/>
        </w:rPr>
        <w:t xml:space="preserve">Tier 2 — Prospect Theory Reward Shaping</w:t>
      </w:r>
    </w:p>
    <w:p>
      <w:pPr>
        <w:spacing w:before="80" w:after="80"/>
      </w:pPr>
      <w:r>
        <w:rPr>
          <w:rFonts w:ascii="Arial" w:cs="Arial" w:eastAsia="Arial" w:hAnsi="Arial"/>
          <w:sz w:val="22"/>
          <w:szCs w:val="22"/>
        </w:rPr>
        <w:t xml:space="preserve">Replace the EU reward function with Kahneman &amp; Tversky's prospect theory value function. Agents evaluate outcomes relative to a reference point with loss aversion (λ ≈ 2.25) and diminishing sensitivity. Agents in the loss domain become risk-seeking — a core empirical finding in international relations.</w:t>
      </w:r>
    </w:p>
    <w:p>
      <w:pPr>
        <w:pStyle w:val="ListParagraph"/>
        <w:numPr>
          <w:ilvl w:val="0"/>
          <w:numId w:val="2"/>
        </w:numPr>
        <w:spacing w:before="40" w:after="40"/>
      </w:pPr>
      <w:r>
        <w:rPr>
          <w:rFonts w:ascii="Arial" w:cs="Arial" w:eastAsia="Arial" w:hAnsi="Arial"/>
          <w:sz w:val="22"/>
          <w:szCs w:val="22"/>
        </w:rPr>
        <w:t xml:space="preserve">Concepts covered: non-EU decision theory, reference dependence, probability weighting</w:t>
      </w:r>
    </w:p>
    <w:p>
      <w:pPr>
        <w:pStyle w:val="ListParagraph"/>
        <w:numPr>
          <w:ilvl w:val="0"/>
          <w:numId w:val="2"/>
        </w:numPr>
        <w:spacing w:before="40" w:after="40"/>
      </w:pPr>
      <w:r>
        <w:rPr>
          <w:rFonts w:ascii="Arial" w:cs="Arial" w:eastAsia="Arial" w:hAnsi="Arial"/>
          <w:sz w:val="22"/>
          <w:szCs w:val="22"/>
        </w:rPr>
        <w:t xml:space="preserve">Deliverable: compare EU vs. PT policies; show risk-seeking emerges under deficit</w:t>
      </w:r>
    </w:p>
    <w:p>
      <w:pPr>
        <w:pBdr>
          <w:bottom w:val="single" w:color="2E75B6" w:sz="6" w:space="1"/>
        </w:pBdr>
        <w:spacing w:before="240" w:after="80"/>
      </w:pPr>
      <w:r>
        <w:rPr>
          <w:rFonts w:ascii="Arial" w:cs="Arial" w:eastAsia="Arial" w:hAnsi="Arial"/>
          <w:b/>
          <w:bCs/>
          <w:color w:val="1F4E79"/>
          <w:sz w:val="26"/>
          <w:szCs w:val="26"/>
        </w:rPr>
        <w:t xml:space="preserve">Tier 3 — Markov Game (Multi-Agent)</w:t>
      </w:r>
    </w:p>
    <w:p>
      <w:pPr>
        <w:spacing w:before="80" w:after="80"/>
      </w:pPr>
      <w:r>
        <w:rPr>
          <w:rFonts w:ascii="Arial" w:cs="Arial" w:eastAsia="Arial" w:hAnsi="Arial"/>
          <w:sz w:val="22"/>
          <w:szCs w:val="22"/>
        </w:rPr>
        <w:t xml:space="preserve">Extend to two agents acting simultaneously in a PettingZoo Markov game. Each agent's DIME allocations jointly determine state transitions. Train agents using Q-learning or policy gradient methods and analyze emergent equilibria.</w:t>
      </w:r>
    </w:p>
    <w:p>
      <w:pPr>
        <w:pStyle w:val="ListParagraph"/>
        <w:numPr>
          <w:ilvl w:val="0"/>
          <w:numId w:val="2"/>
        </w:numPr>
        <w:spacing w:before="40" w:after="40"/>
      </w:pPr>
      <w:r>
        <w:rPr>
          <w:rFonts w:ascii="Arial" w:cs="Arial" w:eastAsia="Arial" w:hAnsi="Arial"/>
          <w:sz w:val="22"/>
          <w:szCs w:val="22"/>
        </w:rPr>
        <w:t xml:space="preserve">Concepts covered: Markov games, Nash equilibria, multi-agent RL, policy gradient</w:t>
      </w:r>
    </w:p>
    <w:p>
      <w:pPr>
        <w:pStyle w:val="ListParagraph"/>
        <w:numPr>
          <w:ilvl w:val="0"/>
          <w:numId w:val="2"/>
        </w:numPr>
        <w:spacing w:before="40" w:after="40"/>
      </w:pPr>
      <w:r>
        <w:rPr>
          <w:rFonts w:ascii="Arial" w:cs="Arial" w:eastAsia="Arial" w:hAnsi="Arial"/>
          <w:sz w:val="22"/>
          <w:szCs w:val="22"/>
        </w:rPr>
        <w:t xml:space="preserve">Deliverable: convergence of joint policy; identification of stable deterrence equilibria</w:t>
      </w:r>
    </w:p>
    <w:p>
      <w:pPr>
        <w:pBdr>
          <w:bottom w:val="single" w:color="2E75B6" w:sz="6" w:space="1"/>
        </w:pBdr>
        <w:spacing w:before="240" w:after="80"/>
      </w:pPr>
      <w:r>
        <w:rPr>
          <w:rFonts w:ascii="Arial" w:cs="Arial" w:eastAsia="Arial" w:hAnsi="Arial"/>
          <w:b/>
          <w:bCs/>
          <w:color w:val="1F4E79"/>
          <w:sz w:val="26"/>
          <w:szCs w:val="26"/>
        </w:rPr>
        <w:t xml:space="preserve">Tier 4 — POSG with Partial Observability</w:t>
      </w:r>
    </w:p>
    <w:p>
      <w:pPr>
        <w:spacing w:before="80" w:after="80"/>
      </w:pPr>
      <w:r>
        <w:rPr>
          <w:rFonts w:ascii="Arial" w:cs="Arial" w:eastAsia="Arial" w:hAnsi="Arial"/>
          <w:sz w:val="22"/>
          <w:szCs w:val="22"/>
        </w:rPr>
        <w:t xml:space="preserve">Add partial observability: each agent privately knows its own reference point and resolve but only receives noisy observations of the opponent's DIME state. Investment in the Informational instrument reduces observation noise. This produces a full Partially Observable Stochastic Game (POSG).</w:t>
      </w:r>
    </w:p>
    <w:p>
      <w:pPr>
        <w:pStyle w:val="ListParagraph"/>
        <w:numPr>
          <w:ilvl w:val="0"/>
          <w:numId w:val="2"/>
        </w:numPr>
        <w:spacing w:before="40" w:after="40"/>
      </w:pPr>
      <w:r>
        <w:rPr>
          <w:rFonts w:ascii="Arial" w:cs="Arial" w:eastAsia="Arial" w:hAnsi="Arial"/>
          <w:sz w:val="22"/>
          <w:szCs w:val="22"/>
        </w:rPr>
        <w:t xml:space="preserve">Concepts covered: POMDPs, Bayesian filters, particle filters, belief-state planning</w:t>
      </w:r>
    </w:p>
    <w:p>
      <w:pPr>
        <w:pStyle w:val="ListParagraph"/>
        <w:numPr>
          <w:ilvl w:val="0"/>
          <w:numId w:val="2"/>
        </w:numPr>
        <w:spacing w:before="40" w:after="40"/>
      </w:pPr>
      <w:r>
        <w:rPr>
          <w:rFonts w:ascii="Arial" w:cs="Arial" w:eastAsia="Arial" w:hAnsi="Arial"/>
          <w:sz w:val="22"/>
          <w:szCs w:val="22"/>
        </w:rPr>
        <w:t xml:space="preserve">Deliverable: show that I-instrument investment improves deterrence outcomes</w:t>
      </w:r>
    </w:p>
    <w:p>
      <w:pPr>
        <w:pBdr>
          <w:bottom w:val="single" w:color="2E75B6" w:sz="6" w:space="1"/>
        </w:pBdr>
        <w:spacing w:before="240" w:after="80"/>
      </w:pPr>
      <w:r>
        <w:rPr>
          <w:rFonts w:ascii="Arial" w:cs="Arial" w:eastAsia="Arial" w:hAnsi="Arial"/>
          <w:b/>
          <w:bCs/>
          <w:color w:val="1F4E79"/>
          <w:sz w:val="26"/>
          <w:szCs w:val="26"/>
        </w:rPr>
        <w:t xml:space="preserve">Tier 5 (Stretch) — Inverse RL for Opponent Modeling</w:t>
      </w:r>
    </w:p>
    <w:p>
      <w:pPr>
        <w:spacing w:before="80" w:after="80"/>
      </w:pPr>
      <w:r>
        <w:rPr>
          <w:rFonts w:ascii="Arial" w:cs="Arial" w:eastAsia="Arial" w:hAnsi="Arial"/>
          <w:sz w:val="22"/>
          <w:szCs w:val="22"/>
        </w:rPr>
        <w:t xml:space="preserve">Each agent uses Maximum Entropy IRL to infer the opponent's prospect theory parameters (λ, α, reference point) from observed behavior. The inferred model is used to augment the agent's own policy. This connects IRL to the POSG as a belief update over opponent preferences rather than environment states.</w:t>
      </w:r>
    </w:p>
    <w:p>
      <w:pPr>
        <w:pStyle w:val="ListParagraph"/>
        <w:numPr>
          <w:ilvl w:val="0"/>
          <w:numId w:val="2"/>
        </w:numPr>
        <w:spacing w:before="40" w:after="40"/>
      </w:pPr>
      <w:r>
        <w:rPr>
          <w:rFonts w:ascii="Arial" w:cs="Arial" w:eastAsia="Arial" w:hAnsi="Arial"/>
          <w:sz w:val="22"/>
          <w:szCs w:val="22"/>
        </w:rPr>
        <w:t xml:space="preserve">Concepts covered: inverse RL, reward inference, belief updating</w:t>
      </w:r>
    </w:p>
    <w:p>
      <w:pPr>
        <w:pStyle w:val="ListParagraph"/>
        <w:numPr>
          <w:ilvl w:val="0"/>
          <w:numId w:val="2"/>
        </w:numPr>
        <w:spacing w:before="40" w:after="40"/>
      </w:pPr>
      <w:r>
        <w:rPr>
          <w:rFonts w:ascii="Arial" w:cs="Arial" w:eastAsia="Arial" w:hAnsi="Arial"/>
          <w:sz w:val="22"/>
          <w:szCs w:val="22"/>
        </w:rPr>
        <w:t xml:space="preserve">Deliverable: convergence of inferred λ to ground truth; policy improvement from inference</w:t>
      </w:r>
    </w:p>
    <w:p>
      <w:pPr>
        <w:pBdr>
          <w:bottom w:val="single" w:color="2E75B6" w:sz="6" w:space="1"/>
        </w:pBdr>
        <w:spacing w:before="240" w:after="80"/>
      </w:pPr>
      <w:r>
        <w:rPr>
          <w:rFonts w:ascii="Arial" w:cs="Arial" w:eastAsia="Arial" w:hAnsi="Arial"/>
          <w:b/>
          <w:bCs/>
          <w:color w:val="1F4E79"/>
          <w:sz w:val="26"/>
          <w:szCs w:val="26"/>
        </w:rPr>
        <w:t xml:space="preserve">Course Alignment</w:t>
      </w:r>
    </w:p>
    <w:p>
      <w:pPr>
        <w:spacing w:before="80" w:after="80"/>
      </w:pPr>
      <w:r>
        <w:rPr>
          <w:rFonts w:ascii="Arial" w:cs="Arial" w:eastAsia="Arial" w:hAnsi="Arial"/>
          <w:i/>
          <w:iCs/>
          <w:sz w:val="22"/>
          <w:szCs w:val="22"/>
        </w:rPr>
        <w:t xml:space="preserve">Tier 1 → MDPs, Value Iteration     |     Tier 2 → Probability &amp; Uncertainty     |     Tier 3 → Markov Games     |     Tier 4 → POMDPs &amp; Bayesian Filters     |     Tier 5 → Model-Free RL + IRL</w:t>
      </w:r>
    </w:p>
    <w:p>
      <w:pPr>
        <w:pBdr>
          <w:bottom w:val="single" w:color="2E75B6" w:sz="6" w:space="1"/>
        </w:pBdr>
        <w:spacing w:before="240" w:after="80"/>
      </w:pPr>
      <w:r>
        <w:rPr>
          <w:rFonts w:ascii="Arial" w:cs="Arial" w:eastAsia="Arial" w:hAnsi="Arial"/>
          <w:b/>
          <w:bCs/>
          <w:color w:val="1F4E79"/>
          <w:sz w:val="26"/>
          <w:szCs w:val="26"/>
        </w:rPr>
        <w:t xml:space="preserve">Scope &amp; Feasibility</w:t>
      </w:r>
    </w:p>
    <w:p>
      <w:pPr>
        <w:spacing w:before="80" w:after="80"/>
      </w:pPr>
      <w:r>
        <w:rPr>
          <w:rFonts w:ascii="Arial" w:cs="Arial" w:eastAsia="Arial" w:hAnsi="Arial"/>
          <w:sz w:val="22"/>
          <w:szCs w:val="22"/>
        </w:rPr>
        <w:t xml:space="preserve">Tiers 1–3 constitute a complete, submittable project. Tiers 4–5 are extensions. The modular structure means scope can be adjusted without redesigning the core environment. Implementation uses Python (PettingZoo, NumPy, SciPy) with Julia optionally for performance-critical components.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2026-02-24T22:24:39.476Z</dcterms:created>
  <dcterms:modified xsi:type="dcterms:W3CDTF">2026-02-24T22:24:39.477Z</dcterms:modified>
</cp:coreProperties>
</file>

<file path=docProps/custom.xml><?xml version="1.0" encoding="utf-8"?>
<Properties xmlns="http://schemas.openxmlformats.org/officeDocument/2006/custom-properties" xmlns:vt="http://schemas.openxmlformats.org/officeDocument/2006/docPropsVTypes"/>
</file>