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50"/>
      </w:pPr>
      <w:r>
        <w:rPr>
          <w:rFonts w:ascii="Times New Roman" w:hAnsi="Times New Roman" w:cs="Times New Roman"/>
          <w:sz w:val="37"/>
          <w:sz-cs w:val="37"/>
          <w:b/>
          <w:spacing w:val="0"/>
        </w:rPr>
        <w:t xml:space="preserve">MEMORANDUM</w:t>
      </w:r>
    </w:p>
    <w:p>
      <w:pPr/>
      <w:r>
        <w:rPr>
          <w:rFonts w:ascii="Times New Roman" w:hAnsi="Times New Roman" w:cs="Times New Roman"/>
          <w:sz w:val="24"/>
          <w:sz-cs w:val="24"/>
          <w:b/>
          <w:spacing w:val="0"/>
        </w:rPr>
        <w:t xml:space="preserve">TO:</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Dr. Ximena Benavides, Department of Legal Studies, Terry College of Business</w:t>
      </w:r>
    </w:p>
    <w:p>
      <w:pPr/>
      <w:r>
        <w:rPr>
          <w:rFonts w:ascii="Times New Roman" w:hAnsi="Times New Roman" w:cs="Times New Roman"/>
          <w:sz w:val="24"/>
          <w:sz-cs w:val="24"/>
          <w:b/>
          <w:spacing w:val="0"/>
        </w:rPr>
        <w:t xml:space="preserve">FROM:</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Emory Williams, Undergraduate Research Assistant</w:t>
      </w:r>
    </w:p>
    <w:p>
      <w:pPr/>
      <w:r>
        <w:rPr>
          <w:rFonts w:ascii="Times New Roman" w:hAnsi="Times New Roman" w:cs="Times New Roman"/>
          <w:sz w:val="24"/>
          <w:sz-cs w:val="24"/>
          <w:b/>
          <w:spacing w:val="0"/>
        </w:rPr>
        <w:t xml:space="preserve">DATE:</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07/18/2026</w:t>
      </w:r>
    </w:p>
    <w:p>
      <w:pPr/>
      <w:r>
        <w:rPr>
          <w:rFonts w:ascii="Times New Roman" w:hAnsi="Times New Roman" w:cs="Times New Roman"/>
          <w:sz w:val="24"/>
          <w:sz-cs w:val="24"/>
          <w:b/>
          <w:spacing w:val="0"/>
        </w:rPr>
        <w:t xml:space="preserve">RE:</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One-Pager — Bridgestone Licensing Services, Inc. &amp; Bridgestone Americas, Inc. v. Republic of Panama (ICSID Case No. ARB/16/34)</w:t>
      </w:r>
    </w:p>
    <w:p>
      <w:pPr/>
      <w:r>
        <w:rPr>
          <w:rFonts w:ascii="Times New Roman" w:hAnsi="Times New Roman" w:cs="Times New Roman"/>
          <w:sz w:val="32"/>
          <w:sz-cs w:val="32"/>
          <w:spacing w:val="0"/>
          <w:color w:val="6D6D6D"/>
        </w:rPr>
        <w:t xml:space="preserve"/>
      </w:r>
    </w:p>
    <w:p>
      <w:pPr>
        <w:spacing w:after="265"/>
      </w:pPr>
      <w:r>
        <w:rPr>
          <w:rFonts w:ascii="Times New Roman" w:hAnsi="Times New Roman" w:cs="Times New Roman"/>
          <w:sz w:val="32"/>
          <w:sz-cs w:val="32"/>
          <w:b/>
          <w:spacing w:val="0"/>
        </w:rPr>
        <w:t xml:space="preserve">I. Case Record</w:t>
      </w:r>
    </w:p>
    <w:p>
      <w:pPr>
        <w:spacing w:after="320"/>
      </w:pPr>
      <w:r>
        <w:rPr>
          <w:rFonts w:ascii="Times New Roman" w:hAnsi="Times New Roman" w:cs="Times New Roman"/>
          <w:sz w:val="32"/>
          <w:sz-cs w:val="32"/>
          <w:b/>
          <w:spacing w:val="0"/>
        </w:rPr>
        <w:t xml:space="preserve">[SOURCE FACT]</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Bridgestone Licensing Services, Inc. &amp; Bridgestone Americas, Inc. v. Republic of Panama</w:t>
      </w:r>
      <w:r>
        <w:rPr>
          <w:rFonts w:ascii="Times New Roman" w:hAnsi="Times New Roman" w:cs="Times New Roman"/>
          <w:sz w:val="32"/>
          <w:sz-cs w:val="32"/>
          <w:spacing w:val="0"/>
        </w:rPr>
        <w:t xml:space="preserve">, ICSID Case No. ARB/16/34, Award (Aug. 14, 2020), was decided by a tribunal of Lord Nicholas Phillips (President), Horacio A. Grigera Naón, and J. Christopher Thomas, QC (cover page, dispatch date 14 August 2020). The dispute was submitted to ICSID under the United States-Panama Trade Promotion Agreement — signed 28 June 2007, in force 31 October 2012 — and the ICSID Convention (¶ 1). Claimants BSLS (Delaware) and BSAM (Nevada) are U.S. subsidiaries of the Japanese parent BSJ (¶¶ 2, 120).</w:t>
      </w:r>
    </w:p>
    <w:p>
      <w:pPr>
        <w:spacing w:after="320"/>
      </w:pPr>
      <w:r>
        <w:rPr>
          <w:rFonts w:ascii="Times New Roman" w:hAnsi="Times New Roman" w:cs="Times New Roman"/>
          <w:sz w:val="32"/>
          <w:sz-cs w:val="32"/>
          <w:b/>
          <w:spacing w:val="0"/>
        </w:rPr>
        <w:t xml:space="preserve">Procedural posture.</w:t>
      </w:r>
      <w:r>
        <w:rPr>
          <w:rFonts w:ascii="Times New Roman" w:hAnsi="Times New Roman" w:cs="Times New Roman"/>
          <w:sz w:val="32"/>
          <w:sz-cs w:val="32"/>
          <w:spacing w:val="0"/>
        </w:rPr>
        <w:t xml:space="preserve"> Procedurally, Panama filed Expedited Objections under TPA Article 10.20.5 on 30 May 2017 (¶ 12); the Tribunal issued its Decision on Expedited Objections on 13 December 2017, incorporated into the Award by reference (¶ 46). At that earlier phase the Tribunal ruled that BSAM's license to use the FIRESTONE trademark was an investment under the TPA and the ICSID Convention, BSLS's ownership of the FIRESTONE mark being undisputed as an investment, and that BATO's BRIDGESTONE license was an investment indirectly owned and controlled by BSAM (¶¶ 123–24).</w:t>
      </w:r>
    </w:p>
    <w:p>
      <w:pPr>
        <w:spacing w:after="320"/>
      </w:pPr>
      <w:r>
        <w:rPr>
          <w:rFonts w:ascii="Times New Roman" w:hAnsi="Times New Roman" w:cs="Times New Roman"/>
          <w:sz w:val="32"/>
          <w:sz-cs w:val="32"/>
          <w:b/>
          <w:spacing w:val="0"/>
        </w:rPr>
        <w:t xml:space="preserve">Measure, claim, and disposition.</w:t>
      </w:r>
      <w:r>
        <w:rPr>
          <w:rFonts w:ascii="Times New Roman" w:hAnsi="Times New Roman" w:cs="Times New Roman"/>
          <w:sz w:val="32"/>
          <w:sz-cs w:val="32"/>
          <w:spacing w:val="0"/>
        </w:rPr>
        <w:t xml:space="preserve"> The challenged measure was a Panamanian Supreme Court majority judgment of 28 May 2014 that reversed two lower-court dismissals and awarded US $5 million plus costs against BSJ and BSLS in a tort suit arising from their opposition to the RIVERSTONE trademark registration (¶¶ 126–28). After withdrawals, the sole claim was fair and equitable treatment under TPA Article 10.5 — denial of justice (¶¶ 129, 131). The Tribunal framed the operative merits question as follows: "Do they support the case that, taken as a whole, the decision reached by the Court was one that no honest and competent court could have reached?" (¶ 409). On standing, it held that just as a parent may claim for a subsidiary's treatment, "so too can a licensee holding the requisite nationality bring a claim in respect of an alleged denial of justice experienced by its covered investment" (¶ 174), dismissing Panama's objection to BSAM's standing (¶ 179). On liability, the Tribunal found defects "in that reasoning, but these are no more than errors of judgment. They fall far short of demonstrating that the judgment was the product of incompetence or corruption" (¶ 547). Disposition: "The Claimants’ claim is dismissed" (¶ 590), with the Claimants ordered to pay Panama US $6,941,085.73 in costs and fees plus interest (¶¶ 589–90).</w:t>
      </w:r>
    </w:p>
    <w:p>
      <w:pPr>
        <w:spacing w:after="265"/>
      </w:pPr>
      <w:r>
        <w:rPr>
          <w:rFonts w:ascii="Times New Roman" w:hAnsi="Times New Roman" w:cs="Times New Roman"/>
          <w:sz w:val="32"/>
          <w:sz-cs w:val="32"/>
          <w:b/>
          <w:spacing w:val="0"/>
        </w:rPr>
        <w:t xml:space="preserve">II. Three-Ring Read</w:t>
      </w:r>
    </w:p>
    <w:p>
      <w:pPr>
        <w:spacing w:after="320"/>
      </w:pPr>
      <w:r>
        <w:rPr>
          <w:rFonts w:ascii="Times New Roman" w:hAnsi="Times New Roman" w:cs="Times New Roman"/>
          <w:sz w:val="32"/>
          <w:sz-cs w:val="32"/>
          <w:b/>
          <w:spacing w:val="0"/>
        </w:rPr>
        <w:t xml:space="preserve">[FRAMEWORK ANALYSIS]</w:t>
      </w:r>
      <w:r>
        <w:rPr>
          <w:rFonts w:ascii="Times New Roman" w:hAnsi="Times New Roman" w:cs="Times New Roman"/>
          <w:sz w:val="32"/>
          <w:sz-cs w:val="32"/>
          <w:spacing w:val="0"/>
        </w:rPr>
        <w:t xml:space="preserve"> Ring 1 — subject matter: the award treats registered trademarks and, notably, trademark </w:t>
      </w:r>
      <w:r>
        <w:rPr>
          <w:rFonts w:ascii="Times New Roman" w:hAnsi="Times New Roman" w:cs="Times New Roman"/>
          <w:sz w:val="32"/>
          <w:sz-cs w:val="32"/>
          <w:i/>
          <w:spacing w:val="0"/>
        </w:rPr>
        <w:t xml:space="preserve">licenses</w:t>
      </w:r>
      <w:r>
        <w:rPr>
          <w:rFonts w:ascii="Times New Roman" w:hAnsi="Times New Roman" w:cs="Times New Roman"/>
          <w:sz w:val="32"/>
          <w:sz-cs w:val="32"/>
          <w:spacing w:val="0"/>
        </w:rPr>
        <w:t xml:space="preserve"> as covered investments, with the licensee's investment analysis resolved at the expedited phase rather than the merits (¶¶ 123–24). Ring 2 — the measure: the challenged state conduct was a final judgment of the national Supreme Court, reviewed under the customary-law denial-of-justice limb of FET (¶¶ 130–31); the Tribunal examined the judgment's reasoning in detail while insisting it was not exercising an appellate function (¶ 410), and the demanding no-honest-or-competent-court formulation (¶ 409) did the dispositive work. Ring 3 — threshold questions: the hardest gatekeeping issue surviving to the merits was whether BSAM, a licensee that was not a party to the Panamanian litigation, could claim denial of justice at all; the Tribunal located the answer in the TPA's own standing and definitional provisions rather than customary espousal rules (¶ 174), treating BSAM's non-party status as immaterial to the treaty complaint (¶ 176).</w:t>
      </w:r>
    </w:p>
    <w:p>
      <w:pPr>
        <w:spacing w:after="265"/>
      </w:pPr>
      <w:r>
        <w:rPr>
          <w:rFonts w:ascii="Times New Roman" w:hAnsi="Times New Roman" w:cs="Times New Roman"/>
          <w:sz w:val="32"/>
          <w:sz-cs w:val="32"/>
          <w:b/>
          <w:spacing w:val="0"/>
        </w:rPr>
        <w:t xml:space="preserve">III. Implications for the Research Question</w:t>
      </w:r>
    </w:p>
    <w:p>
      <w:pPr>
        <w:spacing w:after="320"/>
      </w:pPr>
      <w:r>
        <w:rPr>
          <w:rFonts w:ascii="Times New Roman" w:hAnsi="Times New Roman" w:cs="Times New Roman"/>
          <w:sz w:val="32"/>
          <w:sz-cs w:val="32"/>
          <w:b/>
          <w:spacing w:val="0"/>
        </w:rPr>
        <w:t xml:space="preserve">[RESEARCH-QUESTION IMPLICATION]</w:t>
      </w:r>
      <w:r>
        <w:rPr>
          <w:rFonts w:ascii="Times New Roman" w:hAnsi="Times New Roman" w:cs="Times New Roman"/>
          <w:sz w:val="32"/>
          <w:sz-cs w:val="32"/>
          <w:spacing w:val="0"/>
        </w:rPr>
        <w:t xml:space="preserve"> For the project's Ring 3 inquiry, </w:t>
      </w:r>
      <w:r>
        <w:rPr>
          <w:rFonts w:ascii="Times New Roman" w:hAnsi="Times New Roman" w:cs="Times New Roman"/>
          <w:sz w:val="32"/>
          <w:sz-cs w:val="32"/>
          <w:i/>
          <w:spacing w:val="0"/>
        </w:rPr>
        <w:t xml:space="preserve">Bridgestone</w:t>
      </w:r>
      <w:r>
        <w:rPr>
          <w:rFonts w:ascii="Times New Roman" w:hAnsi="Times New Roman" w:cs="Times New Roman"/>
          <w:sz w:val="32"/>
          <w:sz-cs w:val="32"/>
          <w:spacing w:val="0"/>
        </w:rPr>
        <w:t xml:space="preserve"> is a case where every threshold gate opened — IP assets and even bare licenses qualified as investments, and a non-party licensee had standing — yet the claim failed on the merits under the high denial-of-justice bar, with a heavy adverse costs award (¶¶ 547, 590). It therefore cuts against reading jurisdictional dismissals as the primary filter: here the filter was substantive.</w:t>
      </w:r>
    </w:p>
    <w:p>
      <w:pPr>
        <w:spacing w:after="320"/>
      </w:pPr>
      <w:r>
        <w:rPr>
          <w:rFonts w:ascii="Times New Roman" w:hAnsi="Times New Roman" w:cs="Times New Roman"/>
          <w:sz w:val="32"/>
          <w:sz-cs w:val="32"/>
          <w:b/>
          <w:spacing w:val="0"/>
        </w:rPr>
        <w:t xml:space="preserve">[FRAMEWORK ANALYSIS]</w:t>
      </w:r>
      <w:r>
        <w:rPr>
          <w:rFonts w:ascii="Times New Roman" w:hAnsi="Times New Roman" w:cs="Times New Roman"/>
          <w:sz w:val="32"/>
          <w:sz-cs w:val="32"/>
          <w:spacing w:val="0"/>
        </w:rPr>
        <w:t xml:space="preserve"> Read against the project's other two extracted IP-investment awards, Bridgestone completes a single spectrum of where disposal happens rather than three unrelated results — in Philip Morris the gate closed on timing-and-purpose abuse-of-rights grounds entirely orthogonal to the intellectual property, in Eli Lilly the gate opened and the merits burden did the filtering, and here in Bridgestone every gate opened, including a non-party licensee's standing, and the substantive denial-of-justice bar did the filtering. The lesson for the project is that the locus of disposal migrates inward — from admissibility, to the merits predicate, to the substantive liability standard — as the earlier gates are conceded or cleared, so that a jurisdictional dismissal is best read as only the outermost of several available filters rather than as the characteristic fate of an IP claim.</w:t>
      </w:r>
    </w:p>
    <w:p>
      <w:pPr>
        <w:spacing w:after="320"/>
      </w:pPr>
      <w:r>
        <w:rPr>
          <w:rFonts w:ascii="Times New Roman" w:hAnsi="Times New Roman" w:cs="Times New Roman"/>
          <w:sz w:val="32"/>
          <w:sz-cs w:val="32"/>
          <w:spacing w:val="0"/>
        </w:rPr>
        <w:t xml:space="preserve">What the award does </w:t>
      </w:r>
      <w:r>
        <w:rPr>
          <w:rFonts w:ascii="Times New Roman" w:hAnsi="Times New Roman" w:cs="Times New Roman"/>
          <w:sz w:val="32"/>
          <w:sz-cs w:val="32"/>
          <w:i/>
          <w:spacing w:val="0"/>
        </w:rPr>
        <w:t xml:space="preserve">not</w:t>
      </w:r>
      <w:r>
        <w:rPr>
          <w:rFonts w:ascii="Times New Roman" w:hAnsi="Times New Roman" w:cs="Times New Roman"/>
          <w:sz w:val="32"/>
          <w:sz-cs w:val="32"/>
          <w:spacing w:val="0"/>
        </w:rPr>
        <w:t xml:space="preserve"> establish matters equally — it says nothing about trade secrets or regulatory disclosure, and the expropriation and national-treatment claims were withdrawn before decision (¶ 129), so the award cannot be cited on how such measures would fare. Its portability is also limited to judicial-conduct measures; it does not test regulatory action against the FET standard.</w:t>
      </w:r>
    </w:p>
    <w:p>
      <w:pPr>
        <w:spacing w:after="320"/>
      </w:pPr>
      <w:r>
        <w:rPr>
          <w:rFonts w:ascii="Times New Roman" w:hAnsi="Times New Roman" w:cs="Times New Roman"/>
          <w:sz w:val="32"/>
          <w:sz-cs w:val="32"/>
          <w:spacing w:val="0"/>
        </w:rPr>
        <w:t xml:space="preserve">&lt;!-- graph:auto start --&gt; Map: [[Workflow]] &lt;!-- graph:auto end --&gt;</w:t>
      </w:r>
    </w:p>
    <w:p>
      <w:pPr>
        <w:spacing w:after="320"/>
      </w:pPr>
      <w:r>
        <w:rPr>
          <w:rFonts w:ascii="Times New Roman" w:hAnsi="Times New Roman" w:cs="Times New Roman"/>
          <w:sz w:val="32"/>
          <w:sz-cs w:val="32"/>
          <w:b/>
          <w:spacing w:val="0"/>
        </w:rPr>
        <w:t xml:space="preserve">Position Within the Project.</w:t>
      </w:r>
      <w:r>
        <w:rPr>
          <w:rFonts w:ascii="Times New Roman" w:hAnsi="Times New Roman" w:cs="Times New Roman"/>
          <w:sz w:val="32"/>
          <w:sz-cs w:val="32"/>
          <w:spacing w:val="0"/>
        </w:rPr>
        <w:t xml:space="preserve"> For the project's Ring 3 inquiry, Bridgestone settles that the jurisdictional architecture can open completely for conventional intellectual property — registered trademarks and even a bare trademark license qualified as investments, and a licensee that was never a party to the domestic litigation was granted standing — and that when every gate opens the filtering migrates entirely to the substantive standard, here the demanding no-honest-or-competent-court formulation of the denial-of-justice bar (¶¶ 123–24, 174, 409, 547). What it fails to settle is the project's actual frontier, because the expropriation and national-treatment claims were withdrawn (¶ 129) and the surviving claim concerned a judicial measure against owned, registered marks rather than a regulatory measure against a trade secret or a clinical-data dossier, so the award confirms only that the gate opens wide for the easy intangibles while leaving the Ferguson and Kim secrecy-based question untouched. The project should take the position that, for the judicial-measure branch of its question, the operative screen is substantive rather than jurisdictional, and should watch specifically for the first award in which a secrecy-based intangible or a regulatory-disclosure measure is tested against this same standing-and-merits architecture, since that is the case Bridgestone points toward but does not supply.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