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50"/>
      </w:pPr>
      <w:r>
        <w:rPr>
          <w:rFonts w:ascii="Times New Roman" w:hAnsi="Times New Roman" w:cs="Times New Roman"/>
          <w:sz w:val="37"/>
          <w:sz-cs w:val="37"/>
          <w:b/>
          <w:spacing w:val="0"/>
        </w:rPr>
        <w:t xml:space="preserve">MEMORANDUM</w:t>
      </w:r>
    </w:p>
    <w:p>
      <w:pPr/>
      <w:r>
        <w:rPr>
          <w:rFonts w:ascii="Times New Roman" w:hAnsi="Times New Roman" w:cs="Times New Roman"/>
          <w:sz w:val="24"/>
          <w:sz-cs w:val="24"/>
          <w:b/>
          <w:spacing w:val="0"/>
        </w:rPr>
        <w:t xml:space="preserve">TO:</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Dr. Ximena Benavides, Department of Legal Studies, Terry College of Business</w:t>
      </w:r>
    </w:p>
    <w:p>
      <w:pPr/>
      <w:r>
        <w:rPr>
          <w:rFonts w:ascii="Times New Roman" w:hAnsi="Times New Roman" w:cs="Times New Roman"/>
          <w:sz w:val="24"/>
          <w:sz-cs w:val="24"/>
          <w:b/>
          <w:spacing w:val="0"/>
        </w:rPr>
        <w:t xml:space="preserve">FROM:</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Emory Williams, Undergraduate Research Assistant</w:t>
      </w:r>
    </w:p>
    <w:p>
      <w:pPr/>
      <w:r>
        <w:rPr>
          <w:rFonts w:ascii="Times New Roman" w:hAnsi="Times New Roman" w:cs="Times New Roman"/>
          <w:sz w:val="24"/>
          <w:sz-cs w:val="24"/>
          <w:b/>
          <w:spacing w:val="0"/>
        </w:rPr>
        <w:t xml:space="preserve">DATE:</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07/18/2026</w:t>
      </w:r>
    </w:p>
    <w:p>
      <w:pPr/>
      <w:r>
        <w:rPr>
          <w:rFonts w:ascii="Times New Roman" w:hAnsi="Times New Roman" w:cs="Times New Roman"/>
          <w:sz w:val="24"/>
          <w:sz-cs w:val="24"/>
          <w:b/>
          <w:spacing w:val="0"/>
        </w:rPr>
        <w:t xml:space="preserve">RE:</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One-Pager — Eli Lilly and Company v. Government of Canada (ICSID Case No. UNCT/14/2)</w:t>
      </w:r>
    </w:p>
    <w:p>
      <w:pPr/>
      <w:r>
        <w:rPr>
          <w:rFonts w:ascii="Times New Roman" w:hAnsi="Times New Roman" w:cs="Times New Roman"/>
          <w:sz w:val="32"/>
          <w:sz-cs w:val="32"/>
          <w:spacing w:val="0"/>
          <w:color w:val="6D6D6D"/>
        </w:rPr>
        <w:t xml:space="preserve"/>
      </w:r>
    </w:p>
    <w:p>
      <w:pPr>
        <w:spacing w:after="265"/>
      </w:pPr>
      <w:r>
        <w:rPr>
          <w:rFonts w:ascii="Times New Roman" w:hAnsi="Times New Roman" w:cs="Times New Roman"/>
          <w:sz w:val="32"/>
          <w:sz-cs w:val="32"/>
          <w:b/>
          <w:spacing w:val="0"/>
        </w:rPr>
        <w:t xml:space="preserve">I. Case Record</w:t>
      </w:r>
    </w:p>
    <w:p>
      <w:pPr>
        <w:spacing w:after="320"/>
      </w:pPr>
      <w:r>
        <w:rPr>
          <w:rFonts w:ascii="Times New Roman" w:hAnsi="Times New Roman" w:cs="Times New Roman"/>
          <w:sz w:val="32"/>
          <w:sz-cs w:val="32"/>
          <w:b/>
          <w:spacing w:val="0"/>
        </w:rPr>
        <w:t xml:space="preserve">[SOURCE FACT]</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Eli Lilly &amp; Co. v. Government of Canada</w:t>
      </w:r>
      <w:r>
        <w:rPr>
          <w:rFonts w:ascii="Times New Roman" w:hAnsi="Times New Roman" w:cs="Times New Roman"/>
          <w:sz w:val="32"/>
          <w:sz-cs w:val="32"/>
          <w:spacing w:val="0"/>
        </w:rPr>
        <w:t xml:space="preserve">, ICSID Case No. UNCT/14/2, Final Award (Mar. 16, 2017), was an arbitration under NAFTA Chapter Eleven and the 1976 UNCITRAL Arbitration Rules, with ICSID serving as administering authority (¶ 4), before a tribunal of Albert Jan van den Berg (President), Daniel Bethlehem, and Gary Born (caption page).</w:t>
      </w:r>
    </w:p>
    <w:p>
      <w:pPr>
        <w:spacing w:after="320"/>
      </w:pPr>
      <w:r>
        <w:rPr>
          <w:rFonts w:ascii="Times New Roman" w:hAnsi="Times New Roman" w:cs="Times New Roman"/>
          <w:sz w:val="32"/>
          <w:sz-cs w:val="32"/>
          <w:b/>
          <w:spacing w:val="0"/>
        </w:rPr>
        <w:t xml:space="preserve">Claims and jurisdictional objection.</w:t>
      </w:r>
      <w:r>
        <w:rPr>
          <w:rFonts w:ascii="Times New Roman" w:hAnsi="Times New Roman" w:cs="Times New Roman"/>
          <w:sz w:val="32"/>
          <w:sz-cs w:val="32"/>
          <w:spacing w:val="0"/>
        </w:rPr>
        <w:t xml:space="preserve"> Lilly commenced the arbitration by Notice of Arbitration dated 12 September 2013 under NAFTA Articles 1116, 1117, and 1120 (¶ 10), claiming that Canadian courts' invalidation of its Zyprexa and Strattera patents in 2010 and 2011 — under what Lilly called the promise utility doctrine — was an unlawful expropriation under NAFTA Article 1110 and a breach of the Article 1105 minimum standard of treatment (¶ 5). Canada raised one jurisdictional objection, ratione temporis time-bar under Articles 1116(2) and 1117(2), alongside its merits defenses (¶ 6).</w:t>
      </w:r>
    </w:p>
    <w:p>
      <w:pPr>
        <w:spacing w:after="320"/>
      </w:pPr>
      <w:r>
        <w:rPr>
          <w:rFonts w:ascii="Times New Roman" w:hAnsi="Times New Roman" w:cs="Times New Roman"/>
          <w:sz w:val="32"/>
          <w:sz-cs w:val="32"/>
          <w:b/>
          <w:spacing w:val="0"/>
        </w:rPr>
        <w:t xml:space="preserve">Holdings and disposition.</w:t>
      </w:r>
      <w:r>
        <w:rPr>
          <w:rFonts w:ascii="Times New Roman" w:hAnsi="Times New Roman" w:cs="Times New Roman"/>
          <w:sz w:val="32"/>
          <w:sz-cs w:val="32"/>
          <w:spacing w:val="0"/>
        </w:rPr>
        <w:t xml:space="preserve"> The Tribunal rejected the objection, fixing the limitation clock at the Supreme Court of Canada's leave denials of 8 December 2011 and 16 May 2013 (¶ 170), and held in the dispositive: "Respondent’s objection to the Tribunal’s jurisdiction ratione temporis is dismissed." (¶ 480(1)). On the merits, "Claimant has failed to establish the factual premise of its claims." (¶ 469); "Having failed to demonstrate a fundamental or dramatic change in Canadian patent law, the Tribunal would properly dismiss the claims without further inquiry." (¶ 389). The operative disposition: "Claimant’s claim is dismissed in its entirety." (¶ 480(2)). Lilly bore the arbitration costs (paying Canada USD 374,848.99) plus 75 percent of Canada's legal costs, CAD 4,448,625.32 (¶¶ 459–460, 480(3)–(4)).</w:t>
      </w:r>
    </w:p>
    <w:p>
      <w:pPr>
        <w:spacing w:after="265"/>
      </w:pPr>
      <w:r>
        <w:rPr>
          <w:rFonts w:ascii="Times New Roman" w:hAnsi="Times New Roman" w:cs="Times New Roman"/>
          <w:sz w:val="32"/>
          <w:sz-cs w:val="32"/>
          <w:b/>
          <w:spacing w:val="0"/>
        </w:rPr>
        <w:t xml:space="preserve">II. Three-Ring Read</w:t>
      </w:r>
    </w:p>
    <w:p>
      <w:pPr>
        <w:spacing w:after="320"/>
      </w:pPr>
      <w:r>
        <w:rPr>
          <w:rFonts w:ascii="Times New Roman" w:hAnsi="Times New Roman" w:cs="Times New Roman"/>
          <w:sz w:val="32"/>
          <w:sz-cs w:val="32"/>
          <w:b/>
          <w:spacing w:val="0"/>
        </w:rPr>
        <w:t xml:space="preserve">[FRAMEWORK ANALYSIS]</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Ring 1 — IP as covered investment.</w:t>
      </w:r>
      <w:r>
        <w:rPr>
          <w:rFonts w:ascii="Times New Roman" w:hAnsi="Times New Roman" w:cs="Times New Roman"/>
          <w:sz w:val="32"/>
          <w:sz-cs w:val="32"/>
          <w:spacing w:val="0"/>
        </w:rPr>
        <w:t xml:space="preserve"> Nothing in the award records any contest over whether the patents qualified as investments. The Tribunal simply refers to the Zyprexa and Strattera Patents as the investments at issue in this arbitration (¶ 167), and the footnoted jurisdictional analysis treats each patent as an investment whose alleged breach was its invalidation (¶ 170 &amp; n.159). Ring 1 was, on this record, assumed rather than litigated. That the patents passed Ring 1 without contest is itself a datum for Ferguson's recognition/enforceability gap: because international law protects only what the host State's municipal law already recognizes, a granted patent clears the municipal-recognition contingency by its very existence on the register, whereas a trade secret's recognition is the contingency Ferguson identifies as decisive — so the frictionless Ring 1 seen here illustrates that asymmetry rather than cutting against it, and cannot be carried over to the trade-secret fact pattern the project targets.</w:t>
      </w:r>
    </w:p>
    <w:p>
      <w:pPr>
        <w:spacing w:after="320"/>
      </w:pPr>
      <w:r>
        <w:rPr>
          <w:rFonts w:ascii="Times New Roman" w:hAnsi="Times New Roman" w:cs="Times New Roman"/>
          <w:sz w:val="32"/>
          <w:sz-cs w:val="32"/>
          <w:i/>
          <w:spacing w:val="0"/>
        </w:rPr>
        <w:t xml:space="preserve">Ring 2 — the judicial measure.</w:t>
      </w:r>
      <w:r>
        <w:rPr>
          <w:rFonts w:ascii="Times New Roman" w:hAnsi="Times New Roman" w:cs="Times New Roman"/>
          <w:sz w:val="32"/>
          <w:sz-cs w:val="32"/>
          <w:spacing w:val="0"/>
        </w:rPr>
        <w:t xml:space="preserve"> This is the award's doctrinal core. Canada argued that a national court decision can breach Chapter Eleven only through denial of justice, which Lilly had not alleged (¶ 6). The Tribunal expressly declined to resolve that debate as unnecessary (¶ 220), but in obiter it was "unwilling to shut the door to the possibility that judicial conduct characterized other than as a denial of justice may engage a respondent’s obligations under NAFTA Article 1105" (¶ 223) — while insisting a Chapter Eleven tribunal is not an appellate tier and that "considerable deference is to be accorded to the conduct and decisions" of national courts (¶ 224). On the facts, the Tribunal found only incremental, evolutionary change in the utility requirement (¶ 386), no fundamental or dramatic change (¶ 387), and, addressing Lilly's arbitrariness and discrimination allegations for completeness, held the challenged court decisions "neither arbitrary nor discriminatory" under any plausible standard (¶ 418; see ¶ 442).</w:t>
      </w:r>
    </w:p>
    <w:p>
      <w:pPr>
        <w:spacing w:after="320"/>
      </w:pPr>
      <w:r>
        <w:rPr>
          <w:rFonts w:ascii="Times New Roman" w:hAnsi="Times New Roman" w:cs="Times New Roman"/>
          <w:sz w:val="32"/>
          <w:sz-cs w:val="32"/>
          <w:i/>
          <w:spacing w:val="0"/>
        </w:rPr>
        <w:t xml:space="preserve">Ring 3 — the jurisdictional gate.</w:t>
      </w:r>
      <w:r>
        <w:rPr>
          <w:rFonts w:ascii="Times New Roman" w:hAnsi="Times New Roman" w:cs="Times New Roman"/>
          <w:sz w:val="32"/>
          <w:sz-cs w:val="32"/>
          <w:spacing w:val="0"/>
        </w:rPr>
        <w:t xml:space="preserve"> The only gate raised was the time bar, and it failed: the Tribunal found the Notice of Arbitration timely and took jurisdiction (¶¶ 170, 465), stating "The Tribunal has jurisdiction to hear the claims submitted to it in this arbitration." (¶ 480(1)). It declined to decide whether Canada's objection was itself untimely under UNCITRAL Article 21(3) (¶ 466). No jurisdictional disposal occurred.</w:t>
      </w:r>
    </w:p>
    <w:p>
      <w:pPr>
        <w:spacing w:after="265"/>
      </w:pPr>
      <w:r>
        <w:rPr>
          <w:rFonts w:ascii="Times New Roman" w:hAnsi="Times New Roman" w:cs="Times New Roman"/>
          <w:sz w:val="32"/>
          <w:sz-cs w:val="32"/>
          <w:b/>
          <w:spacing w:val="0"/>
        </w:rPr>
        <w:t xml:space="preserve">III. Implications for the Research Question</w:t>
      </w:r>
    </w:p>
    <w:p>
      <w:pPr>
        <w:spacing w:after="320"/>
      </w:pPr>
      <w:r>
        <w:rPr>
          <w:rFonts w:ascii="Times New Roman" w:hAnsi="Times New Roman" w:cs="Times New Roman"/>
          <w:sz w:val="32"/>
          <w:sz-cs w:val="32"/>
          <w:b/>
          <w:spacing w:val="0"/>
        </w:rPr>
        <w:t xml:space="preserve">[RESEARCH-QUESTION IMPLICATION]</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Eli Lilly</w:t>
      </w:r>
      <w:r>
        <w:rPr>
          <w:rFonts w:ascii="Times New Roman" w:hAnsi="Times New Roman" w:cs="Times New Roman"/>
          <w:sz w:val="32"/>
          <w:sz-cs w:val="32"/>
          <w:spacing w:val="0"/>
        </w:rPr>
        <w:t xml:space="preserve"> is the clean counter-case to any thesis that tribunals dodge IP-plus-judicial-measure claims at the jurisdictional threshold. This claim was decided on the merits — the tribunal took jurisdiction over a pure judicial-measure patent claim, reached the substance, and dismissed for failure of factual proof, with no damages phase (¶¶ 469, 471–472). For the Ring 3 line of inquiry, that means the jurisdictional-exit pattern is not universal: here the gate opened, and the screening work was done instead by the merits burden (the dramatic-change factual predicate, ¶¶ 388–389) and by heavy deference to national courts (¶ 224). What the award does establish: patents can pass through Rings 1 and 3 without resistance, and Article 1105/1110 claims against judicial acts are cognizable in principle beyond denial of justice (¶ 223). What it does not establish: any affirmative holding that patents are investments (uncontested, so no reasoned ruling), any resolution of the denial-of-justice-only debate (expressly reserved, ¶ 220), or any merits standard actually met by an investor. The costs award (¶ 460) is also a data point on the price of losing a merits-stage IP claim.</w:t>
      </w:r>
    </w:p>
    <w:p>
      <w:pPr>
        <w:spacing w:after="320"/>
      </w:pPr>
      <w:r>
        <w:rPr>
          <w:rFonts w:ascii="Times New Roman" w:hAnsi="Times New Roman" w:cs="Times New Roman"/>
          <w:sz w:val="32"/>
          <w:sz-cs w:val="32"/>
          <w:b/>
          <w:spacing w:val="0"/>
        </w:rPr>
        <w:t xml:space="preserve">[UNVERIFIED EXTERNAL CONTEXT]</w:t>
      </w:r>
      <w:r>
        <w:rPr>
          <w:rFonts w:ascii="Times New Roman" w:hAnsi="Times New Roman" w:cs="Times New Roman"/>
          <w:sz w:val="32"/>
          <w:sz-cs w:val="32"/>
          <w:spacing w:val="0"/>
        </w:rPr>
        <w:t xml:space="preserve"> Omitted — nothing external is needed for this memo.</w:t>
      </w:r>
    </w:p>
    <w:p>
      <w:pPr>
        <w:spacing w:after="320"/>
      </w:pPr>
      <w:r>
        <w:rPr>
          <w:rFonts w:ascii="Times New Roman" w:hAnsi="Times New Roman" w:cs="Times New Roman"/>
          <w:sz w:val="32"/>
          <w:sz-cs w:val="32"/>
          <w:spacing w:val="0"/>
        </w:rPr>
        <w:t xml:space="preserve">&lt;!-- graph:auto start --&gt; Map: [[Workflow]] &lt;!-- graph:auto end --&gt;</w:t>
      </w:r>
    </w:p>
    <w:p>
      <w:pPr>
        <w:spacing w:after="320"/>
      </w:pPr>
      <w:r>
        <w:rPr>
          <w:rFonts w:ascii="Times New Roman" w:hAnsi="Times New Roman" w:cs="Times New Roman"/>
          <w:sz w:val="32"/>
          <w:sz-cs w:val="32"/>
          <w:b/>
          <w:spacing w:val="0"/>
        </w:rPr>
        <w:t xml:space="preserve">Position Within the Project.</w:t>
      </w:r>
      <w:r>
        <w:rPr>
          <w:rFonts w:ascii="Times New Roman" w:hAnsi="Times New Roman" w:cs="Times New Roman"/>
          <w:sz w:val="32"/>
          <w:sz-cs w:val="32"/>
          <w:spacing w:val="0"/>
        </w:rPr>
        <w:t xml:space="preserve"> For the project's question, Eli Lilly settles that the jurisdictional gate is not the only filter and, on these facts, not the operative one — the Tribunal took jurisdiction over a pure judicial-measure patent claim, treated the patents as investments without a reasoned Ring 1 holding because Canada never contested the point, and then filtered the claim at the merits through the dramatic-change factual predicate and heavy deference to national courts (¶¶ 167, 170, 388–389, 480(1)). What it fails to settle is precisely the frontier the project cares about most: patents are the easy intangible — exclusively owned and straightforwardly treaty-defined — so Lilly's frictionless passage through Rings 1 and 3 says nothing about whether a trade secret or a clinical-data dossier, which Ferguson and Kim both treat as structurally harder to fit the investment definition, would clear the same gate. The project should therefore take the position that Eli Lilly is authority for the cognizability of judicial-measure IP claims beyond denial of justice (¶ 223) and for the merits burden — the dramatic-change factual predicate and the deference owed to national courts being what a claimant must overcome, not a bar that defeats such claims of itself — as the true screen, but not authority that intangibles are investments, and it should watch subsequent awards for the first case in which a tribunal actually reaches and applies a substantive standard to an IP claim rather than disposing of it on the factual predicate.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