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50"/>
      </w:pPr>
      <w:r>
        <w:rPr>
          <w:rFonts w:ascii="Times New Roman" w:hAnsi="Times New Roman" w:cs="Times New Roman"/>
          <w:sz w:val="37"/>
          <w:sz-cs w:val="37"/>
          <w:b/>
          <w:spacing w:val="0"/>
        </w:rPr>
        <w:t xml:space="preserve">MEMORANDUM</w:t>
      </w:r>
    </w:p>
    <w:p>
      <w:pPr/>
      <w:r>
        <w:rPr>
          <w:rFonts w:ascii="Times New Roman" w:hAnsi="Times New Roman" w:cs="Times New Roman"/>
          <w:sz w:val="24"/>
          <w:sz-cs w:val="24"/>
          <w:b/>
          <w:spacing w:val="0"/>
        </w:rPr>
        <w:t xml:space="preserve">TO:</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Dr. Ximena Benavides, Department of Legal Studies, Terry College of Business</w:t>
      </w:r>
    </w:p>
    <w:p>
      <w:pPr/>
      <w:r>
        <w:rPr>
          <w:rFonts w:ascii="Times New Roman" w:hAnsi="Times New Roman" w:cs="Times New Roman"/>
          <w:sz w:val="24"/>
          <w:sz-cs w:val="24"/>
          <w:b/>
          <w:spacing w:val="0"/>
        </w:rPr>
        <w:t xml:space="preserve">FROM:</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Emory Williams, Undergraduate Research Assistant</w:t>
      </w:r>
    </w:p>
    <w:p>
      <w:pPr/>
      <w:r>
        <w:rPr>
          <w:rFonts w:ascii="Times New Roman" w:hAnsi="Times New Roman" w:cs="Times New Roman"/>
          <w:sz w:val="24"/>
          <w:sz-cs w:val="24"/>
          <w:b/>
          <w:spacing w:val="0"/>
        </w:rPr>
        <w:t xml:space="preserve">DATE:</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07/18/2026</w:t>
      </w:r>
    </w:p>
    <w:p>
      <w:pPr/>
      <w:r>
        <w:rPr>
          <w:rFonts w:ascii="Times New Roman" w:hAnsi="Times New Roman" w:cs="Times New Roman"/>
          <w:sz w:val="24"/>
          <w:sz-cs w:val="24"/>
          <w:b/>
          <w:spacing w:val="0"/>
        </w:rPr>
        <w:t xml:space="preserve">RE:</w:t>
      </w:r>
      <w:r>
        <w:rPr>
          <w:rFonts w:ascii="Times New Roman" w:hAnsi="Times New Roman" w:cs="Times New Roman"/>
          <w:sz w:val="24"/>
          <w:sz-cs w:val="24"/>
          <w:spacing w:val="0"/>
        </w:rPr>
        <w:t xml:space="preserve"/>
      </w:r>
    </w:p>
    <w:p>
      <w:pPr/>
      <w:r>
        <w:rPr>
          <w:rFonts w:ascii="Times New Roman" w:hAnsi="Times New Roman" w:cs="Times New Roman"/>
          <w:sz w:val="24"/>
          <w:sz-cs w:val="24"/>
          <w:spacing w:val="0"/>
        </w:rPr>
        <w:t xml:space="preserve">One-Pager — Philip Morris Asia Ltd v. Commonwealth of Australia (PCA Case No. 2012-12)</w:t>
      </w:r>
    </w:p>
    <w:p>
      <w:pPr/>
      <w:r>
        <w:rPr>
          <w:rFonts w:ascii="Times New Roman" w:hAnsi="Times New Roman" w:cs="Times New Roman"/>
          <w:sz w:val="32"/>
          <w:sz-cs w:val="32"/>
          <w:spacing w:val="0"/>
          <w:color w:val="6D6D6D"/>
        </w:rPr>
        <w:t xml:space="preserve"/>
      </w:r>
    </w:p>
    <w:p>
      <w:pPr>
        <w:spacing w:after="265"/>
      </w:pPr>
      <w:r>
        <w:rPr>
          <w:rFonts w:ascii="Times New Roman" w:hAnsi="Times New Roman" w:cs="Times New Roman"/>
          <w:sz w:val="32"/>
          <w:sz-cs w:val="32"/>
          <w:b/>
          <w:spacing w:val="0"/>
        </w:rPr>
        <w:t xml:space="preserve">I. Case Record</w:t>
      </w:r>
    </w:p>
    <w:p>
      <w:pPr>
        <w:spacing w:after="320"/>
      </w:pPr>
      <w:r>
        <w:rPr>
          <w:rFonts w:ascii="Times New Roman" w:hAnsi="Times New Roman" w:cs="Times New Roman"/>
          <w:sz w:val="32"/>
          <w:sz-cs w:val="32"/>
          <w:b/>
          <w:spacing w:val="0"/>
        </w:rPr>
        <w:t xml:space="preserve">[SOURCE FACT]</w:t>
      </w:r>
      <w:r>
        <w:rPr>
          <w:rFonts w:ascii="Times New Roman" w:hAnsi="Times New Roman" w:cs="Times New Roman"/>
          <w:sz w:val="32"/>
          <w:sz-cs w:val="32"/>
          <w:spacing w:val="0"/>
        </w:rPr>
        <w:t xml:space="preserve"> </w:t>
      </w:r>
      <w:r>
        <w:rPr>
          <w:rFonts w:ascii="Times New Roman" w:hAnsi="Times New Roman" w:cs="Times New Roman"/>
          <w:sz w:val="32"/>
          <w:sz-cs w:val="32"/>
          <w:i/>
          <w:spacing w:val="0"/>
        </w:rPr>
        <w:t xml:space="preserve">Philip Morris Asia Limited v. The Commonwealth of Australia</w:t>
      </w:r>
      <w:r>
        <w:rPr>
          <w:rFonts w:ascii="Times New Roman" w:hAnsi="Times New Roman" w:cs="Times New Roman"/>
          <w:sz w:val="32"/>
          <w:sz-cs w:val="32"/>
          <w:spacing w:val="0"/>
        </w:rPr>
        <w:t xml:space="preserve">, PCA Case No. 2012-12, Award on Jurisdiction and Admissibility (Perm. Ct. Arb. Dec. 17, 2015) (Böckstiegel, P.; Kaufmann-Kohler; McRae) arose from Australia's enactment of the Tobacco Plain Packaging Act 2011 and its implementing Tobacco Plain Packaging Regulations 2011 — together the Plain Packaging Measures — and was brought under the Agreement between the Government of Hong Kong and the Government of Australia for the Promotion and Protection of Investments of 15 September 1993, applying the 2010 UNCITRAL Rules (¶¶ 5, 13, 16–17). The claimant, PM Asia, owned 100% of PM Australia, which owned 100% of PML, an Australian trading company holding rights to intellectual property including "registered and unregistered trademarks", copyrights, and designs (¶ 6). PM Asia alleged the legislation barred use of that intellectual property on tobacco packaging and sought suspension of enforcement or compensation "of the order of billions of Australian dollars" (¶¶ 7–8).</w:t>
      </w:r>
    </w:p>
    <w:p>
      <w:pPr>
        <w:spacing w:after="320"/>
      </w:pPr>
      <w:r>
        <w:rPr>
          <w:rFonts w:ascii="Times New Roman" w:hAnsi="Times New Roman" w:cs="Times New Roman"/>
          <w:sz w:val="32"/>
          <w:sz-cs w:val="32"/>
          <w:b/>
          <w:spacing w:val="0"/>
        </w:rPr>
        <w:t xml:space="preserve">Restructuring timeline.</w:t>
      </w:r>
      <w:r>
        <w:rPr>
          <w:rFonts w:ascii="Times New Roman" w:hAnsi="Times New Roman" w:cs="Times New Roman"/>
          <w:sz w:val="32"/>
          <w:sz-cs w:val="32"/>
          <w:spacing w:val="0"/>
        </w:rPr>
        <w:t xml:space="preserve"> The restructuring placing the Australian subsidiaries under PM Asia was decided on 3 September 2010 and completed by share transfer on 23 February 2011; the TPP Act passed Parliament on 21 November 2011 — the same date as the Notice of Arbitration — and received Royal Assent on 1 December 2011 (¶¶ 164, 176–177, 533; ¶ 13).</w:t>
      </w:r>
    </w:p>
    <w:p>
      <w:pPr>
        <w:spacing w:after="320"/>
      </w:pPr>
      <w:r>
        <w:rPr>
          <w:rFonts w:ascii="Times New Roman" w:hAnsi="Times New Roman" w:cs="Times New Roman"/>
          <w:sz w:val="32"/>
          <w:sz-cs w:val="32"/>
          <w:b/>
          <w:spacing w:val="0"/>
        </w:rPr>
        <w:t xml:space="preserve">Tribunal's holdings.</w:t>
      </w:r>
      <w:r>
        <w:rPr>
          <w:rFonts w:ascii="Times New Roman" w:hAnsi="Times New Roman" w:cs="Times New Roman"/>
          <w:sz w:val="32"/>
          <w:sz-cs w:val="32"/>
          <w:spacing w:val="0"/>
        </w:rPr>
        <w:t xml:space="preserve"> The proceedings were bifurcated, with two preliminary objections heard first (¶ 9). The Tribunal held that PM Asia had not shown pre-restructuring control over the Australian investments under Article 1(e) of the BIT (¶ 509); that the investment was admitted under Australian law, so "the Respondent’s non-admission" "objection must thus fail" (¶ 523); and that "the requirements for the Tribunal’s jurisdiction ratione temporis are met" (¶ 534). It nonetheless found an abuse of rights: commencing arbitration is abusive when an investor restructures to gain the "protection of an investment treaty at a point in time when a specific dispute was foreseeable" (¶ 554), foreseeability meaning a "reasonable prospect that a measure that may give rise to a treaty claim will materialise" (¶ 585). Because the Plain Packaging Measures were foreseeable from the 29 April 2010 governmental announcement and the restructuring's principal, if not sole, purpose was Treaty protection, "the claims raised in this arbitration are inadmissible" and "the Tribunal is precluded from exercising jurisdiction over this dispute" (¶¶ 569, 584, 586–588). The award is interim — final save as to costs (¶¶ 10, 589).</w:t>
      </w:r>
    </w:p>
    <w:p>
      <w:pPr>
        <w:spacing w:after="265"/>
      </w:pPr>
      <w:r>
        <w:rPr>
          <w:rFonts w:ascii="Times New Roman" w:hAnsi="Times New Roman" w:cs="Times New Roman"/>
          <w:sz w:val="32"/>
          <w:sz-cs w:val="32"/>
          <w:b/>
          <w:spacing w:val="0"/>
        </w:rPr>
        <w:t xml:space="preserve">II. Three-Ring Read</w:t>
      </w:r>
    </w:p>
    <w:p>
      <w:pPr>
        <w:spacing w:after="320"/>
      </w:pPr>
      <w:r>
        <w:rPr>
          <w:rFonts w:ascii="Times New Roman" w:hAnsi="Times New Roman" w:cs="Times New Roman"/>
          <w:sz w:val="32"/>
          <w:sz-cs w:val="32"/>
          <w:b/>
          <w:spacing w:val="0"/>
        </w:rPr>
        <w:t xml:space="preserve">[FRAMEWORK ANALYSIS]</w:t>
      </w:r>
      <w:r>
        <w:rPr>
          <w:rFonts w:ascii="Times New Roman" w:hAnsi="Times New Roman" w:cs="Times New Roman"/>
          <w:sz w:val="32"/>
          <w:sz-cs w:val="32"/>
          <w:spacing w:val="0"/>
        </w:rPr>
        <w:t xml:space="preserve"> Ring 1 (IP as covered investment): the asserted investment was shares in the Australian holding chain whose value, on the claimant's own account, rested on PML's intellectual property — trademarks, copyright, designs, and get-up (¶ 6). The Tribunal never tested whether that IP qualified as a covered investment on the merits; the only investment-definition work done was the Article 1(e) control inquiry, which PM Asia lost as to the pre-restructuring period (¶¶ 508–509). Ring 2 (challenged measure): a general legislative public-health measure — the TPP Act and Regulations — challenged as destroying branded-product value (¶¶ 5, 7). Ring 3 (jurisdictional disposal): the case died entirely at the gate, but on abuse-of-rights admissibility grounds tied to the timing and purpose of the restructuring, not on any holding about the IP itself. The Tribunal expressly rejected the non-admission and ratione temporis objections (¶¶ 523, 534) before disposing of the claims on abuse of rights (¶ 588), so the gate that closed was the treaty-shopping gate, not the IP-as-investment gate.</w:t>
      </w:r>
    </w:p>
    <w:p>
      <w:pPr>
        <w:spacing w:after="265"/>
      </w:pPr>
      <w:r>
        <w:rPr>
          <w:rFonts w:ascii="Times New Roman" w:hAnsi="Times New Roman" w:cs="Times New Roman"/>
          <w:sz w:val="32"/>
          <w:sz-cs w:val="32"/>
          <w:b/>
          <w:spacing w:val="0"/>
        </w:rPr>
        <w:t xml:space="preserve">III. Implications for the Research Question</w:t>
      </w:r>
    </w:p>
    <w:p>
      <w:pPr>
        <w:spacing w:after="320"/>
      </w:pPr>
      <w:r>
        <w:rPr>
          <w:rFonts w:ascii="Times New Roman" w:hAnsi="Times New Roman" w:cs="Times New Roman"/>
          <w:sz w:val="32"/>
          <w:sz-cs w:val="32"/>
          <w:b/>
          <w:spacing w:val="0"/>
        </w:rPr>
        <w:t xml:space="preserve">[RESEARCH-QUESTION IMPLICATION]</w:t>
      </w:r>
      <w:r>
        <w:rPr>
          <w:rFonts w:ascii="Times New Roman" w:hAnsi="Times New Roman" w:cs="Times New Roman"/>
          <w:sz w:val="32"/>
          <w:sz-cs w:val="32"/>
          <w:spacing w:val="0"/>
        </w:rPr>
        <w:t xml:space="preserve"> For the question of when IP asserted as a covered investment and challenged via a state measure is disposed of at the jurisdictional gate, this award establishes the timing-and-purpose pathway: a foreseeability-based abuse-of-rights test (¶¶ 554, 585) that lets a tribunal dismiss an IP-centered claim without ever characterizing the IP. It does not reach whether trademarks or get-up are themselves protected investments under the BIT; whether plain packaging amounted to expropriation or breached any substantive standard; or how a tribunal would treat an identical claim brought by an entity that held the investment before the measure became foreseeable. The merits of the IP claim were never adjudicated (¶¶ 9, 588–590). The case therefore supports the proposition that jurisdictional disposal of IP claims can be entirely orthogonal to the IP — a lesson about claimant structure and timing, not about the status of intangibles as investments.</w:t>
      </w:r>
    </w:p>
    <w:p>
      <w:pPr>
        <w:spacing w:after="320"/>
      </w:pPr>
      <w:r>
        <w:rPr>
          <w:rFonts w:ascii="Times New Roman" w:hAnsi="Times New Roman" w:cs="Times New Roman"/>
          <w:sz w:val="32"/>
          <w:sz-cs w:val="32"/>
          <w:spacing w:val="0"/>
        </w:rPr>
        <w:t xml:space="preserve">Read against Ferguson's recognition/enforceability gap — under which both a municipally recognized right and a qualifying "investment" must be established before the expropriation doctrine is ever engaged — the award is instructive precisely because the municipal-recognition prong was in fact satisfied, the Tribunal having found the investment admitted under Australian law (¶ 523), yet the claim still failed at a gate that Ferguson's two-contingency model does not contain, namely the abuse-of-rights bar keyed to the timing and purpose of the restructuring.</w:t>
      </w:r>
    </w:p>
    <w:p>
      <w:pPr>
        <w:spacing w:after="320"/>
      </w:pPr>
      <w:r>
        <w:rPr>
          <w:rFonts w:ascii="Times New Roman" w:hAnsi="Times New Roman" w:cs="Times New Roman"/>
          <w:sz w:val="32"/>
          <w:sz-cs w:val="32"/>
          <w:spacing w:val="0"/>
        </w:rPr>
        <w:t xml:space="preserve">&lt;!-- graph:auto start --&gt; Map: [[Workflow]] &lt;!-- graph:auto end --&gt;</w:t>
      </w:r>
    </w:p>
    <w:p>
      <w:pPr>
        <w:spacing w:after="320"/>
      </w:pPr>
      <w:r>
        <w:rPr>
          <w:rFonts w:ascii="Times New Roman" w:hAnsi="Times New Roman" w:cs="Times New Roman"/>
          <w:sz w:val="32"/>
          <w:sz-cs w:val="32"/>
          <w:b/>
          <w:spacing w:val="0"/>
        </w:rPr>
        <w:t xml:space="preserve">Position Within the Project.</w:t>
      </w:r>
      <w:r>
        <w:rPr>
          <w:rFonts w:ascii="Times New Roman" w:hAnsi="Times New Roman" w:cs="Times New Roman"/>
          <w:sz w:val="32"/>
          <w:sz-cs w:val="32"/>
          <w:spacing w:val="0"/>
        </w:rPr>
        <w:t xml:space="preserve"> For the project's central question — whether intellectual property asserted as a covered investment and challenged through a state measure survives the jurisdictional gate — this award settles nothing about the intangible itself, because the Tribunal disposed of the claim on abuse-of-rights admissibility grounds tied to the timing and purpose of the restructuring while expressly rejecting the non-admission and ratione temporis objections before it ever characterized the trademarks, copyright, or get-up as investments (¶¶ 523, 534, 588). What it does settle is that an IP-centered claim can be extinguished at the gate for reasons entirely orthogonal to the IP, so that the Ferguson recognition-and-enforceability inquiry and the Kim clinical-data evidentiary inquiry are never reached — a reminder that the project's trade-secret and clinical-data frontier presupposes a claimant whose structure and timing do not hand the tribunal a foreseeability-based exit. The project should therefore file Philip Morris as the timing-and-purpose pathway rather than as an IP precedent, and should watch, in every future award it extracts, whether the restructuring or acquisition predated the point at which the challenged measure became foreseeable, treating that fact as an independent screen that operates before any of the three rings are engaged. The position the project should take is that abuse-of-rights disposal carries no evidence about the status of intangibles as investments and must never be cited as such.</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