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Privacy &amp; Compliance Policy</w:t>
      </w:r>
    </w:p>
    <w:p>
      <w:pPr>
        <w:jc w:val="center"/>
      </w:pPr>
      <w:r>
        <w:t>Effective Date: January 1, 2026 | Version: 3.2 | Classification: Internal</w:t>
      </w:r>
    </w:p>
    <w:p>
      <w:pPr>
        <w:pStyle w:val="Heading1"/>
      </w:pPr>
      <w:r>
        <w:t>1. Purpose and Scope</w:t>
      </w:r>
    </w:p>
    <w:p>
      <w:r>
        <w:t>This policy governs the collection, processing, storage, and disposal of personal data and confidential business information across all company operations. It applies to all employees, contractors, vendors, and third-party partners who access company data systems.</w:t>
      </w:r>
    </w:p>
    <w:p>
      <w:pPr>
        <w:pStyle w:val="Heading1"/>
      </w:pPr>
      <w:r>
        <w:t>2. Data Classification</w:t>
      </w:r>
    </w:p>
    <w:p>
      <w:r>
        <w:t>All company data must be classified into one of the following categories: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Classification</w:t>
            </w:r>
          </w:p>
        </w:tc>
        <w:tc>
          <w:tcPr>
            <w:tcW w:type="dxa" w:w="2880"/>
          </w:tcPr>
          <w:p>
            <w:r>
              <w:t>Handling Requirements</w:t>
            </w:r>
          </w:p>
        </w:tc>
      </w:tr>
      <w:tr>
        <w:tc>
          <w:tcPr>
            <w:tcW w:type="dxa" w:w="2880"/>
          </w:tcPr>
          <w:p>
            <w:r>
              <w:t>1</w:t>
            </w:r>
          </w:p>
        </w:tc>
        <w:tc>
          <w:tcPr>
            <w:tcW w:type="dxa" w:w="2880"/>
          </w:tcPr>
          <w:p>
            <w:r>
              <w:t>Public</w:t>
            </w:r>
          </w:p>
        </w:tc>
        <w:tc>
          <w:tcPr>
            <w:tcW w:type="dxa" w:w="2880"/>
          </w:tcPr>
          <w:p>
            <w:r>
              <w:t>No restrictions; may be shared externally</w:t>
            </w:r>
          </w:p>
        </w:tc>
      </w:tr>
      <w:tr>
        <w:tc>
          <w:tcPr>
            <w:tcW w:type="dxa" w:w="2880"/>
          </w:tcPr>
          <w:p>
            <w:r>
              <w:t>2</w:t>
            </w:r>
          </w:p>
        </w:tc>
        <w:tc>
          <w:tcPr>
            <w:tcW w:type="dxa" w:w="2880"/>
          </w:tcPr>
          <w:p>
            <w:r>
              <w:t>Internal</w:t>
            </w:r>
          </w:p>
        </w:tc>
        <w:tc>
          <w:tcPr>
            <w:tcW w:type="dxa" w:w="2880"/>
          </w:tcPr>
          <w:p>
            <w:r>
              <w:t>Available to all employees; not for external sharing</w:t>
            </w:r>
          </w:p>
        </w:tc>
      </w:tr>
      <w:tr>
        <w:tc>
          <w:tcPr>
            <w:tcW w:type="dxa" w:w="2880"/>
          </w:tcPr>
          <w:p>
            <w:r>
              <w:t>3</w:t>
            </w:r>
          </w:p>
        </w:tc>
        <w:tc>
          <w:tcPr>
            <w:tcW w:type="dxa" w:w="2880"/>
          </w:tcPr>
          <w:p>
            <w:r>
              <w:t>Confidential</w:t>
            </w:r>
          </w:p>
        </w:tc>
        <w:tc>
          <w:tcPr>
            <w:tcW w:type="dxa" w:w="2880"/>
          </w:tcPr>
          <w:p>
            <w:r>
              <w:t>Need-to-know basis; encrypted in transit and at rest</w:t>
            </w:r>
          </w:p>
        </w:tc>
      </w:tr>
      <w:tr>
        <w:tc>
          <w:tcPr>
            <w:tcW w:type="dxa" w:w="2880"/>
          </w:tcPr>
          <w:p>
            <w:r>
              <w:t>4</w:t>
            </w:r>
          </w:p>
        </w:tc>
        <w:tc>
          <w:tcPr>
            <w:tcW w:type="dxa" w:w="2880"/>
          </w:tcPr>
          <w:p>
            <w:r>
              <w:t>Restricted</w:t>
            </w:r>
          </w:p>
        </w:tc>
        <w:tc>
          <w:tcPr>
            <w:tcW w:type="dxa" w:w="2880"/>
          </w:tcPr>
          <w:p>
            <w:r>
              <w:t>Executive approval required; full audit trail mandatory</w:t>
            </w:r>
          </w:p>
        </w:tc>
      </w:tr>
    </w:tbl>
    <w:p>
      <w:pPr>
        <w:pStyle w:val="Heading1"/>
      </w:pPr>
      <w:r>
        <w:t>3. Data Retention</w:t>
      </w:r>
    </w:p>
    <w:p>
      <w:r>
        <w:t>Employee records: 7 years after termination. Financial records: 10 years. Customer data: duration of contract plus 3 years. Marketing data: 2 years from last interaction. All data past retention period must be securely deleted within 90 days.</w:t>
      </w:r>
    </w:p>
    <w:p>
      <w:pPr>
        <w:pStyle w:val="Heading1"/>
      </w:pPr>
      <w:r>
        <w:t>4. Breach Response Protocol</w:t>
      </w:r>
    </w:p>
    <w:p>
      <w:r>
        <w:t>Any suspected data breach must be reported to the Security Operations Center (SOC) within 1 hour of discovery. The SOC will initiate the Incident Response Plan, which includes: (a) containment within 4 hours, (b) impact assessment within 24 hours, (c) regulatory notification within 72 hours (per GDPR requirements), and (d) affected party notification within 5 business days.</w:t>
      </w:r>
    </w:p>
    <w:p>
      <w:pPr>
        <w:pStyle w:val="Heading1"/>
      </w:pPr>
      <w:r>
        <w:t>5. Third-Party Data Sharing</w:t>
      </w:r>
    </w:p>
    <w:p>
      <w:r>
        <w:t>Sharing data with third parties requires: (1) Data Processing Agreement (DPA) signed by both parties, (2) Security assessment of the third party completed within 12 months, (3) Approval from the Data Protection Officer (DPO). No personal data may be transferred to jurisdictions without adequate data protection unless Standard Contractual Clauses (SCCs) are in place.</w:t>
      </w:r>
    </w:p>
    <w:p>
      <w:pPr>
        <w:pStyle w:val="Heading1"/>
      </w:pPr>
      <w:r>
        <w:t>6. Employee Obligations</w:t>
      </w:r>
    </w:p>
    <w:p>
      <w:r>
        <w:t>All employees must complete annual data privacy training. Employees handling Confidential or Restricted data must use company-approved devices and VPN. Personal devices may not be used to store or process data classified Level 3 or above. Violations may result in disciplinary action up to and including 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