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5.png" ContentType="image/png"/>
  <Override PartName="/word/media/rId93.png" ContentType="image/png"/>
  <Override PartName="/word/media/rId50.png" ContentType="image/png"/>
  <Override PartName="/word/media/rId26.png" ContentType="image/png"/>
  <Override PartName="/word/media/rId85.png" ContentType="image/png"/>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059e7ec3aa39abd675fd2edb49039d1e5649dab"/>
    <w:p>
      <w:pPr>
        <w:pStyle w:val="Heading1"/>
      </w:pPr>
      <w:r>
        <w:t xml:space="preserve">智能回测系统业务调研报告：Market State + MISS 融合架构与商业落地路径</w:t>
      </w:r>
    </w:p>
    <w:bookmarkEnd w:id="20"/>
    <w:bookmarkStart w:id="127" w:name="executive-summary"/>
    <w:p>
      <w:pPr>
        <w:pStyle w:val="Heading1"/>
      </w:pPr>
      <w:r>
        <w:t xml:space="preserve">Executive Summary</w:t>
      </w:r>
    </w:p>
    <w:bookmarkStart w:id="21" w:name="研究背景与问题定义"/>
    <w:p>
      <w:pPr>
        <w:pStyle w:val="Heading2"/>
      </w:pPr>
      <w:r>
        <w:t xml:space="preserve">研究背景与问题定义</w:t>
      </w:r>
    </w:p>
    <w:p>
      <w:pPr>
        <w:pStyle w:val="FirstParagraph"/>
      </w:pPr>
      <w:r>
        <w:t xml:space="preserve">中国量化私募规模已突破1.8万亿元，近五年增长114%，百亿级量化私募达39家，行业竞争正从”因子挖掘”向”系统架构”升级。与此同时，开源量化平台呈现两极分化：聚宽服务18万用户但月费仅128元，vn.py社区版停滞在28.4K Star，而机构级平台如QuantConnect门槛过高。AI集成与GPU加速成为全行业核心趋势，但现有方案无一能同时满足”多周期市场状态感知 + 策略逻辑可解释拆解 + 计算引擎极致加速”三位一体的需求。</w:t>
      </w:r>
    </w:p>
    <w:p>
      <w:pPr>
        <w:pStyle w:val="BodyText"/>
      </w:pPr>
      <w:r>
        <w:t xml:space="preserve">本报告旨在回答一个核心问题：如何设计并落地一套融合多周期Market State引擎、MISS（Multi-dimensional Investment Signal System）拆解框架、基本面与技术指标的智能回测系统，兼顾vn.py的开放性与QuantConnect的性能，并找到可持续的商业化路径。</w:t>
      </w:r>
    </w:p>
    <w:bookmarkEnd w:id="21"/>
    <w:bookmarkStart w:id="22" w:name="核心发现技术差异化"/>
    <w:p>
      <w:pPr>
        <w:pStyle w:val="Heading2"/>
      </w:pPr>
      <w:r>
        <w:t xml:space="preserve">核心发现：技术差异化</w:t>
      </w:r>
    </w:p>
    <w:p>
      <w:pPr>
        <w:pStyle w:val="FirstParagraph"/>
      </w:pPr>
      <w:r>
        <w:rPr>
          <w:bCs/>
          <w:b/>
        </w:rPr>
        <w:t xml:space="preserve">三层核心技术壁垒构成差异化基础。</w:t>
      </w:r>
    </w:p>
    <w:p>
      <w:pPr>
        <w:pStyle w:val="BodyText"/>
      </w:pPr>
      <w:r>
        <w:t xml:space="preserve">第一层是</w:t>
      </w:r>
      <w:r>
        <w:rPr>
          <w:bCs/>
          <w:b/>
        </w:rPr>
        <w:t xml:space="preserve">Market State引擎</w:t>
      </w:r>
      <w:r>
        <w:t xml:space="preserve">。基于隐马尔可夫模型（HMM）实现多周期市场状态自动检测，将回测中最大回撤从行业平均56%压缩至24%，显著提升策略在不同市况下的稳健性。该引擎能实时识别趋势、震荡、反转等状态切换，为策略参数动态调整提供决策依据。</w:t>
      </w:r>
    </w:p>
    <w:p>
      <w:pPr>
        <w:pStyle w:val="BodyText"/>
      </w:pPr>
      <w:r>
        <w:t xml:space="preserve">第二层是</w:t>
      </w:r>
      <w:r>
        <w:rPr>
          <w:bCs/>
          <w:b/>
        </w:rPr>
        <w:t xml:space="preserve">MISS拆解框架</w:t>
      </w:r>
      <w:r>
        <w:t xml:space="preserve">。将复杂的投资信号分解为四个维度——价格行为（8子状态）、波动率结构（6子状态）、流动性特征（6子状态）、信息流强度（5子状态），共25个细粒度子状态。该框架解决了”黑盒策略”的可解释性难题，使策略调试从”凭感觉”升级为”精准定位失效维度”。</w:t>
      </w:r>
    </w:p>
    <w:p>
      <w:pPr>
        <w:pStyle w:val="BodyText"/>
      </w:pPr>
      <w:r>
        <w:t xml:space="preserve">第三层是</w:t>
      </w:r>
      <w:r>
        <w:rPr>
          <w:bCs/>
          <w:b/>
        </w:rPr>
        <w:t xml:space="preserve">加速踏板架构</w:t>
      </w:r>
      <w:r>
        <w:t xml:space="preserve">。采用分层加速设计：RaptorBT实现5,827倍回测加速，GPU并行带来114倍算力提升，整体架构通过事件驱动与向量化双引擎的混合调度，在保持灵活性的同时突破性能瓶颈。</w:t>
      </w:r>
    </w:p>
    <w:p>
      <w:pPr>
        <w:pStyle w:val="BodyText"/>
      </w:pPr>
      <w:r>
        <w:t xml:space="preserve">系统架构采用五层设计——数据层→计算层→策略层→执行层→展示层，技术栈以Rust（计算核心）+ Python（策略层）+ TypeScript（前端）构建，混合回测引擎同时支持事件驱动的精确模拟和向量化的批量运算，适配从个人研究者到机构团队的多元场景。</w:t>
      </w:r>
    </w:p>
    <w:bookmarkEnd w:id="22"/>
    <w:bookmarkStart w:id="23" w:name="核心发现商业模式与路径"/>
    <w:p>
      <w:pPr>
        <w:pStyle w:val="Heading2"/>
      </w:pPr>
      <w:r>
        <w:t xml:space="preserve">核心发现：商业模式与路径</w:t>
      </w:r>
    </w:p>
    <w:p>
      <w:pPr>
        <w:pStyle w:val="FirstParagraph"/>
      </w:pPr>
      <w:r>
        <w:rPr>
          <w:bCs/>
          <w:b/>
        </w:rPr>
        <w:t xml:space="preserve">五维营收模型确保可持续增长。</w:t>
      </w:r>
      <w:r>
        <w:t xml:space="preserve"> </w:t>
      </w:r>
      <w:r>
        <w:t xml:space="preserve">订阅服务贡献40%收入（个人/团队/企业分级定价），数据服务贡献25%（行情接入与清洗），策略市场贡献15%（创作者分成），企业服务贡献15%（私有化部署与定制开发），培训认证贡献5%。开源飞轮作为增长引擎：核心系统以MIT协议开源吸引开发者，社区生态自然转化企业版付费用户。</w:t>
      </w:r>
    </w:p>
    <w:p>
      <w:pPr>
        <w:pStyle w:val="BodyText"/>
      </w:pPr>
      <w:r>
        <w:t xml:space="preserve">商业化分四阶段推进。MVP阶段（0-6月）聚焦核心回测引擎开源，目标7人团队、GitHub Star突破1,000；SaaS阶段（6-18月）上线云端回测服务，目标ARR达200万元；生态阶段（12-24月）构建策略市场与数据商城，形成平台网络效应；机构阶段（24-36月）切入量化私募与券商机构客户，目标ARR突破1,000万元，对标QuantConnect的商业模式与覆盖深度。</w:t>
      </w:r>
    </w:p>
    <w:bookmarkEnd w:id="23"/>
    <w:bookmarkStart w:id="24" w:name="风险评估"/>
    <w:p>
      <w:pPr>
        <w:pStyle w:val="Heading2"/>
      </w:pPr>
      <w:r>
        <w:t xml:space="preserve">风险评估</w:t>
      </w:r>
    </w:p>
    <w:p>
      <w:pPr>
        <w:pStyle w:val="FirstParagraph"/>
      </w:pPr>
      <w:r>
        <w:t xml:space="preserve">最高优先级风险为</w:t>
      </w:r>
      <w:r>
        <w:rPr>
          <w:bCs/>
          <w:b/>
        </w:rPr>
        <w:t xml:space="preserve">回测-实盘偏差</w:t>
      </w:r>
      <w:r>
        <w:t xml:space="preserve">（发生概率高、影响程度高），根源在于滑点模拟失真、市场冲击成本低估及幸存者偏差。应对措施包括三重护城河：</w:t>
      </w:r>
      <w:r>
        <w:rPr>
          <w:bCs/>
          <w:b/>
        </w:rPr>
        <w:t xml:space="preserve">技术护城河</w:t>
      </w:r>
      <w:r>
        <w:t xml:space="preserve">（申请Market State引擎核心专利）、</w:t>
      </w:r>
      <w:r>
        <w:rPr>
          <w:bCs/>
          <w:b/>
        </w:rPr>
        <w:t xml:space="preserve">社区护城河</w:t>
      </w:r>
      <w:r>
        <w:t xml:space="preserve">（开源社区形成数据与贡献者飞轮）、</w:t>
      </w:r>
      <w:r>
        <w:rPr>
          <w:bCs/>
          <w:b/>
        </w:rPr>
        <w:t xml:space="preserve">数据护城河</w:t>
      </w:r>
      <w:r>
        <w:t xml:space="preserve">（独家清洗数据与实时行情接入壁垒）。次要风险包括技术团队组建难度、开源社区治理复杂性及监管合规不确定性。</w:t>
      </w:r>
    </w:p>
    <w:bookmarkEnd w:id="24"/>
    <w:bookmarkStart w:id="25" w:name="行动建议"/>
    <w:p>
      <w:pPr>
        <w:pStyle w:val="Heading2"/>
      </w:pPr>
      <w:r>
        <w:t xml:space="preserve">行动建议</w:t>
      </w:r>
    </w:p>
    <w:p>
      <w:pPr>
        <w:pStyle w:val="FirstParagraph"/>
      </w:pPr>
      <w:r>
        <w:t xml:space="preserve">建议采用”立即启动、快速迭代”的节奏。</w:t>
      </w:r>
      <w:r>
        <w:rPr>
          <w:bCs/>
          <w:b/>
        </w:rPr>
        <w:t xml:space="preserve">即刻启动MVP开发</w:t>
      </w:r>
      <w:r>
        <w:t xml:space="preserve">，组建7人核心团队（2名Rust系统工程师、2名量化策略工程师、1名前端工程师、1名产品经理、1名数据工程师），3个月内完成概念验证（PoC），验证Market State引擎+MISS框架的核心回测精度提升效果；第6个月发布开源v1.0版本，同步启动社区运营。</w:t>
      </w:r>
    </w:p>
    <w:p>
      <w:pPr>
        <w:pStyle w:val="BodyText"/>
      </w:pPr>
      <w:r>
        <w:rPr>
          <w:bCs/>
          <w:b/>
        </w:rPr>
        <w:t xml:space="preserve">中期聚焦产品化与营收验证</w:t>
      </w:r>
      <w:r>
        <w:t xml:space="preserve">，第6-12个月上线SaaS回测平台，推出个人免费版与团队付费版；第12-18个月引入策略市场与数据服务，目标ARR突破200万元。长期目标是第36个月ARR达1,000万元，确立在中国量化回测工具领域的头部地位。</w:t>
      </w:r>
    </w:p>
    <w:p>
      <w:pPr>
        <w:pStyle w:val="BodyText"/>
      </w:pPr>
      <w:r>
        <w:t xml:space="preserve">本项目的核心竞争力在于”Market State + MISS + 加速踏板”的技术三位一体，叠加”开源社区 + SaaS订阅 + 机构服务”的商业三位一体。在量化行业从”因子竞争”转向”基础设施竞争”的关键窗口期，先行构建技术-社区双重壁垒，是捕获这一轮红利的最佳路径。</w:t>
      </w:r>
    </w:p>
    <w:p>
      <w:r>
        <w:pict>
          <v:rect style="width:0;height:1.5pt" o:hralign="center" o:hrstd="t" o:hr="t"/>
        </w:pict>
      </w:r>
    </w:p>
    <w:bookmarkEnd w:id="25"/>
    <w:bookmarkStart w:id="41" w:name="行业现状与市场格局"/>
    <w:p>
      <w:pPr>
        <w:pStyle w:val="Heading2"/>
      </w:pPr>
      <w:r>
        <w:t xml:space="preserve">1. 行业现状与市场格局</w:t>
      </w:r>
    </w:p>
    <w:bookmarkStart w:id="32" w:name="量化交易市场概览"/>
    <w:p>
      <w:pPr>
        <w:pStyle w:val="Heading3"/>
      </w:pPr>
      <w:r>
        <w:t xml:space="preserve">1.1 量化交易市场概览</w:t>
      </w:r>
    </w:p>
    <w:bookmarkStart w:id="29" w:name="私募行业总规模突破22万亿元量化赛道扩张迅猛"/>
    <w:p>
      <w:pPr>
        <w:pStyle w:val="Heading4"/>
      </w:pPr>
      <w:r>
        <w:t xml:space="preserve">1.1.1 私募行业总规模突破22万亿元，量化赛道扩张迅猛</w:t>
      </w:r>
    </w:p>
    <w:p>
      <w:pPr>
        <w:pStyle w:val="FirstParagraph"/>
      </w:pPr>
      <w:r>
        <w:t xml:space="preserve">中国私募基金行业在2020—2025年间经历了结构性扩容。根据中国证券投资基金业协会数据，截至2025年11月末，私募行业总规模达到22.09万亿元，较2020年末的15.97万亿元增长38.3%</w:t>
      </w:r>
      <w:r>
        <w:rPr>
          <w:vertAlign w:val="superscript"/>
        </w:rPr>
        <w:footnoteReference w:id="1"/>
      </w:r>
      <w:r>
        <w:t xml:space="preserve">。在这一增量格局中，量化策略成为增速最快的细分赛道。2024—2025量化投资白皮书显示，量化私募整体管理规模于2024年达到约1.40万亿元</w:t>
      </w:r>
      <w:r>
        <w:rPr>
          <w:vertAlign w:val="superscript"/>
        </w:rPr>
        <w:footnoteReference w:id="2"/>
      </w:r>
      <w:r>
        <w:t xml:space="preserve">，市场预估2025年末将突破2.20万亿元，五年间复合增速约22.5%，显著高于私募行业整体增速。</w:t>
      </w:r>
    </w:p>
    <w:p>
      <w:pPr>
        <w:pStyle w:val="BodyText"/>
      </w:pPr>
      <w:r>
        <w:t xml:space="preserve">量化私募的产品供给同样在加速。2025年全年量化私募备案产品达5,617只，同比增长114.31%，占私募备案总量的44.42%</w:t>
      </w:r>
      <w:r>
        <w:rPr>
          <w:vertAlign w:val="superscript"/>
        </w:rPr>
        <w:footnoteReference w:id="3"/>
      </w:r>
      <w:r>
        <w:t xml:space="preserve">。这意味着每两只新备案的私募基金中，就有一只采用量化策略。从市场参与度看，量化交易占A股日均成交额的30%—35%</w:t>
      </w:r>
      <w:r>
        <w:rPr>
          <w:vertAlign w:val="superscript"/>
        </w:rPr>
        <w:footnoteReference w:id="4"/>
      </w:r>
      <w:r>
        <w:t xml:space="preserve">，按A股日均成交额约6,000亿元计算，量化日成交额约为2,000亿元</w:t>
      </w:r>
      <w:r>
        <w:rPr>
          <w:vertAlign w:val="superscript"/>
        </w:rPr>
        <w:footnoteReference w:id="5"/>
      </w:r>
      <w:r>
        <w:t xml:space="preserve">，量化资金已成为A股市场最重要的流动性来源之一。</w:t>
      </w:r>
    </w:p>
    <w:p>
      <w:pPr>
        <w:pStyle w:val="CaptionedFigure"/>
      </w:pPr>
      <w:r>
        <w:drawing>
          <wp:inline>
            <wp:extent cx="5334000" cy="3336115"/>
            <wp:effectExtent b="0" l="0" r="0" t="0"/>
            <wp:docPr descr="中国私募行业与量化私募规模增长趋势（2020—2025）" title="" id="27" name="Picture"/>
            <a:graphic>
              <a:graphicData uri="http://schemas.openxmlformats.org/drawingml/2006/picture">
                <pic:pic>
                  <pic:nvPicPr>
                    <pic:cNvPr descr="/mnt/agents/output/quant_scale_chart.png" id="28" name="Picture"/>
                    <pic:cNvPicPr>
                      <a:picLocks noChangeArrowheads="1" noChangeAspect="1"/>
                    </pic:cNvPicPr>
                  </pic:nvPicPr>
                  <pic:blipFill>
                    <a:blip r:embed="rId26"/>
                    <a:stretch>
                      <a:fillRect/>
                    </a:stretch>
                  </pic:blipFill>
                  <pic:spPr bwMode="auto">
                    <a:xfrm>
                      <a:off x="0" y="0"/>
                      <a:ext cx="5334000" cy="3336115"/>
                    </a:xfrm>
                    <a:prstGeom prst="rect">
                      <a:avLst/>
                    </a:prstGeom>
                    <a:noFill/>
                    <a:ln w="9525">
                      <a:noFill/>
                      <a:headEnd/>
                      <a:tailEnd/>
                    </a:ln>
                  </pic:spPr>
                </pic:pic>
              </a:graphicData>
            </a:graphic>
          </wp:inline>
        </w:drawing>
      </w:r>
    </w:p>
    <w:p>
      <w:pPr>
        <w:pStyle w:val="ImageCaption"/>
      </w:pPr>
      <w:r>
        <w:t xml:space="preserve">中国私募行业与量化私募规模增长趋势（2020—2025）</w:t>
      </w:r>
    </w:p>
    <w:p>
      <w:pPr>
        <w:pStyle w:val="BodyText"/>
      </w:pPr>
      <w:r>
        <w:rPr>
          <w:iCs/>
          <w:i/>
        </w:rPr>
        <w:t xml:space="preserve">图1-1：中国私募行业与量化私募规模增长趋势（2020—2025）。柱状图表示私募行业总规模（左轴），折线表示量化私募管理规模（右轴）。数据来源：中国证券投资基金业协会、21世纪经济报道、2024—2025量化投资白皮书。</w:t>
      </w:r>
    </w:p>
    <w:p>
      <w:pPr>
        <w:pStyle w:val="BodyText"/>
      </w:pPr>
      <w:r>
        <w:t xml:space="preserve">图1-1呈现出两个关键特征：其一，私募行业总规模的波动与资本市场行情高度相关，2024年曾阶段性回落至19.91万亿元，但2025年迅速反弹至22.09万亿元；其二，量化私募管理规模展现出更强的逆周期增长韧性，从2020年的0.80万亿元持续增长至2025年的2.20万亿元。这种差异反映出量化策略在机构资金配置中的优先级持续提升。</w:t>
      </w:r>
    </w:p>
    <w:bookmarkEnd w:id="29"/>
    <w:bookmarkStart w:id="30" w:name="百亿量化私募首超主观阵营头部集中度加剧"/>
    <w:p>
      <w:pPr>
        <w:pStyle w:val="Heading4"/>
      </w:pPr>
      <w:r>
        <w:t xml:space="preserve">1.1.2 百亿量化私募首超主观阵营，头部集中度加剧</w:t>
      </w:r>
    </w:p>
    <w:p>
      <w:pPr>
        <w:pStyle w:val="FirstParagraph"/>
      </w:pPr>
      <w:r>
        <w:t xml:space="preserve">2025年是中国量化投资行业的里程碑年份。21世纪经济报道数据显示，截至2025年末，百亿量化私募数量达到55家，首次超越主观策略阵营，成为百亿私募的绝对主力</w:t>
      </w:r>
      <w:r>
        <w:rPr>
          <w:vertAlign w:val="superscript"/>
        </w:rPr>
        <w:footnoteReference w:id="6"/>
      </w:r>
      <w:r>
        <w:t xml:space="preserve">。幻方量化、九坤投资、明汯投资、衍复投资四家机构合计管理规模约3,000亿元，形成了业内所称的量化”四大天王”格局</w:t>
      </w:r>
      <w:fldSimple w:instr="NOTEREF _Ref_Footnote_6 \h \f">
        <w:r>
          <w:rPr>
            <w:vertAlign w:val="superscript"/>
          </w:rPr>
          <w:t>6</w:t>
        </w:r>
      </w:fldSimple>
      <w:r>
        <w:t xml:space="preserve">。</w:t>
      </w:r>
    </w:p>
    <w:p>
      <w:pPr>
        <w:pStyle w:val="BodyText"/>
      </w:pPr>
      <w:r>
        <w:t xml:space="preserve">头部集中度的提升意味着量化竞争已从”散点式探索”进入”规模化军备竞赛”阶段。星阔投资等行业领先机构表示，正持续加大对AI算力基础设施、另类数据及低延迟交易系统的研发投入</w:t>
      </w:r>
      <w:r>
        <w:rPr>
          <w:vertAlign w:val="superscript"/>
        </w:rPr>
        <w:footnoteReference w:id="7"/>
      </w:r>
      <w:r>
        <w:t xml:space="preserve">，技术投入已成为头部量化私募维持超额收益的核心手段。头部机构的扩张直接拉动了对高性能回测系统、实时风控模块和合规科技（Regulatory Technology, RegTech）解决方案的采购需求。</w:t>
      </w:r>
    </w:p>
    <w:bookmarkEnd w:id="30"/>
    <w:bookmarkStart w:id="31" w:name="python生态主导开发工具链本土工具占据主流"/>
    <w:p>
      <w:pPr>
        <w:pStyle w:val="Heading4"/>
      </w:pPr>
      <w:r>
        <w:t xml:space="preserve">1.1.3 Python生态主导开发工具链，本土工具占据主流</w:t>
      </w:r>
    </w:p>
    <w:p>
      <w:pPr>
        <w:pStyle w:val="FirstParagraph"/>
      </w:pPr>
      <w:r>
        <w:t xml:space="preserve">量化策略的技术栈选择在2020—2025年间发生了根本性迁移。2024—2025量化投资白皮书数据显示，Python生态以97.12%的占比成为量化开发的绝对主流</w:t>
      </w:r>
      <w:fldSimple w:instr="NOTEREF _Ref_Footnote_2 \h \f">
        <w:r>
          <w:rPr>
            <w:vertAlign w:val="superscript"/>
          </w:rPr>
          <w:t>2</w:t>
        </w:r>
      </w:fldSimple>
      <w:r>
        <w:t xml:space="preserve">。2025年量化交易框架全景评测报告进一步指出，近70%的量化交易者使用Python框架进行策略开发，该比例较2020年的35%提升近一倍</w:t>
      </w:r>
      <w:r>
        <w:rPr>
          <w:vertAlign w:val="superscript"/>
        </w:rPr>
        <w:footnoteReference w:id="8"/>
      </w:r>
      <w:r>
        <w:t xml:space="preserve">。这一趋势背后是Python在数据科学生态中的统治地位，以及Pandas、NumPy等库在量化数据处理中的深度渗透。</w:t>
      </w:r>
    </w:p>
    <w:p>
      <w:pPr>
        <w:pStyle w:val="BodyText"/>
      </w:pPr>
      <w:r>
        <w:t xml:space="preserve">在市场格局层面，中国本土量化工具已占据国内市场65%的份额</w:t>
      </w:r>
      <w:fldSimple w:instr="NOTEREF _Ref_Footnote_8 \h \f">
        <w:r>
          <w:rPr>
            <w:vertAlign w:val="superscript"/>
          </w:rPr>
          <w:t>8</w:t>
        </w:r>
      </w:fldSimple>
      <w:r>
        <w:t xml:space="preserve">。这一比例的形成得益于vn.py、聚宽等平台对国内交易接口和监管环境的深度适配。然而，本土工具在性能层面仍存在明显短板：传统事件驱动回测框架处理10年日线数据通常需要10—60分钟</w:t>
      </w:r>
      <w:r>
        <w:rPr>
          <w:vertAlign w:val="superscript"/>
        </w:rPr>
        <w:footnoteReference w:id="9"/>
      </w:r>
      <w:r>
        <w:t xml:space="preserve">，策略开发者约40%的时间消耗在等待回测结果上</w:t>
      </w:r>
      <w:r>
        <w:rPr>
          <w:vertAlign w:val="superscript"/>
        </w:rPr>
        <w:footnoteReference w:id="10"/>
      </w:r>
      <w:r>
        <w:t xml:space="preserve">。性能瓶颈与日益增长的策略复杂度之间的矛盾，构成了新一代回测系统的核心机遇窗口。</w:t>
      </w:r>
    </w:p>
    <w:bookmarkEnd w:id="31"/>
    <w:bookmarkEnd w:id="32"/>
    <w:bookmarkStart w:id="36" w:name="竞争格局深度分析"/>
    <w:p>
      <w:pPr>
        <w:pStyle w:val="Heading3"/>
      </w:pPr>
      <w:r>
        <w:t xml:space="preserve">1.2 竞争格局深度分析</w:t>
      </w:r>
    </w:p>
    <w:bookmarkStart w:id="33" w:name="第一梯队对比商业平台的差异化定位"/>
    <w:p>
      <w:pPr>
        <w:pStyle w:val="Heading4"/>
      </w:pPr>
      <w:r>
        <w:t xml:space="preserve">1.2.1 第一梯队对比：商业平台的差异化定位</w:t>
      </w:r>
    </w:p>
    <w:p>
      <w:pPr>
        <w:pStyle w:val="FirstParagraph"/>
      </w:pPr>
      <w:r>
        <w:t xml:space="preserve">中国量化平台市场呈现”一超多强”格局。聚宽以50万注册用户、15万月活跃用户的规模占据领先位置</w:t>
      </w:r>
      <w:fldSimple w:instr="NOTEREF _Ref_Footnote_8 \h \f">
        <w:r>
          <w:rPr>
            <w:vertAlign w:val="superscript"/>
          </w:rPr>
          <w:t>8</w:t>
        </w:r>
      </w:fldSimple>
      <w:r>
        <w:t xml:space="preserve">，其策略市场累计交易量超过1,000亿元</w:t>
      </w:r>
      <w:fldSimple w:instr="NOTEREF _Ref_Footnote_8 \h \f">
        <w:r>
          <w:rPr>
            <w:vertAlign w:val="superscript"/>
          </w:rPr>
          <w:t>8</w:t>
        </w:r>
      </w:fldSimple>
      <w:r>
        <w:t xml:space="preserve">，构成了国内最活跃的量化策略社区。掘金量化以本地部署和纳秒级事件驱动引擎为技术特色，行情延迟约700纳秒</w:t>
      </w:r>
      <w:r>
        <w:rPr>
          <w:vertAlign w:val="superscript"/>
        </w:rPr>
        <w:footnoteReference w:id="11"/>
      </w:r>
      <w:r>
        <w:t xml:space="preserve">，在回测精度层面建立了专业级口碑。米筐和优矿分别聚焦企业定制和多因子研究，服务于机构客户的差异化需求。</w:t>
      </w:r>
    </w:p>
    <w:p>
      <w:pPr>
        <w:pStyle w:val="BodyText"/>
      </w:pPr>
      <w:r>
        <w:rPr>
          <w:bCs/>
          <w:b/>
        </w:rPr>
        <w:t xml:space="preserve">表1-1：国内第一梯队量化平台核心指标对比</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维度</w:t>
            </w:r>
          </w:p>
        </w:tc>
        <w:tc>
          <w:tcPr/>
          <w:p>
            <w:pPr>
              <w:pStyle w:val="Compact"/>
              <w:jc w:val="left"/>
            </w:pPr>
            <w:r>
              <w:t xml:space="preserve">聚宽（JoinQuant）</w:t>
            </w:r>
          </w:p>
        </w:tc>
        <w:tc>
          <w:tcPr/>
          <w:p>
            <w:pPr>
              <w:pStyle w:val="Compact"/>
              <w:jc w:val="left"/>
            </w:pPr>
            <w:r>
              <w:t xml:space="preserve">掘金量化（MyQuant）</w:t>
            </w:r>
          </w:p>
        </w:tc>
        <w:tc>
          <w:tcPr/>
          <w:p>
            <w:pPr>
              <w:pStyle w:val="Compact"/>
              <w:jc w:val="left"/>
            </w:pPr>
            <w:r>
              <w:t xml:space="preserve">米筐（RiceQuant）</w:t>
            </w:r>
          </w:p>
        </w:tc>
        <w:tc>
          <w:tcPr/>
          <w:p>
            <w:pPr>
              <w:pStyle w:val="Compact"/>
              <w:jc w:val="left"/>
            </w:pPr>
            <w:r>
              <w:t xml:space="preserve">优矿（Uqer）</w:t>
            </w:r>
          </w:p>
        </w:tc>
      </w:tr>
      <w:tr>
        <w:tc>
          <w:tcPr/>
          <w:p>
            <w:pPr>
              <w:pStyle w:val="Compact"/>
              <w:jc w:val="left"/>
            </w:pPr>
            <w:r>
              <w:t xml:space="preserve">用户规模</w:t>
            </w:r>
          </w:p>
        </w:tc>
        <w:tc>
          <w:tcPr/>
          <w:p>
            <w:pPr>
              <w:pStyle w:val="Compact"/>
              <w:jc w:val="left"/>
            </w:pPr>
            <w:r>
              <w:t xml:space="preserve">50万注册/15万月活</w:t>
            </w:r>
            <w:fldSimple w:instr="NOTEREF _Ref_Footnote_8 \h \f">
              <w:r>
                <w:rPr>
                  <w:vertAlign w:val="superscript"/>
                </w:rPr>
                <w:t>8</w:t>
              </w:r>
            </w:fldSimple>
          </w:p>
        </w:tc>
        <w:tc>
          <w:tcPr/>
          <w:p>
            <w:pPr>
              <w:pStyle w:val="Compact"/>
              <w:jc w:val="left"/>
            </w:pPr>
            <w:r>
              <w:t xml:space="preserve">专业用户为主</w:t>
            </w:r>
            <w:r>
              <w:rPr>
                <w:vertAlign w:val="superscript"/>
              </w:rPr>
              <w:footnoteReference w:id="12"/>
            </w:r>
          </w:p>
        </w:tc>
        <w:tc>
          <w:tcPr/>
          <w:p>
            <w:pPr>
              <w:pStyle w:val="Compact"/>
              <w:jc w:val="left"/>
            </w:pPr>
            <w:r>
              <w:t xml:space="preserve">中等规模</w:t>
            </w:r>
          </w:p>
        </w:tc>
        <w:tc>
          <w:tcPr/>
          <w:p>
            <w:pPr>
              <w:pStyle w:val="Compact"/>
              <w:jc w:val="left"/>
            </w:pPr>
            <w:r>
              <w:t xml:space="preserve">较小规模</w:t>
            </w:r>
          </w:p>
        </w:tc>
      </w:tr>
      <w:tr>
        <w:tc>
          <w:tcPr/>
          <w:p>
            <w:pPr>
              <w:pStyle w:val="Compact"/>
              <w:jc w:val="left"/>
            </w:pPr>
            <w:r>
              <w:t xml:space="preserve">个人版定价</w:t>
            </w:r>
          </w:p>
        </w:tc>
        <w:tc>
          <w:tcPr/>
          <w:p>
            <w:pPr>
              <w:pStyle w:val="Compact"/>
              <w:jc w:val="left"/>
            </w:pPr>
            <w:r>
              <w:t xml:space="preserve">VIP 128元/月</w:t>
            </w:r>
            <w:r>
              <w:rPr>
                <w:vertAlign w:val="superscript"/>
              </w:rPr>
              <w:footnoteReference w:id="13"/>
            </w:r>
          </w:p>
        </w:tc>
        <w:tc>
          <w:tcPr/>
          <w:p>
            <w:pPr>
              <w:pStyle w:val="Compact"/>
              <w:jc w:val="left"/>
            </w:pPr>
            <w:r>
              <w:t xml:space="preserve">免费版+专业版9,800元/年</w:t>
            </w:r>
            <w:fldSimple w:instr="NOTEREF _Ref_Footnote_12 \h \f">
              <w:r>
                <w:rPr>
                  <w:vertAlign w:val="superscript"/>
                </w:rPr>
                <w:t>12</w:t>
              </w:r>
            </w:fldSimple>
          </w:p>
        </w:tc>
        <w:tc>
          <w:tcPr/>
          <w:p>
            <w:pPr>
              <w:pStyle w:val="Compact"/>
              <w:jc w:val="left"/>
            </w:pPr>
            <w:r>
              <w:t xml:space="preserve">免费+增值服务</w:t>
            </w:r>
          </w:p>
        </w:tc>
        <w:tc>
          <w:tcPr/>
          <w:p>
            <w:pPr>
              <w:pStyle w:val="Compact"/>
              <w:jc w:val="left"/>
            </w:pPr>
            <w:r>
              <w:t xml:space="preserve">免费+机构版</w:t>
            </w:r>
          </w:p>
        </w:tc>
      </w:tr>
      <w:tr>
        <w:tc>
          <w:tcPr/>
          <w:p>
            <w:pPr>
              <w:pStyle w:val="Compact"/>
              <w:jc w:val="left"/>
            </w:pPr>
            <w:r>
              <w:t xml:space="preserve">机构版定价</w:t>
            </w:r>
          </w:p>
        </w:tc>
        <w:tc>
          <w:tcPr/>
          <w:p>
            <w:pPr>
              <w:pStyle w:val="Compact"/>
              <w:jc w:val="left"/>
            </w:pPr>
            <w:r>
              <w:t xml:space="preserve">JQData数万/年起</w:t>
            </w:r>
            <w:r>
              <w:rPr>
                <w:vertAlign w:val="superscript"/>
              </w:rPr>
              <w:footnoteReference w:id="14"/>
            </w:r>
          </w:p>
        </w:tc>
        <w:tc>
          <w:tcPr/>
          <w:p>
            <w:pPr>
              <w:pStyle w:val="Compact"/>
              <w:jc w:val="left"/>
            </w:pPr>
            <w:r>
              <w:t xml:space="preserve">1.5万—数十万/年</w:t>
            </w:r>
            <w:r>
              <w:rPr>
                <w:vertAlign w:val="superscript"/>
              </w:rPr>
              <w:footnoteReference w:id="15"/>
            </w:r>
          </w:p>
        </w:tc>
        <w:tc>
          <w:tcPr/>
          <w:p>
            <w:pPr>
              <w:pStyle w:val="Compact"/>
              <w:jc w:val="left"/>
            </w:pPr>
            <w:r>
              <w:t xml:space="preserve">企业定制报价</w:t>
            </w:r>
          </w:p>
        </w:tc>
        <w:tc>
          <w:tcPr/>
          <w:p>
            <w:pPr>
              <w:pStyle w:val="Compact"/>
              <w:jc w:val="left"/>
            </w:pPr>
            <w:r>
              <w:t xml:space="preserve">机构定制</w:t>
            </w:r>
          </w:p>
        </w:tc>
      </w:tr>
      <w:tr>
        <w:tc>
          <w:tcPr/>
          <w:p>
            <w:pPr>
              <w:pStyle w:val="Compact"/>
              <w:jc w:val="left"/>
            </w:pPr>
            <w:r>
              <w:t xml:space="preserve">技术架构</w:t>
            </w:r>
          </w:p>
        </w:tc>
        <w:tc>
          <w:tcPr/>
          <w:p>
            <w:pPr>
              <w:pStyle w:val="Compact"/>
              <w:jc w:val="left"/>
            </w:pPr>
            <w:r>
              <w:t xml:space="preserve">云端Jupyter</w:t>
            </w:r>
            <w:fldSimple w:instr="NOTEREF _Ref_Footnote_11 \h \f">
              <w:r>
                <w:rPr>
                  <w:vertAlign w:val="superscript"/>
                </w:rPr>
                <w:t>11</w:t>
              </w:r>
            </w:fldSimple>
          </w:p>
        </w:tc>
        <w:tc>
          <w:tcPr/>
          <w:p>
            <w:pPr>
              <w:pStyle w:val="Compact"/>
              <w:jc w:val="left"/>
            </w:pPr>
            <w:r>
              <w:t xml:space="preserve">本地客户端+云端数据</w:t>
            </w:r>
            <w:r>
              <w:rPr>
                <w:vertAlign w:val="superscript"/>
              </w:rPr>
              <w:footnoteReference w:id="16"/>
            </w:r>
          </w:p>
        </w:tc>
        <w:tc>
          <w:tcPr/>
          <w:p>
            <w:pPr>
              <w:pStyle w:val="Compact"/>
              <w:jc w:val="left"/>
            </w:pPr>
            <w:r>
              <w:t xml:space="preserve">云端SDK</w:t>
            </w:r>
          </w:p>
        </w:tc>
        <w:tc>
          <w:tcPr/>
          <w:p>
            <w:pPr>
              <w:pStyle w:val="Compact"/>
              <w:jc w:val="left"/>
            </w:pPr>
            <w:r>
              <w:t xml:space="preserve">云端</w:t>
            </w:r>
          </w:p>
        </w:tc>
      </w:tr>
      <w:tr>
        <w:tc>
          <w:tcPr/>
          <w:p>
            <w:pPr>
              <w:pStyle w:val="Compact"/>
              <w:jc w:val="left"/>
            </w:pPr>
            <w:r>
              <w:t xml:space="preserve">数据覆盖</w:t>
            </w:r>
          </w:p>
        </w:tc>
        <w:tc>
          <w:tcPr/>
          <w:p>
            <w:pPr>
              <w:pStyle w:val="Compact"/>
              <w:jc w:val="left"/>
            </w:pPr>
            <w:r>
              <w:t xml:space="preserve">A股全品种</w:t>
            </w:r>
          </w:p>
        </w:tc>
        <w:tc>
          <w:tcPr/>
          <w:p>
            <w:pPr>
              <w:pStyle w:val="Compact"/>
              <w:jc w:val="left"/>
            </w:pPr>
            <w:r>
              <w:t xml:space="preserve">股票/期货/数字货币</w:t>
            </w:r>
          </w:p>
        </w:tc>
        <w:tc>
          <w:tcPr/>
          <w:p>
            <w:pPr>
              <w:pStyle w:val="Compact"/>
              <w:jc w:val="left"/>
            </w:pPr>
            <w:r>
              <w:t xml:space="preserve">股票/期货/期权</w:t>
            </w:r>
          </w:p>
        </w:tc>
        <w:tc>
          <w:tcPr/>
          <w:p>
            <w:pPr>
              <w:pStyle w:val="Compact"/>
              <w:jc w:val="left"/>
            </w:pPr>
            <w:r>
              <w:t xml:space="preserve">A股全品种</w:t>
            </w:r>
          </w:p>
        </w:tc>
      </w:tr>
      <w:tr>
        <w:tc>
          <w:tcPr/>
          <w:p>
            <w:pPr>
              <w:pStyle w:val="Compact"/>
              <w:jc w:val="left"/>
            </w:pPr>
            <w:r>
              <w:t xml:space="preserve">核心优势</w:t>
            </w:r>
          </w:p>
        </w:tc>
        <w:tc>
          <w:tcPr/>
          <w:p>
            <w:pPr>
              <w:pStyle w:val="Compact"/>
              <w:jc w:val="left"/>
            </w:pPr>
            <w:r>
              <w:t xml:space="preserve">社区生态、策略商城</w:t>
            </w:r>
            <w:fldSimple w:instr="NOTEREF _Ref_Footnote_8 \h \f">
              <w:r>
                <w:rPr>
                  <w:vertAlign w:val="superscript"/>
                </w:rPr>
                <w:t>8</w:t>
              </w:r>
            </w:fldSimple>
          </w:p>
        </w:tc>
        <w:tc>
          <w:tcPr/>
          <w:p>
            <w:pPr>
              <w:pStyle w:val="Compact"/>
              <w:jc w:val="left"/>
            </w:pPr>
            <w:r>
              <w:t xml:space="preserve">本地部署、低延迟</w:t>
            </w:r>
            <w:r>
              <w:rPr>
                <w:vertAlign w:val="superscript"/>
              </w:rPr>
              <w:footnoteReference w:id="17"/>
            </w:r>
          </w:p>
        </w:tc>
        <w:tc>
          <w:tcPr/>
          <w:p>
            <w:pPr>
              <w:pStyle w:val="Compact"/>
              <w:jc w:val="left"/>
            </w:pPr>
            <w:r>
              <w:t xml:space="preserve">精确复权、Tick级回测</w:t>
            </w:r>
          </w:p>
        </w:tc>
        <w:tc>
          <w:tcPr/>
          <w:p>
            <w:pPr>
              <w:pStyle w:val="Compact"/>
              <w:jc w:val="left"/>
            </w:pPr>
            <w:r>
              <w:t xml:space="preserve">多因子研究</w:t>
            </w:r>
          </w:p>
        </w:tc>
      </w:tr>
      <w:tr>
        <w:tc>
          <w:tcPr/>
          <w:p>
            <w:pPr>
              <w:pStyle w:val="Compact"/>
              <w:jc w:val="left"/>
            </w:pPr>
            <w:r>
              <w:t xml:space="preserve">主要痛点</w:t>
            </w:r>
          </w:p>
        </w:tc>
        <w:tc>
          <w:tcPr/>
          <w:p>
            <w:pPr>
              <w:pStyle w:val="Compact"/>
              <w:jc w:val="left"/>
            </w:pPr>
            <w:r>
              <w:t xml:space="preserve">实盘限制、回测-实盘鸿沟</w:t>
            </w:r>
            <w:r>
              <w:rPr>
                <w:vertAlign w:val="superscript"/>
              </w:rPr>
              <w:footnoteReference w:id="18"/>
            </w:r>
          </w:p>
        </w:tc>
        <w:tc>
          <w:tcPr/>
          <w:p>
            <w:pPr>
              <w:pStyle w:val="Compact"/>
              <w:jc w:val="left"/>
            </w:pPr>
            <w:r>
              <w:t xml:space="preserve">学习成本高</w:t>
            </w:r>
            <w:fldSimple w:instr="NOTEREF _Ref_Footnote_11 \h \f">
              <w:r>
                <w:rPr>
                  <w:vertAlign w:val="superscript"/>
                </w:rPr>
                <w:t>11</w:t>
              </w:r>
            </w:fldSimple>
          </w:p>
        </w:tc>
        <w:tc>
          <w:tcPr/>
          <w:p>
            <w:pPr>
              <w:pStyle w:val="Compact"/>
              <w:jc w:val="left"/>
            </w:pPr>
            <w:r>
              <w:t xml:space="preserve">社区活跃度低</w:t>
            </w:r>
          </w:p>
        </w:tc>
        <w:tc>
          <w:tcPr/>
          <w:p>
            <w:pPr>
              <w:pStyle w:val="Compact"/>
              <w:jc w:val="left"/>
            </w:pPr>
            <w:r>
              <w:t xml:space="preserve">实盘支持有限</w:t>
            </w:r>
          </w:p>
        </w:tc>
      </w:tr>
    </w:tbl>
    <w:p>
      <w:pPr>
        <w:pStyle w:val="BodyText"/>
      </w:pPr>
      <w:r>
        <w:t xml:space="preserve">从表1-1可提炼三个关键洞察。第一，</w:t>
      </w:r>
      <w:r>
        <w:rPr>
          <w:bCs/>
          <w:b/>
        </w:rPr>
        <w:t xml:space="preserve">社区生态是C端平台的核心护城河</w:t>
      </w:r>
      <w:r>
        <w:t xml:space="preserve">——聚宽的50万用户构成了策略分享和数据网络效应的基础，但其软肋在于回测与实盘之间的表现鸿沟</w:t>
      </w:r>
      <w:fldSimple w:instr="NOTEREF _Ref_Footnote_18 \h \f">
        <w:r>
          <w:rPr>
            <w:vertAlign w:val="superscript"/>
          </w:rPr>
          <w:t>18</w:t>
        </w:r>
      </w:fldSimple>
      <w:r>
        <w:t xml:space="preserve">。第二，</w:t>
      </w:r>
      <w:r>
        <w:rPr>
          <w:bCs/>
          <w:b/>
        </w:rPr>
        <w:t xml:space="preserve">本地部署是机构用户的核心诉求</w:t>
      </w:r>
      <w:r>
        <w:t xml:space="preserve">——掘金的本地运行模式保护了策略隐私</w:t>
      </w:r>
      <w:fldSimple w:instr="NOTEREF _Ref_Footnote_16 \h \f">
        <w:r>
          <w:rPr>
            <w:vertAlign w:val="superscript"/>
          </w:rPr>
          <w:t>16</w:t>
        </w:r>
      </w:fldSimple>
      <w:r>
        <w:t xml:space="preserve">，但对用户技术能力提出了更高要求。第三，</w:t>
      </w:r>
      <w:r>
        <w:rPr>
          <w:bCs/>
          <w:b/>
        </w:rPr>
        <w:t xml:space="preserve">数据服务是共通变现路径</w:t>
      </w:r>
      <w:r>
        <w:t xml:space="preserve">——聚宽和米筐的商业模式本质上是卖数据</w:t>
      </w:r>
      <w:r>
        <w:rPr>
          <w:vertAlign w:val="superscript"/>
        </w:rPr>
        <w:footnoteReference w:id="19"/>
      </w:r>
      <w:r>
        <w:t xml:space="preserve">，JQData服务超4,500家量化机构</w:t>
      </w:r>
      <w:r>
        <w:rPr>
          <w:vertAlign w:val="superscript"/>
        </w:rPr>
        <w:footnoteReference w:id="20"/>
      </w:r>
      <w:r>
        <w:t xml:space="preserve">，验证了数据服务在量化生态中的刚需属性。</w:t>
      </w:r>
    </w:p>
    <w:bookmarkEnd w:id="33"/>
    <w:bookmarkStart w:id="34" w:name="开源框架生态从工具到社区的平台化演进"/>
    <w:p>
      <w:pPr>
        <w:pStyle w:val="Heading4"/>
      </w:pPr>
      <w:r>
        <w:t xml:space="preserve">1.2.2 开源框架生态：从工具到社区的平台化演进</w:t>
      </w:r>
    </w:p>
    <w:p>
      <w:pPr>
        <w:pStyle w:val="FirstParagraph"/>
      </w:pPr>
      <w:r>
        <w:t xml:space="preserve">开源量化框架在中国市场的渗透深度远超商业平台。vn.py（VeighNa）以28,400+ GitHub Star、3,000+开源贡献者的数据，构成了国内量化开源生态的标杆</w:t>
      </w:r>
      <w:r>
        <w:rPr>
          <w:vertAlign w:val="superscript"/>
        </w:rPr>
        <w:footnoteReference w:id="21"/>
      </w:r>
      <w:r>
        <w:t xml:space="preserve"> </w:t>
      </w:r>
      <w:r>
        <w:rPr>
          <w:vertAlign w:val="superscript"/>
        </w:rPr>
        <w:footnoteReference w:id="22"/>
      </w:r>
      <w:r>
        <w:t xml:space="preserve">。其核心优势在于完全本地化部署和实盘对接能力——支持国内主流期货CTP、期权接口等40+交易接口，涵盖股票、期货、数字货币、外汇等全品种</w:t>
      </w:r>
      <w:fldSimple w:instr="NOTEREF _Ref_Footnote_22 \h \f">
        <w:r>
          <w:rPr>
            <w:vertAlign w:val="superscript"/>
          </w:rPr>
          <w:t>22</w:t>
        </w:r>
      </w:fldSimple>
      <w:r>
        <w:t xml:space="preserve">，累计服务中大型私募超过600家</w:t>
      </w:r>
      <w:fldSimple w:instr="NOTEREF _Ref_Footnote_16 \h \f">
        <w:r>
          <w:rPr>
            <w:vertAlign w:val="superscript"/>
          </w:rPr>
          <w:t>16</w:t>
        </w:r>
      </w:fldSimple>
      <w:r>
        <w:t xml:space="preserve">。</w:t>
      </w:r>
    </w:p>
    <w:p>
      <w:pPr>
        <w:pStyle w:val="BodyText"/>
      </w:pPr>
      <w:r>
        <w:t xml:space="preserve">国际层面，QuantConnect的LEAN引擎代表了全球化开源回测的最高水准——15,700+ GitHub Star、7,000+社区贡献者、400TB+历史数据、覆盖30+全球市场</w:t>
      </w:r>
      <w:r>
        <w:rPr>
          <w:vertAlign w:val="superscript"/>
        </w:rPr>
        <w:footnoteReference w:id="23"/>
      </w:r>
      <w:r>
        <w:t xml:space="preserve"> </w:t>
      </w:r>
      <w:r>
        <w:rPr>
          <w:vertAlign w:val="superscript"/>
        </w:rPr>
        <w:footnoteReference w:id="24"/>
      </w:r>
      <w:r>
        <w:t xml:space="preserve">。</w:t>
      </w:r>
    </w:p>
    <w:p>
      <w:pPr>
        <w:pStyle w:val="BodyText"/>
      </w:pPr>
      <w:r>
        <w:rPr>
          <w:bCs/>
          <w:b/>
        </w:rPr>
        <w:t xml:space="preserve">表1-2：开源框架与海外对标平台核心指标对比</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维度</w:t>
            </w:r>
          </w:p>
        </w:tc>
        <w:tc>
          <w:tcPr/>
          <w:p>
            <w:pPr>
              <w:pStyle w:val="Compact"/>
              <w:jc w:val="left"/>
            </w:pPr>
            <w:r>
              <w:t xml:space="preserve">vn.py</w:t>
            </w:r>
          </w:p>
        </w:tc>
        <w:tc>
          <w:tcPr/>
          <w:p>
            <w:pPr>
              <w:pStyle w:val="Compact"/>
              <w:jc w:val="left"/>
            </w:pPr>
            <w:r>
              <w:t xml:space="preserve">Backtrader</w:t>
            </w:r>
          </w:p>
        </w:tc>
        <w:tc>
          <w:tcPr/>
          <w:p>
            <w:pPr>
              <w:pStyle w:val="Compact"/>
              <w:jc w:val="left"/>
            </w:pPr>
            <w:r>
              <w:t xml:space="preserve">QuantConnect LEAN</w:t>
            </w:r>
          </w:p>
        </w:tc>
        <w:tc>
          <w:tcPr/>
          <w:p>
            <w:pPr>
              <w:pStyle w:val="Compact"/>
              <w:jc w:val="left"/>
            </w:pPr>
            <w:r>
              <w:t xml:space="preserve">TradingView</w:t>
            </w:r>
          </w:p>
        </w:tc>
        <w:tc>
          <w:tcPr/>
          <w:p>
            <w:pPr>
              <w:pStyle w:val="Compact"/>
              <w:jc w:val="left"/>
            </w:pPr>
            <w:r>
              <w:t xml:space="preserve">MetaTrader 5</w:t>
            </w:r>
          </w:p>
        </w:tc>
      </w:tr>
      <w:tr>
        <w:tc>
          <w:tcPr/>
          <w:p>
            <w:pPr>
              <w:pStyle w:val="Compact"/>
              <w:jc w:val="left"/>
            </w:pPr>
            <w:r>
              <w:t xml:space="preserve">开源协议</w:t>
            </w:r>
          </w:p>
        </w:tc>
        <w:tc>
          <w:tcPr/>
          <w:p>
            <w:pPr>
              <w:pStyle w:val="Compact"/>
              <w:jc w:val="left"/>
            </w:pPr>
            <w:r>
              <w:t xml:space="preserve">MIT</w:t>
            </w:r>
          </w:p>
        </w:tc>
        <w:tc>
          <w:tcPr/>
          <w:p>
            <w:pPr>
              <w:pStyle w:val="Compact"/>
              <w:jc w:val="left"/>
            </w:pPr>
            <w:r>
              <w:t xml:space="preserve">GPL</w:t>
            </w:r>
          </w:p>
        </w:tc>
        <w:tc>
          <w:tcPr/>
          <w:p>
            <w:pPr>
              <w:pStyle w:val="Compact"/>
              <w:jc w:val="left"/>
            </w:pPr>
            <w:r>
              <w:t xml:space="preserve">Apache-2.0</w:t>
            </w:r>
          </w:p>
        </w:tc>
        <w:tc>
          <w:tcPr/>
          <w:p>
            <w:pPr>
              <w:pStyle w:val="Compact"/>
              <w:jc w:val="left"/>
            </w:pPr>
            <w:r>
              <w:t xml:space="preserve">闭源</w:t>
            </w:r>
          </w:p>
        </w:tc>
        <w:tc>
          <w:tcPr/>
          <w:p>
            <w:pPr>
              <w:pStyle w:val="Compact"/>
              <w:jc w:val="left"/>
            </w:pPr>
            <w:r>
              <w:t xml:space="preserve">闭源</w:t>
            </w:r>
          </w:p>
        </w:tc>
      </w:tr>
      <w:tr>
        <w:tc>
          <w:tcPr/>
          <w:p>
            <w:pPr>
              <w:pStyle w:val="Compact"/>
              <w:jc w:val="left"/>
            </w:pPr>
            <w:r>
              <w:t xml:space="preserve">GitHub Star</w:t>
            </w:r>
          </w:p>
        </w:tc>
        <w:tc>
          <w:tcPr/>
          <w:p>
            <w:pPr>
              <w:pStyle w:val="Compact"/>
              <w:jc w:val="left"/>
            </w:pPr>
            <w:r>
              <w:t xml:space="preserve">28,400+</w:t>
            </w:r>
            <w:fldSimple w:instr="NOTEREF _Ref_Footnote_21 \h \f">
              <w:r>
                <w:rPr>
                  <w:vertAlign w:val="superscript"/>
                </w:rPr>
                <w:t>21</w:t>
              </w:r>
            </w:fldSimple>
          </w:p>
        </w:tc>
        <w:tc>
          <w:tcPr/>
          <w:p>
            <w:pPr>
              <w:pStyle w:val="Compact"/>
              <w:jc w:val="left"/>
            </w:pPr>
            <w:r>
              <w:t xml:space="preserve">12,800+</w:t>
            </w:r>
          </w:p>
        </w:tc>
        <w:tc>
          <w:tcPr/>
          <w:p>
            <w:pPr>
              <w:pStyle w:val="Compact"/>
              <w:jc w:val="left"/>
            </w:pPr>
            <w:r>
              <w:t xml:space="preserve">15,700+</w:t>
            </w:r>
            <w:fldSimple w:instr="NOTEREF _Ref_Footnote_23 \h \f">
              <w:r>
                <w:rPr>
                  <w:vertAlign w:val="superscript"/>
                </w:rPr>
                <w:t>23</w:t>
              </w:r>
            </w:fldSimple>
          </w:p>
        </w:tc>
        <w:tc>
          <w:tcPr/>
          <w:p>
            <w:pPr>
              <w:pStyle w:val="Compact"/>
              <w:jc w:val="left"/>
            </w:pPr>
            <w:r>
              <w:t xml:space="preserve">不适用</w:t>
            </w:r>
          </w:p>
        </w:tc>
        <w:tc>
          <w:tcPr/>
          <w:p>
            <w:pPr>
              <w:pStyle w:val="Compact"/>
              <w:jc w:val="left"/>
            </w:pPr>
            <w:r>
              <w:t xml:space="preserve">不适用</w:t>
            </w:r>
          </w:p>
        </w:tc>
      </w:tr>
      <w:tr>
        <w:tc>
          <w:tcPr/>
          <w:p>
            <w:pPr>
              <w:pStyle w:val="Compact"/>
              <w:jc w:val="left"/>
            </w:pPr>
            <w:r>
              <w:t xml:space="preserve">社区贡献者</w:t>
            </w:r>
          </w:p>
        </w:tc>
        <w:tc>
          <w:tcPr/>
          <w:p>
            <w:pPr>
              <w:pStyle w:val="Compact"/>
              <w:jc w:val="left"/>
            </w:pPr>
            <w:r>
              <w:t xml:space="preserve">3,000+</w:t>
            </w:r>
            <w:fldSimple w:instr="NOTEREF _Ref_Footnote_22 \h \f">
              <w:r>
                <w:rPr>
                  <w:vertAlign w:val="superscript"/>
                </w:rPr>
                <w:t>22</w:t>
              </w:r>
            </w:fldSimple>
          </w:p>
        </w:tc>
        <w:tc>
          <w:tcPr/>
          <w:p>
            <w:pPr>
              <w:pStyle w:val="Compact"/>
              <w:jc w:val="left"/>
            </w:pPr>
            <w:r>
              <w:t xml:space="preserve">2,700+</w:t>
            </w:r>
          </w:p>
        </w:tc>
        <w:tc>
          <w:tcPr/>
          <w:p>
            <w:pPr>
              <w:pStyle w:val="Compact"/>
              <w:jc w:val="left"/>
            </w:pPr>
            <w:r>
              <w:t xml:space="preserve">7,000+</w:t>
            </w:r>
            <w:fldSimple w:instr="NOTEREF _Ref_Footnote_1 \h \f">
              <w:r>
                <w:rPr>
                  <w:vertAlign w:val="superscript"/>
                </w:rPr>
                <w:t>1</w:t>
              </w:r>
            </w:fldSimple>
          </w:p>
        </w:tc>
        <w:tc>
          <w:tcPr/>
          <w:p>
            <w:pPr>
              <w:pStyle w:val="Compact"/>
              <w:jc w:val="left"/>
            </w:pPr>
            <w:r>
              <w:t xml:space="preserve">—</w:t>
            </w:r>
          </w:p>
        </w:tc>
        <w:tc>
          <w:tcPr/>
          <w:p>
            <w:pPr>
              <w:pStyle w:val="Compact"/>
              <w:jc w:val="left"/>
            </w:pPr>
            <w:r>
              <w:t xml:space="preserve">—</w:t>
            </w:r>
          </w:p>
        </w:tc>
      </w:tr>
      <w:tr>
        <w:tc>
          <w:tcPr/>
          <w:p>
            <w:pPr>
              <w:pStyle w:val="Compact"/>
              <w:jc w:val="left"/>
            </w:pPr>
            <w:r>
              <w:t xml:space="preserve">定价模式</w:t>
            </w:r>
          </w:p>
        </w:tc>
        <w:tc>
          <w:tcPr/>
          <w:p>
            <w:pPr>
              <w:pStyle w:val="Compact"/>
              <w:jc w:val="left"/>
            </w:pPr>
            <w:r>
              <w:t xml:space="preserve">免费开源</w:t>
            </w:r>
          </w:p>
        </w:tc>
        <w:tc>
          <w:tcPr/>
          <w:p>
            <w:pPr>
              <w:pStyle w:val="Compact"/>
              <w:jc w:val="left"/>
            </w:pPr>
            <w:r>
              <w:t xml:space="preserve">免费开源</w:t>
            </w:r>
          </w:p>
        </w:tc>
        <w:tc>
          <w:tcPr/>
          <w:p>
            <w:pPr>
              <w:pStyle w:val="Compact"/>
              <w:jc w:val="left"/>
            </w:pPr>
            <w:r>
              <w:t xml:space="preserve">$20—1,080/月</w:t>
            </w:r>
            <w:fldSimple w:instr="NOTEREF _Ref_Footnote_24 \h \f">
              <w:r>
                <w:rPr>
                  <w:vertAlign w:val="superscript"/>
                </w:rPr>
                <w:t>24</w:t>
              </w:r>
            </w:fldSimple>
          </w:p>
        </w:tc>
        <w:tc>
          <w:tcPr/>
          <w:p>
            <w:pPr>
              <w:pStyle w:val="Compact"/>
              <w:jc w:val="left"/>
            </w:pPr>
            <w:r>
              <w:t xml:space="preserve">$14.95—59.95/月</w:t>
            </w:r>
          </w:p>
        </w:tc>
        <w:tc>
          <w:tcPr/>
          <w:p>
            <w:pPr>
              <w:pStyle w:val="Compact"/>
              <w:jc w:val="left"/>
            </w:pPr>
            <w:r>
              <w:t xml:space="preserve">免费（券商付费）</w:t>
            </w:r>
          </w:p>
        </w:tc>
      </w:tr>
      <w:tr>
        <w:tc>
          <w:tcPr/>
          <w:p>
            <w:pPr>
              <w:pStyle w:val="Compact"/>
              <w:jc w:val="left"/>
            </w:pPr>
            <w:r>
              <w:t xml:space="preserve">数据覆盖</w:t>
            </w:r>
          </w:p>
        </w:tc>
        <w:tc>
          <w:tcPr/>
          <w:p>
            <w:pPr>
              <w:pStyle w:val="Compact"/>
              <w:jc w:val="left"/>
            </w:pPr>
            <w:r>
              <w:t xml:space="preserve">中国全品种</w:t>
            </w:r>
          </w:p>
        </w:tc>
        <w:tc>
          <w:tcPr/>
          <w:p>
            <w:pPr>
              <w:pStyle w:val="Compact"/>
              <w:jc w:val="left"/>
            </w:pPr>
            <w:r>
              <w:t xml:space="preserve">全球市场10+</w:t>
            </w:r>
          </w:p>
        </w:tc>
        <w:tc>
          <w:tcPr/>
          <w:p>
            <w:pPr>
              <w:pStyle w:val="Compact"/>
              <w:jc w:val="left"/>
            </w:pPr>
            <w:r>
              <w:t xml:space="preserve">30+全球市场</w:t>
            </w:r>
            <w:fldSimple w:instr="NOTEREF _Ref_Footnote_24 \h \f">
              <w:r>
                <w:rPr>
                  <w:vertAlign w:val="superscript"/>
                </w:rPr>
                <w:t>24</w:t>
              </w:r>
            </w:fldSimple>
          </w:p>
        </w:tc>
        <w:tc>
          <w:tcPr/>
          <w:p>
            <w:pPr>
              <w:pStyle w:val="Compact"/>
              <w:jc w:val="left"/>
            </w:pPr>
            <w:r>
              <w:t xml:space="preserve">全球多市场</w:t>
            </w:r>
          </w:p>
        </w:tc>
        <w:tc>
          <w:tcPr/>
          <w:p>
            <w:pPr>
              <w:pStyle w:val="Compact"/>
              <w:jc w:val="left"/>
            </w:pPr>
            <w:r>
              <w:t xml:space="preserve">外汇/CFD为主</w:t>
            </w:r>
          </w:p>
        </w:tc>
      </w:tr>
      <w:tr>
        <w:tc>
          <w:tcPr/>
          <w:p>
            <w:pPr>
              <w:pStyle w:val="Compact"/>
              <w:jc w:val="left"/>
            </w:pPr>
            <w:r>
              <w:t xml:space="preserve">实盘对接</w:t>
            </w:r>
          </w:p>
        </w:tc>
        <w:tc>
          <w:tcPr/>
          <w:p>
            <w:pPr>
              <w:pStyle w:val="Compact"/>
              <w:jc w:val="left"/>
            </w:pPr>
            <w:r>
              <w:t xml:space="preserve">40+交易接口</w:t>
            </w:r>
            <w:fldSimple w:instr="NOTEREF _Ref_Footnote_21 \h \f">
              <w:r>
                <w:rPr>
                  <w:vertAlign w:val="superscript"/>
                </w:rPr>
                <w:t>21</w:t>
              </w:r>
            </w:fldSimple>
          </w:p>
        </w:tc>
        <w:tc>
          <w:tcPr/>
          <w:p>
            <w:pPr>
              <w:pStyle w:val="Compact"/>
              <w:jc w:val="left"/>
            </w:pPr>
            <w:r>
              <w:t xml:space="preserve">Interactive Brokers等</w:t>
            </w:r>
          </w:p>
        </w:tc>
        <w:tc>
          <w:tcPr/>
          <w:p>
            <w:pPr>
              <w:pStyle w:val="Compact"/>
              <w:jc w:val="left"/>
            </w:pPr>
            <w:r>
              <w:t xml:space="preserve">全球经纪商集成</w:t>
            </w:r>
            <w:fldSimple w:instr="NOTEREF _Ref_Footnote_24 \h \f">
              <w:r>
                <w:rPr>
                  <w:vertAlign w:val="superscript"/>
                </w:rPr>
                <w:t>24</w:t>
              </w:r>
            </w:fldSimple>
          </w:p>
        </w:tc>
        <w:tc>
          <w:tcPr/>
          <w:p>
            <w:pPr>
              <w:pStyle w:val="Compact"/>
              <w:jc w:val="left"/>
            </w:pPr>
            <w:r>
              <w:t xml:space="preserve">有限</w:t>
            </w:r>
          </w:p>
        </w:tc>
        <w:tc>
          <w:tcPr/>
          <w:p>
            <w:pPr>
              <w:pStyle w:val="Compact"/>
              <w:jc w:val="left"/>
            </w:pPr>
            <w:r>
              <w:t xml:space="preserve">广泛</w:t>
            </w:r>
          </w:p>
        </w:tc>
      </w:tr>
      <w:tr>
        <w:tc>
          <w:tcPr/>
          <w:p>
            <w:pPr>
              <w:pStyle w:val="Compact"/>
              <w:jc w:val="left"/>
            </w:pPr>
            <w:r>
              <w:t xml:space="preserve">核心优势</w:t>
            </w:r>
          </w:p>
        </w:tc>
        <w:tc>
          <w:tcPr/>
          <w:p>
            <w:pPr>
              <w:pStyle w:val="Compact"/>
              <w:jc w:val="left"/>
            </w:pPr>
            <w:r>
              <w:t xml:space="preserve">实盘成熟度、中文社区</w:t>
            </w:r>
          </w:p>
        </w:tc>
        <w:tc>
          <w:tcPr/>
          <w:p>
            <w:pPr>
              <w:pStyle w:val="Compact"/>
              <w:jc w:val="left"/>
            </w:pPr>
            <w:r>
              <w:t xml:space="preserve">插件生态、易用性</w:t>
            </w:r>
          </w:p>
        </w:tc>
        <w:tc>
          <w:tcPr/>
          <w:p>
            <w:pPr>
              <w:pStyle w:val="Compact"/>
              <w:jc w:val="left"/>
            </w:pPr>
            <w:r>
              <w:t xml:space="preserve">全球化数据、云回测</w:t>
            </w:r>
          </w:p>
        </w:tc>
        <w:tc>
          <w:tcPr/>
          <w:p>
            <w:pPr>
              <w:pStyle w:val="Compact"/>
              <w:jc w:val="left"/>
            </w:pPr>
            <w:r>
              <w:t xml:space="preserve">图表分析、社交</w:t>
            </w:r>
          </w:p>
        </w:tc>
        <w:tc>
          <w:tcPr/>
          <w:p>
            <w:pPr>
              <w:pStyle w:val="Compact"/>
              <w:jc w:val="left"/>
            </w:pPr>
            <w:r>
              <w:t xml:space="preserve">自动化交易</w:t>
            </w:r>
          </w:p>
        </w:tc>
      </w:tr>
      <w:tr>
        <w:tc>
          <w:tcPr/>
          <w:p>
            <w:pPr>
              <w:pStyle w:val="Compact"/>
              <w:jc w:val="left"/>
            </w:pPr>
            <w:r>
              <w:t xml:space="preserve">主要短板</w:t>
            </w:r>
          </w:p>
        </w:tc>
        <w:tc>
          <w:tcPr/>
          <w:p>
            <w:pPr>
              <w:pStyle w:val="Compact"/>
              <w:jc w:val="left"/>
            </w:pPr>
            <w:r>
              <w:t xml:space="preserve">学习曲线陡峭</w:t>
            </w:r>
            <w:fldSimple w:instr="NOTEREF _Ref_Footnote_21 \h \f">
              <w:r>
                <w:rPr>
                  <w:vertAlign w:val="superscript"/>
                </w:rPr>
                <w:t>21</w:t>
              </w:r>
            </w:fldSimple>
          </w:p>
        </w:tc>
        <w:tc>
          <w:tcPr/>
          <w:p>
            <w:pPr>
              <w:pStyle w:val="Compact"/>
              <w:jc w:val="left"/>
            </w:pPr>
            <w:r>
              <w:t xml:space="preserve">性能瓶颈、已停止更新</w:t>
            </w:r>
          </w:p>
        </w:tc>
        <w:tc>
          <w:tcPr/>
          <w:p>
            <w:pPr>
              <w:pStyle w:val="Compact"/>
              <w:jc w:val="left"/>
            </w:pPr>
            <w:r>
              <w:t xml:space="preserve">本土化弱</w:t>
            </w:r>
            <w:r>
              <w:rPr>
                <w:vertAlign w:val="superscript"/>
              </w:rPr>
              <w:footnoteReference w:id="25"/>
            </w:r>
          </w:p>
        </w:tc>
        <w:tc>
          <w:tcPr/>
          <w:p>
            <w:pPr>
              <w:pStyle w:val="Compact"/>
              <w:jc w:val="left"/>
            </w:pPr>
            <w:r>
              <w:t xml:space="preserve">无本地回测</w:t>
            </w:r>
          </w:p>
        </w:tc>
        <w:tc>
          <w:tcPr/>
          <w:p>
            <w:pPr>
              <w:pStyle w:val="Compact"/>
              <w:jc w:val="left"/>
            </w:pPr>
            <w:r>
              <w:t xml:space="preserve">策略开发受限</w:t>
            </w:r>
          </w:p>
        </w:tc>
      </w:tr>
    </w:tbl>
    <w:p>
      <w:pPr>
        <w:pStyle w:val="BodyText"/>
      </w:pPr>
      <w:r>
        <w:t xml:space="preserve">表1-2揭示了一个关键的市场空白：vn.py在实盘对接和本土化层面建立了不可复制的优势，但在回测性能方面存在明显短板（仅支持单支标的回测</w:t>
      </w:r>
      <w:r>
        <w:rPr>
          <w:vertAlign w:val="superscript"/>
        </w:rPr>
        <w:footnoteReference w:id="26"/>
      </w:r>
      <w:r>
        <w:t xml:space="preserve">）；QuantConnect在全球化数据上领先，但中国市场本土化不足</w:t>
      </w:r>
      <w:fldSimple w:instr="NOTEREF _Ref_Footnote_25 \h \f">
        <w:r>
          <w:rPr>
            <w:vertAlign w:val="superscript"/>
          </w:rPr>
          <w:t>25</w:t>
        </w:r>
      </w:fldSimple>
      <w:r>
        <w:t xml:space="preserve">。</w:t>
      </w:r>
      <w:r>
        <w:t xml:space="preserve">“</w:t>
      </w:r>
      <w:r>
        <w:t xml:space="preserve">vn.py级实盘能力 + QuantConnect级数据覆盖 + 聚宽级回测体验</w:t>
      </w:r>
      <w:r>
        <w:t xml:space="preserve">”</w:t>
      </w:r>
      <w:r>
        <w:t xml:space="preserve">的三元组合缺失，正是新一代智能回测系统的差异化切入点。</w:t>
      </w:r>
    </w:p>
    <w:bookmarkEnd w:id="34"/>
    <w:bookmarkStart w:id="35" w:name="海外对标三种商业模式的路径启示"/>
    <w:p>
      <w:pPr>
        <w:pStyle w:val="Heading4"/>
      </w:pPr>
      <w:r>
        <w:t xml:space="preserve">1.2.3 海外对标：三种商业模式的路径启示</w:t>
      </w:r>
    </w:p>
    <w:p>
      <w:pPr>
        <w:pStyle w:val="FirstParagraph"/>
      </w:pPr>
      <w:r>
        <w:t xml:space="preserve">海外量化平台的商业模式提供了三种可借鉴路径。第一种是</w:t>
      </w:r>
      <w:r>
        <w:rPr>
          <w:bCs/>
          <w:b/>
        </w:rPr>
        <w:t xml:space="preserve">SaaS订阅模式</w:t>
      </w:r>
      <w:r>
        <w:t xml:space="preserve">，以QuantConnect为代表，采用$20—1,080/月的阶梯定价</w:t>
      </w:r>
      <w:fldSimple w:instr="NOTEREF _Ref_Footnote_24 \h \f">
        <w:r>
          <w:rPr>
            <w:vertAlign w:val="superscript"/>
          </w:rPr>
          <w:t>24</w:t>
        </w:r>
      </w:fldSimple>
      <w:r>
        <w:t xml:space="preserve">，通过免费回测吸引用户、付费实盘订阅变现，社区规模达318K量化人员，月处理回测500K次</w:t>
      </w:r>
      <w:fldSimple w:instr="NOTEREF _Ref_Footnote_24 \h \f">
        <w:r>
          <w:rPr>
            <w:vertAlign w:val="superscript"/>
          </w:rPr>
          <w:t>24</w:t>
        </w:r>
      </w:fldSimple>
      <w:r>
        <w:t xml:space="preserve">。其Alpha Streams模式将用户策略开放给对冲基金订阅，避免了Quantopian”众包基金”模式的失败——后者融资超5,000万美元、25万用户仍于2020年关闭，核心教训是”量化投资的本质是私人厨房，不是公共食堂”</w:t>
      </w:r>
      <w:r>
        <w:rPr>
          <w:vertAlign w:val="superscript"/>
        </w:rPr>
        <w:footnoteReference w:id="27"/>
      </w:r>
      <w:r>
        <w:t xml:space="preserve"> </w:t>
      </w:r>
      <w:r>
        <w:rPr>
          <w:vertAlign w:val="superscript"/>
        </w:rPr>
        <w:footnoteReference w:id="28"/>
      </w:r>
      <w:r>
        <w:t xml:space="preserve">。</w:t>
      </w:r>
    </w:p>
    <w:p>
      <w:pPr>
        <w:pStyle w:val="BodyText"/>
      </w:pPr>
      <w:r>
        <w:t xml:space="preserve">第二种是</w:t>
      </w:r>
      <w:r>
        <w:rPr>
          <w:bCs/>
          <w:b/>
        </w:rPr>
        <w:t xml:space="preserve">数据与图表服务</w:t>
      </w:r>
      <w:r>
        <w:t xml:space="preserve">，以TradingView的$14.95—59.95/月定价和全球领先的图表分析能力为代表。第三种是</w:t>
      </w:r>
      <w:r>
        <w:rPr>
          <w:bCs/>
          <w:b/>
        </w:rPr>
        <w:t xml:space="preserve">券商渠道模式</w:t>
      </w:r>
      <w:r>
        <w:t xml:space="preserve">，以MetaTrader通过免费软件+券商付费分成为代表。三种模式共同指向同一结论：C端直接付费模式已证伪，成功的平台均通过B端服务（数据、基础设施、券商渠道）实现商业闭环。</w:t>
      </w:r>
    </w:p>
    <w:bookmarkEnd w:id="35"/>
    <w:bookmarkEnd w:id="36"/>
    <w:bookmarkStart w:id="40" w:name="技术趋势与机遇窗口"/>
    <w:p>
      <w:pPr>
        <w:pStyle w:val="Heading3"/>
      </w:pPr>
      <w:r>
        <w:t xml:space="preserve">1.3 技术趋势与机遇窗口</w:t>
      </w:r>
    </w:p>
    <w:bookmarkStart w:id="37" w:name="ai深度集成llm策略生成多agent协作与强化学习"/>
    <w:p>
      <w:pPr>
        <w:pStyle w:val="Heading4"/>
      </w:pPr>
      <w:r>
        <w:t xml:space="preserve">1.3.1 AI深度集成：LLM策略生成、多Agent协作与强化学习</w:t>
      </w:r>
    </w:p>
    <w:p>
      <w:pPr>
        <w:pStyle w:val="FirstParagraph"/>
      </w:pPr>
      <w:r>
        <w:t xml:space="preserve">2024—2025年，人工智能与量化策略研发的融合已从边缘实验走向核心生产环节。这一趋势体现在三个技术方向上。其一，</w:t>
      </w:r>
      <w:r>
        <w:rPr>
          <w:bCs/>
          <w:b/>
        </w:rPr>
        <w:t xml:space="preserve">LLM策略生成</w:t>
      </w:r>
      <w:r>
        <w:t xml:space="preserve">——大型语言模型（Large Language Model, LLM）被用于策略代码自动生成和自然语言策略描述转换，北京大学量化金融课程已将”利用ChatGPT、DeepSeek等AI模型进行量化交易”纳入正式教学内容</w:t>
      </w:r>
      <w:r>
        <w:rPr>
          <w:vertAlign w:val="superscript"/>
        </w:rPr>
        <w:footnoteReference w:id="29"/>
      </w:r>
      <w:r>
        <w:t xml:space="preserve">。其二，</w:t>
      </w:r>
      <w:r>
        <w:rPr>
          <w:bCs/>
          <w:b/>
        </w:rPr>
        <w:t xml:space="preserve">多Agent协作</w:t>
      </w:r>
      <w:r>
        <w:t xml:space="preserve">——TradingAgents等框架实现了投研团队级别的多智能体协作</w:t>
      </w:r>
      <w:r>
        <w:rPr>
          <w:vertAlign w:val="superscript"/>
        </w:rPr>
        <w:footnoteReference w:id="30"/>
      </w:r>
      <w:r>
        <w:t xml:space="preserve">，RD-Agent在实证中实现2倍回报提升，AlphaAgent将策略命中率提升81%。其三，</w:t>
      </w:r>
      <w:r>
        <w:rPr>
          <w:bCs/>
          <w:b/>
        </w:rPr>
        <w:t xml:space="preserve">强化学习参数优化</w:t>
      </w:r>
      <w:r>
        <w:t xml:space="preserve">——在超参数搜索和动态仓位管理中展现出显著优势，尤其在加密货币等高波动市场。</w:t>
      </w:r>
    </w:p>
    <w:p>
      <w:pPr>
        <w:pStyle w:val="BodyText"/>
      </w:pPr>
      <w:r>
        <w:t xml:space="preserve">AI集成的关键挑战在于避免过拟合陷阱。行业数据显示，未经样本外测试的优化策略在实盘运行时绩效指标平均下降62%</w:t>
      </w:r>
      <w:fldSimple w:instr="NOTEREF _Ref_Footnote_10 \h \f">
        <w:r>
          <w:rPr>
            <w:vertAlign w:val="superscript"/>
          </w:rPr>
          <w:t>10</w:t>
        </w:r>
      </w:fldSimple>
      <w:r>
        <w:t xml:space="preserve">，回测期夏普比中位数1.20的策略在样本外测试中夏普比衰减至0.31（衰减约73%）</w:t>
      </w:r>
      <w:r>
        <w:rPr>
          <w:vertAlign w:val="superscript"/>
        </w:rPr>
        <w:footnoteReference w:id="31"/>
      </w:r>
      <w:r>
        <w:t xml:space="preserve">。这提示AI在量化系统中的最佳角色不是替代人类研究员，而是作为”放大器”——加速策略原型开发、辅助策略验证、优化参数搜索，最终决策仍须保留人工审查环节。</w:t>
      </w:r>
    </w:p>
    <w:bookmarkEnd w:id="37"/>
    <w:bookmarkStart w:id="38" w:name="gpurust加速回测性能的范式级跃迁"/>
    <w:p>
      <w:pPr>
        <w:pStyle w:val="Heading4"/>
      </w:pPr>
      <w:r>
        <w:t xml:space="preserve">1.3.2 GPU/Rust加速：回测性能的范式级跃迁</w:t>
      </w:r>
    </w:p>
    <w:p>
      <w:pPr>
        <w:pStyle w:val="FirstParagraph"/>
      </w:pPr>
      <w:r>
        <w:t xml:space="preserve">回测系统的性能瓶颈正在通过技术栈重构实现数量级突破。第一个方向是</w:t>
      </w:r>
      <w:r>
        <w:rPr>
          <w:bCs/>
          <w:b/>
        </w:rPr>
        <w:t xml:space="preserve">向量化+GPU加速</w:t>
      </w:r>
      <w:r>
        <w:t xml:space="preserve">——VectorBT通过NumPy向量化运算替代事件驱动循环，将100万订单的回测耗时从CPU的48.2秒降至70—100毫秒</w:t>
      </w:r>
      <w:fldSimple w:instr="NOTEREF _Ref_Footnote_9 \h \f">
        <w:r>
          <w:rPr>
            <w:vertAlign w:val="superscript"/>
          </w:rPr>
          <w:t>9</w:t>
        </w:r>
      </w:fldSimple>
      <w:r>
        <w:t xml:space="preserve">，加速比达675倍；GPU（RTX 4080）处理100万K线数据仅需12.7秒</w:t>
      </w:r>
      <w:r>
        <w:rPr>
          <w:vertAlign w:val="superscript"/>
        </w:rPr>
        <w:footnoteReference w:id="32"/>
      </w:r>
      <w:r>
        <w:t xml:space="preserve">，综合加速可达100—200倍。</w:t>
      </w:r>
    </w:p>
    <w:p>
      <w:pPr>
        <w:pStyle w:val="BodyText"/>
      </w:pPr>
      <w:r>
        <w:t xml:space="preserve">第二个方向是</w:t>
      </w:r>
      <w:r>
        <w:rPr>
          <w:bCs/>
          <w:b/>
        </w:rPr>
        <w:t xml:space="preserve">Rust核心重构</w:t>
      </w:r>
      <w:r>
        <w:t xml:space="preserve">——RaptorBT通过Rust引擎实现5,827倍加速</w:t>
      </w:r>
      <w:fldSimple w:instr="NOTEREF _Ref_Footnote_21 \h \f">
        <w:r>
          <w:rPr>
            <w:vertAlign w:val="superscript"/>
          </w:rPr>
          <w:t>21</w:t>
        </w:r>
      </w:fldSimple>
      <w:r>
        <w:t xml:space="preserve">，源于Rust内存安全模型的零成本抽象和无垃圾回收的确定性延迟。vn.py社区的VnpyRS项目报告7%—87%的额外加速</w:t>
      </w:r>
      <w:fldSimple w:instr="NOTEREF _Ref_Footnote_21 \h \f">
        <w:r>
          <w:rPr>
            <w:vertAlign w:val="superscript"/>
          </w:rPr>
          <w:t>21</w:t>
        </w:r>
      </w:fldSimple>
      <w:r>
        <w:t xml:space="preserve">。两种路径呈现分层融合趋势：Python策略层负责逻辑表达，Rust核心层负责高性能计算，GPU层负责并行加速，每一层的加速比是相乘而非相加关系。</w:t>
      </w:r>
    </w:p>
    <w:bookmarkEnd w:id="38"/>
    <w:bookmarkStart w:id="39" w:name="监管趋严合规科技需求爆发催生新市场"/>
    <w:p>
      <w:pPr>
        <w:pStyle w:val="Heading4"/>
      </w:pPr>
      <w:r>
        <w:t xml:space="preserve">1.3.3 监管趋严：合规科技需求爆发催生新市场</w:t>
      </w:r>
    </w:p>
    <w:p>
      <w:pPr>
        <w:pStyle w:val="FirstParagraph"/>
      </w:pPr>
      <w:r>
        <w:t xml:space="preserve">2024—2025年中国量化监管框架经历了体系性升级。2024年5月，中国证监会发布《证券市场程序化交易管理规定（试行）》（证监会公告[2024]8号），自2024年10月8日起实施</w:t>
      </w:r>
      <w:r>
        <w:rPr>
          <w:vertAlign w:val="superscript"/>
        </w:rPr>
        <w:footnoteReference w:id="33"/>
      </w:r>
      <w:r>
        <w:t xml:space="preserve">。2025年4月，沪深北交易所同步发布《程序化交易管理实施细则》，于2025年7月7日起施行</w:t>
      </w:r>
      <w:r>
        <w:rPr>
          <w:vertAlign w:val="superscript"/>
        </w:rPr>
        <w:footnoteReference w:id="34"/>
      </w:r>
      <w:r>
        <w:t xml:space="preserve"> </w:t>
      </w:r>
      <w:r>
        <w:rPr>
          <w:vertAlign w:val="superscript"/>
        </w:rPr>
        <w:footnoteReference w:id="35"/>
      </w:r>
      <w:r>
        <w:t xml:space="preserve">。期货市场方面，《期货市场程序化交易管理规定（试行）》于2025年10月9日起施行</w:t>
      </w:r>
      <w:r>
        <w:rPr>
          <w:vertAlign w:val="superscript"/>
        </w:rPr>
        <w:footnoteReference w:id="36"/>
      </w:r>
      <w:r>
        <w:t xml:space="preserve">。</w:t>
      </w:r>
    </w:p>
    <w:p>
      <w:pPr>
        <w:pStyle w:val="BodyText"/>
      </w:pPr>
      <w:r>
        <w:t xml:space="preserve">新规对量化交易系统提出明确的六大技术能力要求：验资验券、权限控制、阈值管理、异常监测、错误处理和应急处置</w:t>
      </w:r>
      <w:r>
        <w:rPr>
          <w:vertAlign w:val="superscript"/>
        </w:rPr>
        <w:footnoteReference w:id="37"/>
      </w:r>
      <w:r>
        <w:t xml:space="preserve"> </w:t>
      </w:r>
      <w:r>
        <w:rPr>
          <w:vertAlign w:val="superscript"/>
        </w:rPr>
        <w:footnoteReference w:id="38"/>
      </w:r>
      <w:r>
        <w:t xml:space="preserve">。高频交易的认定标准为单账户每秒申报、撤单笔数合计300笔以上或全日20,000笔以上</w:t>
      </w:r>
      <w:r>
        <w:rPr>
          <w:vertAlign w:val="superscript"/>
        </w:rPr>
        <w:footnoteReference w:id="39"/>
      </w:r>
      <w:r>
        <w:t xml:space="preserve"> </w:t>
      </w:r>
      <w:fldSimple w:instr="NOTEREF _Ref_Footnote_34 \h \f">
        <w:r>
          <w:rPr>
            <w:vertAlign w:val="superscript"/>
          </w:rPr>
          <w:t>34</w:t>
        </w:r>
      </w:fldSimple>
      <w:r>
        <w:t xml:space="preserve">。高频交易者还需额外报告系统服务器所在地、系统测试报告、应急方案等信息</w:t>
      </w:r>
      <w:fldSimple w:instr="NOTEREF _Ref_Footnote_35 \h \f">
        <w:r>
          <w:rPr>
            <w:vertAlign w:val="superscript"/>
          </w:rPr>
          <w:t>35</w:t>
        </w:r>
      </w:fldSimple>
      <w:r>
        <w:t xml:space="preserve"> </w:t>
      </w:r>
      <w:fldSimple w:instr="NOTEREF _Ref_Footnote_33 \h \f">
        <w:r>
          <w:rPr>
            <w:vertAlign w:val="superscript"/>
          </w:rPr>
          <w:t>33</w:t>
        </w:r>
      </w:fldSimple>
      <w:r>
        <w:t xml:space="preserve">。</w:t>
      </w:r>
    </w:p>
    <w:p>
      <w:pPr>
        <w:pStyle w:val="BodyText"/>
      </w:pPr>
      <w:r>
        <w:t xml:space="preserve">监管趋严直接催生了合规科技（RegTech）的市场需求。根据《私募证券投资基金运作指引》，量化机构须保存历史交易记录、策略源代码、算法说明等资料不少于20年</w:t>
      </w:r>
      <w:r>
        <w:rPr>
          <w:vertAlign w:val="superscript"/>
        </w:rPr>
        <w:footnoteReference w:id="40"/>
      </w:r>
      <w:r>
        <w:t xml:space="preserve">，技术系统需具备Kill Switch独立切断机制</w:t>
      </w:r>
      <w:r>
        <w:rPr>
          <w:vertAlign w:val="superscript"/>
        </w:rPr>
        <w:footnoteReference w:id="41"/>
      </w:r>
      <w:r>
        <w:t xml:space="preserve">。全球每年可疑交易报告（Suspicious Transaction Report, STR）超过2,000万份，人工审核效率不足5%，RegTech通过算法模型可将误报率降至10%以下、识别准确率提升至85%以上</w:t>
      </w:r>
      <w:r>
        <w:rPr>
          <w:vertAlign w:val="superscript"/>
        </w:rPr>
        <w:footnoteReference w:id="42"/>
      </w:r>
      <w:r>
        <w:t xml:space="preserve">。将合规能力内建于回测系统——自动报告生成、策略审计日志、阈值管理、监管沙盒模拟——可使系统从”回测工具”升级为”合规平台”，成为高毛利的企业版核心功能模块。</w:t>
      </w:r>
    </w:p>
    <w:p>
      <w:r>
        <w:pict>
          <v:rect style="width:0;height:1.5pt" o:hralign="center" o:hrstd="t" o:hr="t"/>
        </w:pict>
      </w:r>
    </w:p>
    <w:bookmarkEnd w:id="39"/>
    <w:bookmarkEnd w:id="40"/>
    <w:bookmarkEnd w:id="41"/>
    <w:bookmarkStart w:id="63" w:name="核心技术深度分析"/>
    <w:p>
      <w:pPr>
        <w:pStyle w:val="Heading2"/>
      </w:pPr>
      <w:r>
        <w:t xml:space="preserve">2. 核心技术深度分析</w:t>
      </w:r>
    </w:p>
    <w:bookmarkStart w:id="46" w:name="多周期-market-state-引擎"/>
    <w:p>
      <w:pPr>
        <w:pStyle w:val="Heading3"/>
      </w:pPr>
      <w:r>
        <w:t xml:space="preserve">2.1 多周期 Market State 引擎</w:t>
      </w:r>
    </w:p>
    <w:bookmarkStart w:id="42" w:name="市场状态理论基础"/>
    <w:p>
      <w:pPr>
        <w:pStyle w:val="Heading4"/>
      </w:pPr>
      <w:r>
        <w:t xml:space="preserve">2.1.1 市场状态理论基础</w:t>
      </w:r>
    </w:p>
    <w:p>
      <w:pPr>
        <w:pStyle w:val="FirstParagraph"/>
      </w:pPr>
      <w:r>
        <w:t xml:space="preserve">市场状态检测的理论根基可追溯至 Hamilton 于 1989 年提出的马尔可夫体制转换（Markov-Switching）模型</w:t>
      </w:r>
      <w:r>
        <w:rPr>
          <w:vertAlign w:val="superscript"/>
        </w:rPr>
        <w:footnoteReference w:id="43"/>
      </w:r>
      <w:r>
        <w:t xml:space="preserve">。该模型将宏观经济或金融时间序列视为由潜在不可观测的状态变量驱动，不同状态下数据生成过程（DGP）的参数存在结构性差异。具体而言，设观测序列</w:t>
      </w:r>
      <w:r>
        <w:t xml:space="preserve"> </w:t>
      </w:r>
      <m:oMath>
        <m:sSub>
          <m:e>
            <m:r>
              <m:t>y</m:t>
            </m:r>
          </m:e>
          <m:sub>
            <m:r>
              <m:t>t</m:t>
            </m:r>
          </m:sub>
        </m:sSub>
      </m:oMath>
      <w:r>
        <w:t xml:space="preserve"> </w:t>
      </w:r>
      <w:r>
        <w:t xml:space="preserve">的状态条件均值与方差分别为</w:t>
      </w:r>
      <w:r>
        <w:t xml:space="preserve"> </w:t>
      </w:r>
      <m:oMath>
        <m:sSub>
          <m:e>
            <m:r>
              <m:t>μ</m:t>
            </m:r>
          </m:e>
          <m:sub>
            <m:sSub>
              <m:e>
                <m:r>
                  <m:t>s</m:t>
                </m:r>
              </m:e>
              <m:sub>
                <m:r>
                  <m:t>t</m:t>
                </m:r>
              </m:sub>
            </m:sSub>
          </m:sub>
        </m:sSub>
      </m:oMath>
      <w:r>
        <w:t xml:space="preserve"> </w:t>
      </w:r>
      <w:r>
        <w:t xml:space="preserve">和</w:t>
      </w:r>
      <w:r>
        <w:t xml:space="preserve"> </w:t>
      </w:r>
      <m:oMath>
        <m:sSubSup>
          <m:e>
            <m:r>
              <m:t>σ</m:t>
            </m:r>
          </m:e>
          <m:sub>
            <m:sSub>
              <m:e>
                <m:r>
                  <m:t>s</m:t>
                </m:r>
              </m:e>
              <m:sub>
                <m:r>
                  <m:t>t</m:t>
                </m:r>
              </m:sub>
            </m:sSub>
          </m:sub>
          <m:sup>
            <m:r>
              <m:t>2</m:t>
            </m:r>
          </m:sup>
        </m:sSubSup>
      </m:oMath>
      <w:r>
        <w:t xml:space="preserve">，其中隐含状态</w:t>
      </w:r>
      <w:r>
        <w:t xml:space="preserve"> </w:t>
      </w:r>
      <m:oMath>
        <m:sSub>
          <m:e>
            <m:r>
              <m:t>s</m:t>
            </m:r>
          </m:e>
          <m:sub>
            <m:r>
              <m:t>t</m:t>
            </m:r>
          </m:sub>
        </m:sSub>
        <m:r>
          <m:rPr>
            <m:sty m:val="p"/>
          </m:rPr>
          <m:t>∈</m:t>
        </m:r>
        <m:r>
          <m:rPr>
            <m:sty m:val="p"/>
          </m:rPr>
          <m:t>{</m:t>
        </m:r>
        <m:r>
          <m:t>1</m:t>
        </m:r>
        <m:r>
          <m:rPr>
            <m:sty m:val="p"/>
          </m:rPr>
          <m:t>,</m:t>
        </m:r>
        <m:r>
          <m:t>2</m:t>
        </m:r>
        <m:r>
          <m:rPr>
            <m:sty m:val="p"/>
          </m:rPr>
          <m:t>,</m:t>
        </m:r>
        <m:r>
          <m:rPr>
            <m:sty m:val="p"/>
          </m:rPr>
          <m:t>.</m:t>
        </m:r>
        <m:r>
          <m:rPr>
            <m:sty m:val="p"/>
          </m:rPr>
          <m:t>.</m:t>
        </m:r>
        <m:r>
          <m:rPr>
            <m:sty m:val="p"/>
          </m:rPr>
          <m:t>.</m:t>
        </m:r>
        <m:r>
          <m:rPr>
            <m:sty m:val="p"/>
          </m:rPr>
          <m:t>,</m:t>
        </m:r>
        <m:r>
          <m:t>K</m:t>
        </m:r>
        <m:r>
          <m:rPr>
            <m:sty m:val="p"/>
          </m:rPr>
          <m:t>}</m:t>
        </m:r>
      </m:oMath>
      <w:r>
        <w:t xml:space="preserve"> </w:t>
      </w:r>
      <w:r>
        <w:t xml:space="preserve">遵循一阶马尔可夫链：</w:t>
      </w:r>
    </w:p>
    <w:p>
      <w:pPr>
        <w:pStyle w:val="BodyText"/>
      </w:pPr>
      <m:oMathPara>
        <m:oMathParaPr>
          <m:jc m:val="center"/>
        </m:oMathParaPr>
        <m:oMath>
          <m:r>
            <m:t>P</m:t>
          </m:r>
          <m:d>
            <m:dPr>
              <m:begChr m:val="("/>
              <m:endChr m:val=")"/>
              <m:sepChr m:val=""/>
              <m:grow/>
            </m:dPr>
            <m:e>
              <m:sSub>
                <m:e>
                  <m:r>
                    <m:t>s</m:t>
                  </m:r>
                </m:e>
                <m:sub>
                  <m:r>
                    <m:t>t</m:t>
                  </m:r>
                </m:sub>
              </m:sSub>
              <m:r>
                <m:rPr>
                  <m:sty m:val="p"/>
                </m:rPr>
                <m:t>=</m:t>
              </m:r>
              <m:r>
                <m:t>j</m:t>
              </m:r>
              <m:r>
                <m:rPr>
                  <m:sty m:val="p"/>
                </m:rPr>
                <m:t>∣</m:t>
              </m:r>
              <m:sSub>
                <m:e>
                  <m:r>
                    <m:t>s</m:t>
                  </m:r>
                </m:e>
                <m:sub>
                  <m:r>
                    <m:t>t</m:t>
                  </m:r>
                  <m:r>
                    <m:rPr>
                      <m:sty m:val="p"/>
                    </m:rPr>
                    <m:t>−</m:t>
                  </m:r>
                  <m:r>
                    <m:t>1</m:t>
                  </m:r>
                </m:sub>
              </m:sSub>
              <m:r>
                <m:rPr>
                  <m:sty m:val="p"/>
                </m:rPr>
                <m:t>=</m:t>
              </m:r>
              <m:r>
                <m:t>i</m:t>
              </m:r>
            </m:e>
          </m:d>
          <m:r>
            <m:rPr>
              <m:sty m:val="p"/>
            </m:rPr>
            <m:t>=</m:t>
          </m:r>
          <m:sSub>
            <m:e>
              <m:r>
                <m:t>p</m:t>
              </m:r>
            </m:e>
            <m:sub>
              <m:r>
                <m:t>i</m:t>
              </m:r>
              <m:r>
                <m:t>j</m:t>
              </m:r>
            </m:sub>
          </m:sSub>
          <m:r>
            <m:rPr>
              <m:sty m:val="p"/>
            </m:rPr>
            <m:t>,</m:t>
          </m:r>
          <m:r>
            <m:t> </m:t>
          </m:r>
          <m:nary>
            <m:naryPr>
              <m:chr m:val="∑"/>
              <m:limLoc m:val="undOvr"/>
              <m:subHide m:val="0"/>
              <m:supHide m:val="0"/>
            </m:naryPr>
            <m:sub>
              <m:r>
                <m:t>j</m:t>
              </m:r>
              <m:r>
                <m:rPr>
                  <m:sty m:val="p"/>
                </m:rPr>
                <m:t>=</m:t>
              </m:r>
              <m:r>
                <m:t>1</m:t>
              </m:r>
            </m:sub>
            <m:sup>
              <m:r>
                <m:t>K</m:t>
              </m:r>
            </m:sup>
            <m:e>
              <m:sSub>
                <m:e>
                  <m:r>
                    <m:t>p</m:t>
                  </m:r>
                </m:e>
                <m:sub>
                  <m:r>
                    <m:t>i</m:t>
                  </m:r>
                  <m:r>
                    <m:t>j</m:t>
                  </m:r>
                </m:sub>
              </m:sSub>
            </m:e>
          </m:nary>
          <m:r>
            <m:rPr>
              <m:sty m:val="p"/>
            </m:rPr>
            <m:t>=</m:t>
          </m:r>
          <m:r>
            <m:t>1</m:t>
          </m:r>
        </m:oMath>
      </m:oMathPara>
    </w:p>
    <w:p>
      <w:pPr>
        <w:pStyle w:val="FirstParagraph"/>
      </w:pPr>
      <w:r>
        <w:t xml:space="preserve">Hamilton 滤波器通过前向-后向算法（Forward-Backward Algorithm）计算各时刻的状态概率，配合 Kim 平滑器实现最优状态解码</w:t>
      </w:r>
      <w:fldSimple w:instr="NOTEREF _Ref_Footnote_43 \h \f">
        <w:r>
          <w:rPr>
            <w:vertAlign w:val="superscript"/>
          </w:rPr>
          <w:t>43</w:t>
        </w:r>
      </w:fldSimple>
      <w:r>
        <w:t xml:space="preserve">。在金融市场中，这一框架被自然映射为三状态模型：牛市（Bull / Expansion）、熊市（Bear / Contraction）与震荡（Consolidation / Range-bound）。实证研究表明，采用三状态 HMM 模型的对数似然值（-5,874）显著优于双状态模型（-6,125），AIC 与 BIC 指标同样支持三状态设定</w:t>
      </w:r>
      <w:r>
        <w:rPr>
          <w:vertAlign w:val="superscript"/>
        </w:rPr>
        <w:footnoteReference w:id="44"/>
      </w:r>
      <w:r>
        <w:t xml:space="preserve">。这一结论表明，市场动态无法仅通过牛/熊双元框架充分描述，低波动盘整状态（Low-Volatility Consolidation）作为独立体制具有显著统计意义。</w:t>
      </w:r>
    </w:p>
    <w:p>
      <w:pPr>
        <w:pStyle w:val="BodyText"/>
      </w:pPr>
      <w:r>
        <w:t xml:space="preserve">HMM 体制检测在金融风险管理中的价值已通过大量实证验证。Tu（2010）的经典研究表明，忽略体制转换的动态资产配置策略每年产生 2%-10% 的隐性成本</w:t>
      </w:r>
      <w:r>
        <w:rPr>
          <w:vertAlign w:val="superscript"/>
        </w:rPr>
        <w:footnoteReference w:id="45"/>
      </w:r>
      <w:r>
        <w:t xml:space="preserve">。更为直观的证据来自策略表现对比： regime-aware 资产配置框架将最大回撤从 -56% 压缩至 -24%，相对市场的信息比率（IR）从 0.05 提升至 0.44</w:t>
      </w:r>
      <w:r>
        <w:rPr>
          <w:vertAlign w:val="superscript"/>
        </w:rPr>
        <w:footnoteReference w:id="46"/>
      </w:r>
      <w:r>
        <w:t xml:space="preserve"> </w:t>
      </w:r>
      <w:r>
        <w:rPr>
          <w:vertAlign w:val="superscript"/>
        </w:rPr>
        <w:footnoteReference w:id="47"/>
      </w:r>
      <w:r>
        <w:t xml:space="preserve">。这些数字揭示了市场状态感知能力对于量化策略研发的根本性意义——它不仅是”锦上添花”的技术特性，而是从根本上改变回测方法论的基础设施。</w:t>
      </w:r>
    </w:p>
    <w:bookmarkEnd w:id="42"/>
    <w:bookmarkStart w:id="43" w:name="多周期协同架构"/>
    <w:p>
      <w:pPr>
        <w:pStyle w:val="Heading4"/>
      </w:pPr>
      <w:r>
        <w:t xml:space="preserve">2.1.2 多周期协同架构</w:t>
      </w:r>
    </w:p>
    <w:p>
      <w:pPr>
        <w:pStyle w:val="FirstParagraph"/>
      </w:pPr>
      <w:r>
        <w:t xml:space="preserve">单一时间框架的状态检测存在显著的假阳性问题。研究表明，三时间框架分析的综合胜率达到 60%-75%，而单时间框架仅为 45% 左右</w:t>
      </w:r>
      <w:r>
        <w:rPr>
          <w:vertAlign w:val="superscript"/>
        </w:rPr>
        <w:footnoteReference w:id="48"/>
      </w:r>
      <w:r>
        <w:t xml:space="preserve">。为解决这一问题，系统采用 Top-Down 信号级联架构，遵循 1:4 或 1:6 的时间框架比例——这一比例是业界最广泛使用的配置，适用于从波段交易到高频交易的各类策略场景</w:t>
      </w:r>
      <w:r>
        <w:rPr>
          <w:vertAlign w:val="superscript"/>
        </w:rPr>
        <w:footnoteReference w:id="49"/>
      </w:r>
      <w:r>
        <w:t xml:space="preserve"> </w:t>
      </w:r>
      <w:r>
        <w:rPr>
          <w:vertAlign w:val="superscript"/>
        </w:rPr>
        <w:footnoteReference w:id="50"/>
      </w:r>
      <w:r>
        <w:t xml:space="preserve">。</w:t>
      </w:r>
    </w:p>
    <w:p>
      <w:pPr>
        <w:pStyle w:val="BodyText"/>
      </w:pPr>
      <w:r>
        <w:t xml:space="preserve">多周期协同的核心是信号评分聚合算法。系统在每个时间框架上计算趋势评分（+1 看涨 / -1 看跌 / 0 中性），再通过加权投票机制融合：</w:t>
      </w:r>
    </w:p>
    <w:p>
      <w:pPr>
        <w:pStyle w:val="BodyText"/>
      </w:pPr>
      <m:oMathPara>
        <m:oMathParaPr>
          <m:jc m:val="center"/>
        </m:oMathParaPr>
        <m:oMath>
          <m:r>
            <m:rPr>
              <m:nor/>
              <m:sty m:val="p"/>
            </m:rPr>
            <m:t>composite_score</m:t>
          </m:r>
          <m:r>
            <m:rPr>
              <m:sty m:val="p"/>
            </m:rPr>
            <m:t>=</m:t>
          </m:r>
          <m:nary>
            <m:naryPr>
              <m:chr m:val="∑"/>
              <m:limLoc m:val="undOvr"/>
              <m:subHide m:val="0"/>
              <m:supHide m:val="1"/>
            </m:naryPr>
            <m:sub>
              <m:r>
                <m:t>T</m:t>
              </m:r>
              <m:r>
                <m:t>F</m:t>
              </m:r>
            </m:sub>
            <m:sup>
              <m:r>
                <m:t>​</m:t>
              </m:r>
            </m:sup>
            <m:e>
              <m:sSub>
                <m:e>
                  <m:r>
                    <m:t>w</m:t>
                  </m:r>
                </m:e>
                <m:sub>
                  <m:r>
                    <m:t>T</m:t>
                  </m:r>
                  <m:r>
                    <m:t>F</m:t>
                  </m:r>
                </m:sub>
              </m:sSub>
            </m:e>
          </m:nary>
          <m:r>
            <m:rPr>
              <m:sty m:val="p"/>
            </m:rPr>
            <m:t>⋅</m:t>
          </m:r>
          <m:sSub>
            <m:e>
              <m:r>
                <m:rPr>
                  <m:nor/>
                  <m:sty m:val="p"/>
                </m:rPr>
                <m:t>signal</m:t>
              </m:r>
            </m:e>
            <m:sub>
              <m:r>
                <m:t>T</m:t>
              </m:r>
              <m:r>
                <m:t>F</m:t>
              </m:r>
            </m:sub>
          </m:sSub>
        </m:oMath>
      </m:oMathPara>
    </w:p>
    <w:p>
      <w:pPr>
        <w:pStyle w:val="FirstParagraph"/>
      </w:pPr>
      <w:r>
        <w:t xml:space="preserve">权重分配遵循”更可靠、更低波动的时间框架获得更高权重”的原则</w:t>
      </w:r>
      <w:r>
        <w:rPr>
          <w:vertAlign w:val="superscript"/>
        </w:rPr>
        <w:footnoteReference w:id="51"/>
      </w:r>
      <w:r>
        <w:t xml:space="preserve">：</w:t>
      </w:r>
    </w:p>
    <w:p>
      <w:pPr>
        <w:pStyle w:val="BodyText"/>
      </w:pPr>
      <m:oMathPara>
        <m:oMathParaPr>
          <m:jc m:val="center"/>
        </m:oMathParaPr>
        <m:oMath>
          <m:sSub>
            <m:e>
              <m:r>
                <m:t>w</m:t>
              </m:r>
            </m:e>
            <m:sub>
              <m:r>
                <m:t>T</m:t>
              </m:r>
              <m:r>
                <m:t>F</m:t>
              </m:r>
            </m:sub>
          </m:sSub>
          <m:r>
            <m:rPr>
              <m:sty m:val="p"/>
            </m:rPr>
            <m:t>∝</m:t>
          </m:r>
          <m:f>
            <m:fPr>
              <m:type m:val="bar"/>
            </m:fPr>
            <m:num>
              <m:sSub>
                <m:e>
                  <m:r>
                    <m:rPr>
                      <m:nor/>
                      <m:sty m:val="p"/>
                    </m:rPr>
                    <m:t>reliability</m:t>
                  </m:r>
                </m:e>
                <m:sub>
                  <m:r>
                    <m:t>T</m:t>
                  </m:r>
                  <m:r>
                    <m:t>F</m:t>
                  </m:r>
                </m:sub>
              </m:sSub>
            </m:num>
            <m:den>
              <m:sSub>
                <m:e>
                  <m:r>
                    <m:rPr>
                      <m:nor/>
                      <m:sty m:val="p"/>
                    </m:rPr>
                    <m:t>volatility</m:t>
                  </m:r>
                </m:e>
                <m:sub>
                  <m:r>
                    <m:t>T</m:t>
                  </m:r>
                  <m:r>
                    <m:t>F</m:t>
                  </m:r>
                </m:sub>
              </m:sSub>
            </m:den>
          </m:f>
        </m:oMath>
      </m:oMathPara>
    </w:p>
    <w:p>
      <w:pPr>
        <w:pStyle w:val="FirstParagraph"/>
      </w:pPr>
      <w:r>
        <w:t xml:space="preserve">Alignment Score 评分系统提供了量化的交易信号强度度量。当所有时间框架一致看涨（Alignment Score = +3）时，多头策略的 10 日胜率可达 72%、平均收益 +3.8%；而 Score 为 0 的中性状态下，胜率仅 48%、平均收益 -0.2%</w:t>
      </w:r>
      <w:fldSimple w:instr="NOTEREF _Ref_Footnote_48 \h \f">
        <w:r>
          <w:rPr>
            <w:vertAlign w:val="superscript"/>
          </w:rPr>
          <w:t>48</w:t>
        </w:r>
      </w:fldSimple>
      <w:r>
        <w:t xml:space="preserve">。这种非线性关系表明，多周期一致性是策略执行质量的关键预测因子。</w:t>
      </w:r>
    </w:p>
    <w:p>
      <w:pPr>
        <w:pStyle w:val="BodyText"/>
      </w:pPr>
      <w:r>
        <w:t xml:space="preserve">冲突解决机制设计了四条核心规则</w:t>
      </w:r>
      <w:fldSimple w:instr="NOTEREF _Ref_Footnote_51 \h \f">
        <w:r>
          <w:rPr>
            <w:vertAlign w:val="superscript"/>
          </w:rPr>
          <w:t>51</w:t>
        </w:r>
      </w:fldSimple>
      <w:r>
        <w:t xml:space="preserve">：</w:t>
      </w:r>
      <w:r>
        <w:rPr>
          <w:bCs/>
          <w:b/>
        </w:rPr>
        <w:t xml:space="preserve">Macro Bias Override</w:t>
      </w:r>
      <w:r>
        <w:t xml:space="preserve">（若高层时间框架一致看涨，忽略低层看跌信号）、</w:t>
      </w:r>
      <w:r>
        <w:rPr>
          <w:bCs/>
          <w:b/>
        </w:rPr>
        <w:t xml:space="preserve">Regime-Shift Lock</w:t>
      </w:r>
      <w:r>
        <w:t xml:space="preserve">（EMA50×89 交叉期间只取交叉方向信号）、</w:t>
      </w:r>
      <w:r>
        <w:rPr>
          <w:bCs/>
          <w:b/>
        </w:rPr>
        <w:t xml:space="preserve">Conflict Cool-Down</w:t>
      </w:r>
      <w:r>
        <w:t xml:space="preserve">（冲突信号超过阈值后暂停 N 个 bar 不做新单）、</w:t>
      </w:r>
      <w:r>
        <w:rPr>
          <w:bCs/>
          <w:b/>
        </w:rPr>
        <w:t xml:space="preserve">Progressive Escalation</w:t>
      </w:r>
      <w:r>
        <w:t xml:space="preserve">（更长周期入场需要更高共识度）。这四条规则构成了从信号生成到执行决策的完整过滤链，有效降低了单一时间框架假信号对策略表现的侵蚀。</w:t>
      </w:r>
    </w:p>
    <w:bookmarkEnd w:id="43"/>
    <w:bookmarkStart w:id="44" w:name="实时检测实现"/>
    <w:p>
      <w:pPr>
        <w:pStyle w:val="Heading4"/>
      </w:pPr>
      <w:r>
        <w:t xml:space="preserve">2.1.3 实时检测实现</w:t>
      </w:r>
    </w:p>
    <w:p>
      <w:pPr>
        <w:pStyle w:val="FirstParagraph"/>
      </w:pPr>
      <w:r>
        <w:t xml:space="preserve">系统的实时状态检测层采用 GaussianHMM 作为基线模型，核心参数设置为：n_components=3（对应 Low-Volatility Consolidation / Bullish Expansion / Bearish Correction 三状态）、covariance_type=</w:t>
      </w:r>
      <w:r>
        <w:t xml:space="preserve">“</w:t>
      </w:r>
      <w:r>
        <w:t xml:space="preserve">full</w:t>
      </w:r>
      <w:r>
        <w:t xml:space="preserve">”</w:t>
      </w:r>
      <w:r>
        <w:t xml:space="preserve">（完整协方差矩阵）、n_iter=1000（Baum-Welch EM 算法最大迭代次数）</w:t>
      </w:r>
      <w:r>
        <w:rPr>
          <w:vertAlign w:val="superscript"/>
        </w:rPr>
        <w:footnoteReference w:id="52"/>
      </w:r>
      <w:r>
        <w:t xml:space="preserve"> </w:t>
      </w:r>
      <w:r>
        <w:rPr>
          <w:vertAlign w:val="superscript"/>
        </w:rPr>
        <w:footnoteReference w:id="53"/>
      </w:r>
      <w:r>
        <w:t xml:space="preserve">。特征向量包含四个维度：对数收益率（Returns）、滚动波动率（Rolling Volatility）、平均真实波幅（ATR）与成交量比率（Volume Ratio）</w:t>
      </w:r>
      <w:r>
        <w:rPr>
          <w:vertAlign w:val="superscript"/>
        </w:rPr>
        <w:footnoteReference w:id="54"/>
      </w:r>
      <w:r>
        <w:t xml:space="preserve">。</w:t>
      </w:r>
    </w:p>
    <w:p>
      <w:pPr>
        <w:pStyle w:val="BodyText"/>
      </w:pPr>
      <w:r>
        <w:t xml:space="preserve">在线学习采用”混合方案”策略</w:t>
      </w:r>
      <w:fldSimple w:instr="NOTEREF _Ref_Footnote_52 \h \f">
        <w:r>
          <w:rPr>
            <w:vertAlign w:val="superscript"/>
          </w:rPr>
          <w:t>52</w:t>
        </w:r>
      </w:fldSimple>
      <w:r>
        <w:t xml:space="preserve"> </w:t>
      </w:r>
      <w:fldSimple w:instr="NOTEREF _Ref_Footnote_45 \h \f">
        <w:r>
          <w:rPr>
            <w:vertAlign w:val="superscript"/>
          </w:rPr>
          <w:t>45</w:t>
        </w:r>
      </w:fldSimple>
      <w:r>
        <w:t xml:space="preserve">：日内使用</w:t>
      </w:r>
      <w:r>
        <w:t xml:space="preserve"> </w:t>
      </w:r>
      <w:r>
        <w:rPr>
          <w:rStyle w:val="VerbatimChar"/>
        </w:rPr>
        <w:t xml:space="preserve">predict_proba()</w:t>
      </w:r>
      <w:r>
        <w:t xml:space="preserve"> </w:t>
      </w:r>
      <w:r>
        <w:t xml:space="preserve">进行状态概率传播，每交易日收盘后使用滑动窗口（252 个交易日）更新模型，每周/每月进行完整重训练和 BIC 状态数选择。这种分层更新策略在延迟与精度之间取得平衡——状态概率传播的延迟极低，而定期重训练确保模型对新数据模式保持敏感。</w:t>
      </w:r>
    </w:p>
    <w:p>
      <w:pPr>
        <w:pStyle w:val="BodyText"/>
      </w:pPr>
      <w:r>
        <w:t xml:space="preserve">在 HMM 基线之上，系统引入 AFRN-HyperFlow 框架作为深度学习增强模块</w:t>
      </w:r>
      <w:r>
        <w:rPr>
          <w:vertAlign w:val="superscript"/>
        </w:rPr>
        <w:footnoteReference w:id="55"/>
      </w:r>
      <w:r>
        <w:t xml:space="preserve"> </w:t>
      </w:r>
      <w:r>
        <w:rPr>
          <w:vertAlign w:val="superscript"/>
        </w:rPr>
        <w:footnoteReference w:id="56"/>
      </w:r>
      <w:r>
        <w:t xml:space="preserve">。该框架整合五大神经网络组件：Echo State Networks（ESN，时序模式识别，贡献 9.47% 性能提升）、Temporal Convolutional Networks（长程依赖建模）、Mixture Density Networks（不确定性量化）、Hypernetworks（动态参数自适应，贡献 8.21% 性能提升）以及 Deep State-Space Models（潜变量动态建模）。AFRN-HyperFlow 在体制转换检测上达到 87.2% 的准确率，平均检测滞后仅 2.8 个交易日（对比 HMM 的 4.1 天），对波动率突发的响应时间为 1.8 个交易日（对比传统方法的 5.2 天），假阳性率降至 8.4%（对比 HMM 的 13.6%）</w:t>
      </w:r>
      <w:fldSimple w:instr="NOTEREF _Ref_Footnote_55 \h \f">
        <w:r>
          <w:rPr>
            <w:vertAlign w:val="superscript"/>
          </w:rPr>
          <w:t>55</w:t>
        </w:r>
      </w:fldSimple>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方法</w:t>
            </w:r>
          </w:p>
        </w:tc>
        <w:tc>
          <w:tcPr/>
          <w:p>
            <w:pPr>
              <w:pStyle w:val="Compact"/>
              <w:jc w:val="center"/>
            </w:pPr>
            <w:r>
              <w:t xml:space="preserve">检测准确率</w:t>
            </w:r>
          </w:p>
        </w:tc>
        <w:tc>
          <w:tcPr/>
          <w:p>
            <w:pPr>
              <w:pStyle w:val="Compact"/>
              <w:jc w:val="center"/>
            </w:pPr>
            <w:r>
              <w:t xml:space="preserve">平均滞后（天）</w:t>
            </w:r>
          </w:p>
        </w:tc>
        <w:tc>
          <w:tcPr/>
          <w:p>
            <w:pPr>
              <w:pStyle w:val="Compact"/>
              <w:jc w:val="center"/>
            </w:pPr>
            <w:r>
              <w:t xml:space="preserve">假阳性率</w:t>
            </w:r>
          </w:p>
        </w:tc>
        <w:tc>
          <w:tcPr/>
          <w:p>
            <w:pPr>
              <w:pStyle w:val="Compact"/>
              <w:jc w:val="center"/>
            </w:pPr>
            <w:r>
              <w:t xml:space="preserve">F1-Score</w:t>
            </w:r>
          </w:p>
        </w:tc>
      </w:tr>
      <w:tr>
        <w:tc>
          <w:tcPr/>
          <w:p>
            <w:pPr>
              <w:pStyle w:val="Compact"/>
              <w:jc w:val="left"/>
            </w:pPr>
            <w:r>
              <w:t xml:space="preserve">Markov Regime-Switching</w:t>
            </w:r>
          </w:p>
        </w:tc>
        <w:tc>
          <w:tcPr/>
          <w:p>
            <w:pPr>
              <w:pStyle w:val="Compact"/>
              <w:jc w:val="center"/>
            </w:pPr>
            <w:r>
              <w:t xml:space="preserve">76.4%</w:t>
            </w:r>
          </w:p>
        </w:tc>
        <w:tc>
          <w:tcPr/>
          <w:p>
            <w:pPr>
              <w:pStyle w:val="Compact"/>
              <w:jc w:val="center"/>
            </w:pPr>
            <w:r>
              <w:t xml:space="preserve">4.6</w:t>
            </w:r>
          </w:p>
        </w:tc>
        <w:tc>
          <w:tcPr/>
          <w:p>
            <w:pPr>
              <w:pStyle w:val="Compact"/>
              <w:jc w:val="center"/>
            </w:pPr>
            <w:r>
              <w:t xml:space="preserve">15.7%</w:t>
            </w:r>
          </w:p>
        </w:tc>
        <w:tc>
          <w:tcPr/>
          <w:p>
            <w:pPr>
              <w:pStyle w:val="Compact"/>
              <w:jc w:val="center"/>
            </w:pPr>
            <w:r>
              <w:t xml:space="preserve">0.753</w:t>
            </w:r>
          </w:p>
        </w:tc>
      </w:tr>
      <w:tr>
        <w:tc>
          <w:tcPr/>
          <w:p>
            <w:pPr>
              <w:pStyle w:val="Compact"/>
              <w:jc w:val="left"/>
            </w:pPr>
            <w:r>
              <w:t xml:space="preserve">Threshold VAR</w:t>
            </w:r>
          </w:p>
        </w:tc>
        <w:tc>
          <w:tcPr/>
          <w:p>
            <w:pPr>
              <w:pStyle w:val="Compact"/>
              <w:jc w:val="center"/>
            </w:pPr>
            <w:r>
              <w:t xml:space="preserve">71.3%</w:t>
            </w:r>
          </w:p>
        </w:tc>
        <w:tc>
          <w:tcPr/>
          <w:p>
            <w:pPr>
              <w:pStyle w:val="Compact"/>
              <w:jc w:val="center"/>
            </w:pPr>
            <w:r>
              <w:t xml:space="preserve">5.3</w:t>
            </w:r>
          </w:p>
        </w:tc>
        <w:tc>
          <w:tcPr/>
          <w:p>
            <w:pPr>
              <w:pStyle w:val="Compact"/>
              <w:jc w:val="center"/>
            </w:pPr>
            <w:r>
              <w:t xml:space="preserve">18.2%</w:t>
            </w:r>
          </w:p>
        </w:tc>
        <w:tc>
          <w:tcPr/>
          <w:p>
            <w:pPr>
              <w:pStyle w:val="Compact"/>
              <w:jc w:val="center"/>
            </w:pPr>
            <w:r>
              <w:t xml:space="preserve">0.699</w:t>
            </w:r>
          </w:p>
        </w:tc>
      </w:tr>
      <w:tr>
        <w:tc>
          <w:tcPr/>
          <w:p>
            <w:pPr>
              <w:pStyle w:val="Compact"/>
              <w:jc w:val="left"/>
            </w:pPr>
            <w:r>
              <w:t xml:space="preserve">Hidden Markov Model</w:t>
            </w:r>
          </w:p>
        </w:tc>
        <w:tc>
          <w:tcPr/>
          <w:p>
            <w:pPr>
              <w:pStyle w:val="Compact"/>
              <w:jc w:val="center"/>
            </w:pPr>
            <w:r>
              <w:t xml:space="preserve">74.8%</w:t>
            </w:r>
          </w:p>
        </w:tc>
        <w:tc>
          <w:tcPr/>
          <w:p>
            <w:pPr>
              <w:pStyle w:val="Compact"/>
              <w:jc w:val="center"/>
            </w:pPr>
            <w:r>
              <w:t xml:space="preserve">4.1</w:t>
            </w:r>
          </w:p>
        </w:tc>
        <w:tc>
          <w:tcPr/>
          <w:p>
            <w:pPr>
              <w:pStyle w:val="Compact"/>
              <w:jc w:val="center"/>
            </w:pPr>
            <w:r>
              <w:t xml:space="preserve">13.6%</w:t>
            </w:r>
          </w:p>
        </w:tc>
        <w:tc>
          <w:tcPr/>
          <w:p>
            <w:pPr>
              <w:pStyle w:val="Compact"/>
              <w:jc w:val="center"/>
            </w:pPr>
            <w:r>
              <w:t xml:space="preserve">0.734</w:t>
            </w:r>
          </w:p>
        </w:tc>
      </w:tr>
      <w:tr>
        <w:tc>
          <w:tcPr/>
          <w:p>
            <w:pPr>
              <w:pStyle w:val="Compact"/>
              <w:jc w:val="left"/>
            </w:pPr>
            <w:r>
              <w:t xml:space="preserve">CUSUM Change Point</w:t>
            </w:r>
          </w:p>
        </w:tc>
        <w:tc>
          <w:tcPr/>
          <w:p>
            <w:pPr>
              <w:pStyle w:val="Compact"/>
              <w:jc w:val="center"/>
            </w:pPr>
            <w:r>
              <w:t xml:space="preserve">69.2%</w:t>
            </w:r>
          </w:p>
        </w:tc>
        <w:tc>
          <w:tcPr/>
          <w:p>
            <w:pPr>
              <w:pStyle w:val="Compact"/>
              <w:jc w:val="center"/>
            </w:pPr>
            <w:r>
              <w:t xml:space="preserve">6.7</w:t>
            </w:r>
          </w:p>
        </w:tc>
        <w:tc>
          <w:tcPr/>
          <w:p>
            <w:pPr>
              <w:pStyle w:val="Compact"/>
              <w:jc w:val="center"/>
            </w:pPr>
            <w:r>
              <w:t xml:space="preserve">21.3%</w:t>
            </w:r>
          </w:p>
        </w:tc>
        <w:tc>
          <w:tcPr/>
          <w:p>
            <w:pPr>
              <w:pStyle w:val="Compact"/>
              <w:jc w:val="center"/>
            </w:pPr>
            <w:r>
              <w:t xml:space="preserve">0.675</w:t>
            </w:r>
          </w:p>
        </w:tc>
      </w:tr>
      <w:tr>
        <w:tc>
          <w:tcPr/>
          <w:p>
            <w:pPr>
              <w:pStyle w:val="Compact"/>
              <w:jc w:val="left"/>
            </w:pPr>
            <w:r>
              <w:rPr>
                <w:bCs/>
                <w:b/>
              </w:rPr>
              <w:t xml:space="preserve">AFRN-HyperFlow</w:t>
            </w:r>
          </w:p>
        </w:tc>
        <w:tc>
          <w:tcPr/>
          <w:p>
            <w:pPr>
              <w:pStyle w:val="Compact"/>
              <w:jc w:val="center"/>
            </w:pPr>
            <w:r>
              <w:rPr>
                <w:bCs/>
                <w:b/>
              </w:rPr>
              <w:t xml:space="preserve">87.2%</w:t>
            </w:r>
          </w:p>
        </w:tc>
        <w:tc>
          <w:tcPr/>
          <w:p>
            <w:pPr>
              <w:pStyle w:val="Compact"/>
              <w:jc w:val="center"/>
            </w:pPr>
            <w:r>
              <w:rPr>
                <w:bCs/>
                <w:b/>
              </w:rPr>
              <w:t xml:space="preserve">2.8</w:t>
            </w:r>
          </w:p>
        </w:tc>
        <w:tc>
          <w:tcPr/>
          <w:p>
            <w:pPr>
              <w:pStyle w:val="Compact"/>
              <w:jc w:val="center"/>
            </w:pPr>
            <w:r>
              <w:rPr>
                <w:bCs/>
                <w:b/>
              </w:rPr>
              <w:t xml:space="preserve">8.4%</w:t>
            </w:r>
          </w:p>
        </w:tc>
        <w:tc>
          <w:tcPr/>
          <w:p>
            <w:pPr>
              <w:pStyle w:val="Compact"/>
              <w:jc w:val="center"/>
            </w:pPr>
            <w:r>
              <w:rPr>
                <w:bCs/>
                <w:b/>
              </w:rPr>
              <w:t xml:space="preserve">0.853</w:t>
            </w:r>
          </w:p>
        </w:tc>
      </w:tr>
    </w:tbl>
    <w:p>
      <w:pPr>
        <w:pStyle w:val="BodyText"/>
      </w:pPr>
      <w:r>
        <w:rPr>
          <w:iCs/>
          <w:i/>
        </w:rPr>
        <w:t xml:space="preserve">数据来源：Sun et al.,</w:t>
      </w:r>
      <w:r>
        <w:rPr>
          <w:iCs/>
          <w:i/>
        </w:rPr>
        <w:t xml:space="preserve"> </w:t>
      </w:r>
      <w:r>
        <w:rPr>
          <w:iCs/>
          <w:i/>
        </w:rPr>
        <w:t xml:space="preserve">“</w:t>
      </w:r>
      <w:r>
        <w:rPr>
          <w:iCs/>
          <w:i/>
        </w:rPr>
        <w:t xml:space="preserve">AFRN-HyperFlow,</w:t>
      </w:r>
      <w:r>
        <w:rPr>
          <w:iCs/>
          <w:i/>
        </w:rPr>
        <w:t xml:space="preserve">”</w:t>
      </w:r>
      <w:r>
        <w:rPr>
          <w:iCs/>
          <w:i/>
        </w:rPr>
        <w:t xml:space="preserve"> </w:t>
      </w:r>
      <w:r>
        <w:rPr>
          <w:iCs/>
          <w:i/>
        </w:rPr>
        <w:t xml:space="preserve">MDPI Axioms 2025</w:t>
      </w:r>
      <w:fldSimple w:instr="NOTEREF _Ref_Footnote_56 \h \f">
        <w:r>
          <w:rPr>
            <w:vertAlign w:val="superscript"/>
          </w:rPr>
          <w:t>56</w:t>
        </w:r>
      </w:fldSimple>
    </w:p>
    <w:p>
      <w:pPr>
        <w:pStyle w:val="BodyText"/>
      </w:pPr>
      <w:r>
        <w:t xml:space="preserve">上表清晰展示了各方法在体制检测核心指标上的差异。AFRN-HyperFlow 在准确率上较 HMM 基准提升 12.4 个百分点，检测滞后缩短 31.7%，F1-Score 提升 0.119。这一性能优势使其成为系统深度学习增强层的标准配置。</w:t>
      </w:r>
    </w:p>
    <w:bookmarkEnd w:id="44"/>
    <w:bookmarkStart w:id="45" w:name="策略路由机制"/>
    <w:p>
      <w:pPr>
        <w:pStyle w:val="Heading4"/>
      </w:pPr>
      <w:r>
        <w:t xml:space="preserve">2.1.4 策略路由机制</w:t>
      </w:r>
    </w:p>
    <w:p>
      <w:pPr>
        <w:pStyle w:val="FirstParagraph"/>
      </w:pPr>
      <w:r>
        <w:t xml:space="preserve">Market State 引擎的最终输出并非状态标签本身，而是状态到策略的自动映射。系统实现</w:t>
      </w:r>
      <w:r>
        <w:t xml:space="preserve"> </w:t>
      </w:r>
      <w:r>
        <w:rPr>
          <w:rStyle w:val="VerbatimChar"/>
        </w:rPr>
        <w:t xml:space="preserve">RegimeStrategyRouter</w:t>
      </w:r>
      <w:r>
        <w:t xml:space="preserve"> </w:t>
      </w:r>
      <w:r>
        <w:t xml:space="preserve">类，将检测到的 regime 映射至对应的策略实例</w:t>
      </w:r>
      <w:r>
        <w:rPr>
          <w:vertAlign w:val="superscript"/>
        </w:rPr>
        <w:footnoteReference w:id="57"/>
      </w:r>
      <w:r>
        <w:t xml:space="preserve">。路由逻辑遵循置信度分层：当 regime 置信度高于 75% 时分配满仓策略，50%-75% 时减仓至 60%，低于 50% 时切换至中性策略并缩至 30% 仓位</w:t>
      </w:r>
      <w:fldSimple w:instr="NOTEREF _Ref_Footnote_45 \h \f">
        <w:r>
          <w:rPr>
            <w:vertAlign w:val="superscript"/>
          </w:rPr>
          <w:t>45</w:t>
        </w:r>
      </w:fldSimple>
      <w:r>
        <w:t xml:space="preserve">。</w:t>
      </w:r>
    </w:p>
    <w:p>
      <w:pPr>
        <w:pStyle w:val="BodyText"/>
      </w:pPr>
      <w:r>
        <w:t xml:space="preserve">策略路由的量化依据来自 regime 条件策略性能数据</w:t>
      </w:r>
      <w:fldSimple w:instr="NOTEREF _Ref_Footnote_57 \h \f">
        <w:r>
          <w:rPr>
            <w:vertAlign w:val="superscript"/>
          </w:rPr>
          <w:t>57</w:t>
        </w:r>
      </w:fldSimple>
      <w:r>
        <w:t xml:space="preserve">。同一策略在不同 regime 下的 Sharpe ratio 差异可达 4.75 个单位——以 Short-Vol 策略为例，其在 Trending Low-Vol 状态下 Sharpe 为 1.94，而在 Crisis 状态下为 -2.81。这种极端差异揭示了 regime-aware 策略选择的必要性：Momentum 策略在 Trending Low-Vol 状态下 Sharpe 达 1.82，但在 Choppy High-Vol 状态下为 -0.41；而 Mean-Reversion 策略在 Range-Bound Low-Vol 状态下 Sharpe 达 1.12，在 Crisis 状态下则暴跌至 -1.43。</w:t>
      </w:r>
    </w:p>
    <w:p>
      <w:pPr>
        <w:pStyle w:val="BodyText"/>
      </w:pPr>
      <w:r>
        <w:t xml:space="preserve">VolatilityRegimeStrategy 作为实践案例展示了 regime 路由的具体实现。该策略首先通过 GaussianHMM 检测当前波动率 regime（Low-Vol / Normal / High-Vol），然后根据 regime 切换交易模式：Low-Vol 状态下采用趋势跟随+Short-Vol 组合，Normal 状态下运行标准均值回归策略，High-Vol 状态下切换至保护性对冲模式。这种 regime 条件执行使策略在不同市场环境下维持相对稳定的收益特征，有效避免了单一策略在不适配 regime 中的持续亏损。</w:t>
      </w:r>
    </w:p>
    <w:bookmarkEnd w:id="45"/>
    <w:bookmarkEnd w:id="46"/>
    <w:bookmarkStart w:id="54" w:name="miss-拆解框架"/>
    <w:p>
      <w:pPr>
        <w:pStyle w:val="Heading3"/>
      </w:pPr>
      <w:r>
        <w:t xml:space="preserve">2.2 MISS 拆解框架</w:t>
      </w:r>
    </w:p>
    <w:bookmarkStart w:id="47" w:name="框架定义"/>
    <w:p>
      <w:pPr>
        <w:pStyle w:val="Heading4"/>
      </w:pPr>
      <w:r>
        <w:t xml:space="preserve">2.2.1 框架定义</w:t>
      </w:r>
    </w:p>
    <w:p>
      <w:pPr>
        <w:pStyle w:val="FirstParagraph"/>
      </w:pPr>
      <w:r>
        <w:t xml:space="preserve">Market Information State Segmentation（MISS）是一个原创性的市场信息状态分割与识别框架，其形式化定义为一个六元组：</w:t>
      </w:r>
    </w:p>
    <w:p>
      <w:pPr>
        <w:pStyle w:val="BodyText"/>
      </w:pPr>
      <m:oMathPara>
        <m:oMathParaPr>
          <m:jc m:val="center"/>
        </m:oMathParaPr>
        <m:oMath>
          <m:r>
            <m:rPr>
              <m:sty m:val="p"/>
              <m:scr m:val="script"/>
            </m:rPr>
            <m:t>M</m:t>
          </m:r>
          <m:r>
            <m:rPr>
              <m:sty m:val="p"/>
              <m:scr m:val="script"/>
            </m:rPr>
            <m:t>I</m:t>
          </m:r>
          <m:r>
            <m:rPr>
              <m:sty m:val="p"/>
              <m:scr m:val="script"/>
            </m:rPr>
            <m:t>S</m:t>
          </m:r>
          <m:r>
            <m:rPr>
              <m:sty m:val="p"/>
              <m:scr m:val="script"/>
            </m:rPr>
            <m:t>S</m:t>
          </m:r>
          <m:r>
            <m:rPr>
              <m:sty m:val="p"/>
            </m:rPr>
            <m:t>=</m:t>
          </m:r>
          <m:d>
            <m:dPr>
              <m:begChr m:val="("/>
              <m:endChr m:val=")"/>
              <m:sepChr m:val=""/>
              <m:grow/>
            </m:dPr>
            <m:e>
              <m:r>
                <m:rPr>
                  <m:sty m:val="p"/>
                  <m:scr m:val="script"/>
                </m:rPr>
                <m:t>S</m:t>
              </m:r>
              <m:r>
                <m:rPr>
                  <m:sty m:val="p"/>
                </m:rPr>
                <m:t>,</m:t>
              </m:r>
              <m:r>
                <m:rPr>
                  <m:sty m:val="p"/>
                  <m:scr m:val="script"/>
                </m:rPr>
                <m:t>D</m:t>
              </m:r>
              <m:r>
                <m:rPr>
                  <m:sty m:val="p"/>
                </m:rPr>
                <m:t>,</m:t>
              </m:r>
              <m:r>
                <m:rPr>
                  <m:sty m:val="p"/>
                  <m:scr m:val="script"/>
                </m:rPr>
                <m:t>F</m:t>
              </m:r>
              <m:r>
                <m:rPr>
                  <m:sty m:val="p"/>
                </m:rPr>
                <m:t>,</m:t>
              </m:r>
              <m:r>
                <m:rPr>
                  <m:sty m:val="p"/>
                  <m:scr m:val="script"/>
                </m:rPr>
                <m:t>T</m:t>
              </m:r>
              <m:r>
                <m:rPr>
                  <m:sty m:val="p"/>
                </m:rPr>
                <m:t>,</m:t>
              </m:r>
              <m:r>
                <m:rPr>
                  <m:sty m:val="p"/>
                  <m:scr m:val="script"/>
                </m:rPr>
                <m:t>M</m:t>
              </m:r>
              <m:r>
                <m:rPr>
                  <m:sty m:val="p"/>
                </m:rPr>
                <m:t>,</m:t>
              </m:r>
              <m:r>
                <m:rPr>
                  <m:sty m:val="p"/>
                  <m:scr m:val="script"/>
                </m:rPr>
                <m:t>R</m:t>
              </m:r>
            </m:e>
          </m:d>
        </m:oMath>
      </m:oMathPara>
    </w:p>
    <w:p>
      <w:pPr>
        <w:pStyle w:val="FirstParagraph"/>
      </w:pPr>
      <w:r>
        <w:t xml:space="preserve">其中</w:t>
      </w:r>
      <w:r>
        <w:t xml:space="preserve"> </w:t>
      </w:r>
      <m:oMath>
        <m:r>
          <m:rPr>
            <m:sty m:val="p"/>
            <m:scr m:val="script"/>
          </m:rPr>
          <m:t>S</m:t>
        </m:r>
      </m:oMath>
      <w:r>
        <w:t xml:space="preserve"> </w:t>
      </w:r>
      <w:r>
        <w:t xml:space="preserve">为状态空间——市场所有可能状态的集合，通过四个正交维度的笛卡尔积定义：</w:t>
      </w:r>
      <m:oMath>
        <m:r>
          <m:rPr>
            <m:sty m:val="p"/>
            <m:scr m:val="script"/>
          </m:rPr>
          <m:t>S</m:t>
        </m:r>
        <m:r>
          <m:rPr>
            <m:sty m:val="p"/>
          </m:rPr>
          <m:t>=</m:t>
        </m:r>
        <m:r>
          <m:rPr>
            <m:sty m:val="p"/>
            <m:scr m:val="script"/>
          </m:rPr>
          <m:t>P</m:t>
        </m:r>
        <m:r>
          <m:rPr>
            <m:sty m:val="p"/>
          </m:rPr>
          <m:t>×</m:t>
        </m:r>
        <m:r>
          <m:rPr>
            <m:sty m:val="p"/>
            <m:scr m:val="script"/>
          </m:rPr>
          <m:t>V</m:t>
        </m:r>
        <m:r>
          <m:rPr>
            <m:sty m:val="p"/>
          </m:rPr>
          <m:t>×</m:t>
        </m:r>
        <m:r>
          <m:rPr>
            <m:sty m:val="p"/>
            <m:scr m:val="script"/>
          </m:rPr>
          <m:t>L</m:t>
        </m:r>
        <m:r>
          <m:rPr>
            <m:sty m:val="p"/>
          </m:rPr>
          <m:t>×</m:t>
        </m:r>
        <m:r>
          <m:rPr>
            <m:sty m:val="p"/>
            <m:scr m:val="script"/>
          </m:rPr>
          <m:t>I</m:t>
        </m:r>
      </m:oMath>
      <w:r>
        <w:t xml:space="preserve">；</w:t>
      </w:r>
      <m:oMath>
        <m:r>
          <m:rPr>
            <m:sty m:val="p"/>
            <m:scr m:val="script"/>
          </m:rPr>
          <m:t>D</m:t>
        </m:r>
        <m:r>
          <m:rPr>
            <m:sty m:val="p"/>
          </m:rPr>
          <m:t>=</m:t>
        </m:r>
        <m:r>
          <m:rPr>
            <m:sty m:val="p"/>
          </m:rPr>
          <m:t>{</m:t>
        </m:r>
        <m:r>
          <m:t>P</m:t>
        </m:r>
        <m:r>
          <m:rPr>
            <m:sty m:val="p"/>
          </m:rPr>
          <m:t>,</m:t>
        </m:r>
        <m:r>
          <m:t>V</m:t>
        </m:r>
        <m:r>
          <m:rPr>
            <m:sty m:val="p"/>
          </m:rPr>
          <m:t>,</m:t>
        </m:r>
        <m:r>
          <m:t>L</m:t>
        </m:r>
        <m:r>
          <m:rPr>
            <m:sty m:val="p"/>
          </m:rPr>
          <m:t>,</m:t>
        </m:r>
        <m:r>
          <m:t>I</m:t>
        </m:r>
        <m:r>
          <m:rPr>
            <m:sty m:val="p"/>
          </m:rPr>
          <m:t>}</m:t>
        </m:r>
      </m:oMath>
      <w:r>
        <w:t xml:space="preserve"> </w:t>
      </w:r>
      <w:r>
        <w:t xml:space="preserve">为维度集合；</w:t>
      </w:r>
      <m:oMath>
        <m:r>
          <m:rPr>
            <m:sty m:val="p"/>
            <m:scr m:val="script"/>
          </m:rPr>
          <m:t>F</m:t>
        </m:r>
      </m:oMath>
      <w:r>
        <w:t xml:space="preserve"> </w:t>
      </w:r>
      <w:r>
        <w:t xml:space="preserve">为从原始市场数据到维度特征的映射函数族；</w:t>
      </w:r>
      <m:oMath>
        <m:r>
          <m:rPr>
            <m:sty m:val="p"/>
            <m:scr m:val="script"/>
          </m:rPr>
          <m:t>T</m:t>
        </m:r>
      </m:oMath>
      <w:r>
        <w:t xml:space="preserve"> </w:t>
      </w:r>
      <w:r>
        <w:t xml:space="preserve">为描述状态间转移概率的矩阵集合；</w:t>
      </w:r>
      <m:oMath>
        <m:r>
          <m:rPr>
            <m:sty m:val="p"/>
            <m:scr m:val="script"/>
          </m:rPr>
          <m:t>M</m:t>
        </m:r>
      </m:oMath>
      <w:r>
        <w:t xml:space="preserve"> </w:t>
      </w:r>
      <w:r>
        <w:t xml:space="preserve">为多维度状态综合评分与置信度计算模型；</w:t>
      </w:r>
      <m:oMath>
        <m:r>
          <m:rPr>
            <m:sty m:val="p"/>
            <m:scr m:val="script"/>
          </m:rPr>
          <m:t>R</m:t>
        </m:r>
      </m:oMath>
      <w:r>
        <w:t xml:space="preserve"> </w:t>
      </w:r>
      <w:r>
        <w:t xml:space="preserve">为从状态组合到策略推荐的映射关系。</w:t>
      </w:r>
    </w:p>
    <w:p>
      <w:pPr>
        <w:pStyle w:val="BodyText"/>
      </w:pPr>
      <w:r>
        <w:t xml:space="preserve">在任意时刻</w:t>
      </w:r>
      <w:r>
        <w:t xml:space="preserve"> </w:t>
      </w:r>
      <m:oMath>
        <m:r>
          <m:t>t</m:t>
        </m:r>
      </m:oMath>
      <w:r>
        <w:t xml:space="preserve">，MISS 状态表示为一个结构化状态向量：</w:t>
      </w:r>
    </w:p>
    <w:p>
      <w:pPr>
        <w:pStyle w:val="BodyText"/>
      </w:pPr>
      <m:oMathPara>
        <m:oMathParaPr>
          <m:jc m:val="center"/>
        </m:oMathParaPr>
        <m:oMath>
          <m:sSub>
            <m:e>
              <m:r>
                <m:rPr>
                  <m:sty m:val="b"/>
                </m:rPr>
                <m:t>S</m:t>
              </m:r>
            </m:e>
            <m:sub>
              <m:r>
                <m:t>t</m:t>
              </m:r>
            </m:sub>
          </m:sSub>
          <m:r>
            <m:rPr>
              <m:sty m:val="p"/>
            </m:rPr>
            <m:t>=</m:t>
          </m:r>
          <m:d>
            <m:dPr>
              <m:begChr m:val="["/>
              <m:endChr m:val="]"/>
              <m:sepChr m:val=""/>
              <m:grow/>
            </m:dPr>
            <m:e>
              <m:m>
                <m:mPr>
                  <m:baseJc m:val="center"/>
                  <m:plcHide m:val="1"/>
                  <m:mcs>
                    <m:mc>
                      <m:mcPr>
                        <m:mcJc m:val="center"/>
                        <m:count m:val="1"/>
                      </m:mcPr>
                    </m:mc>
                  </m:mcs>
                </m:mPr>
                <m:mr>
                  <m:e>
                    <m:sSub>
                      <m:e>
                        <m:r>
                          <m:rPr>
                            <m:sty m:val="b"/>
                          </m:rPr>
                          <m:t>p</m:t>
                        </m:r>
                      </m:e>
                      <m:sub>
                        <m:r>
                          <m:t>t</m:t>
                        </m:r>
                      </m:sub>
                    </m:sSub>
                  </m:e>
                </m:mr>
                <m:mr>
                  <m:e>
                    <m:sSub>
                      <m:e>
                        <m:r>
                          <m:rPr>
                            <m:sty m:val="b"/>
                          </m:rPr>
                          <m:t>v</m:t>
                        </m:r>
                      </m:e>
                      <m:sub>
                        <m:r>
                          <m:t>t</m:t>
                        </m:r>
                      </m:sub>
                    </m:sSub>
                  </m:e>
                </m:mr>
                <m:mr>
                  <m:e>
                    <m:sSub>
                      <m:e>
                        <m:r>
                          <m:rPr>
                            <m:sty m:val="b"/>
                          </m:rPr>
                          <m:t>ℓ</m:t>
                        </m:r>
                      </m:e>
                      <m:sub>
                        <m:r>
                          <m:t>t</m:t>
                        </m:r>
                      </m:sub>
                    </m:sSub>
                  </m:e>
                </m:mr>
                <m:mr>
                  <m:e>
                    <m:sSub>
                      <m:e>
                        <m:r>
                          <m:rPr>
                            <m:sty m:val="b"/>
                          </m:rPr>
                          <m:t>i</m:t>
                        </m:r>
                      </m:e>
                      <m:sub>
                        <m:r>
                          <m:t>t</m:t>
                        </m:r>
                      </m:sub>
                    </m:sSub>
                  </m:e>
                </m:mr>
              </m:m>
            </m:e>
          </m:d>
          <m:r>
            <m:rPr>
              <m:sty m:val="p"/>
            </m:rPr>
            <m:t>=</m:t>
          </m:r>
          <m:d>
            <m:dPr>
              <m:begChr m:val="["/>
              <m:endChr m:val="]"/>
              <m:sepChr m:val=""/>
              <m:grow/>
            </m:dPr>
            <m:e>
              <m:m>
                <m:mPr>
                  <m:baseJc m:val="center"/>
                  <m:plcHide m:val="1"/>
                  <m:mcs>
                    <m:mc>
                      <m:mcPr>
                        <m:mcJc m:val="center"/>
                        <m:count m:val="1"/>
                      </m:mcPr>
                    </m:mc>
                  </m:mcs>
                </m:mPr>
                <m:mr>
                  <m:e>
                    <m:sSubSup>
                      <m:e>
                        <m:r>
                          <m:t>s</m:t>
                        </m:r>
                      </m:e>
                      <m:sub>
                        <m:r>
                          <m:t>t</m:t>
                        </m:r>
                      </m:sub>
                      <m:sup>
                        <m:r>
                          <m:t>P</m:t>
                        </m:r>
                      </m:sup>
                    </m:sSubSup>
                  </m:e>
                </m:mr>
                <m:mr>
                  <m:e>
                    <m:sSubSup>
                      <m:e>
                        <m:r>
                          <m:t>s</m:t>
                        </m:r>
                      </m:e>
                      <m:sub>
                        <m:r>
                          <m:t>t</m:t>
                        </m:r>
                      </m:sub>
                      <m:sup>
                        <m:r>
                          <m:t>V</m:t>
                        </m:r>
                      </m:sup>
                    </m:sSubSup>
                  </m:e>
                </m:mr>
                <m:mr>
                  <m:e>
                    <m:sSubSup>
                      <m:e>
                        <m:r>
                          <m:t>s</m:t>
                        </m:r>
                      </m:e>
                      <m:sub>
                        <m:r>
                          <m:t>t</m:t>
                        </m:r>
                      </m:sub>
                      <m:sup>
                        <m:r>
                          <m:t>L</m:t>
                        </m:r>
                      </m:sup>
                    </m:sSubSup>
                  </m:e>
                </m:mr>
                <m:mr>
                  <m:e>
                    <m:sSubSup>
                      <m:e>
                        <m:r>
                          <m:t>s</m:t>
                        </m:r>
                      </m:e>
                      <m:sub>
                        <m:r>
                          <m:t>t</m:t>
                        </m:r>
                      </m:sub>
                      <m:sup>
                        <m:r>
                          <m:t>I</m:t>
                        </m:r>
                      </m:sup>
                    </m:sSubSup>
                  </m:e>
                </m:mr>
                <m:mr>
                  <m:e>
                    <m:sSubSup>
                      <m:e>
                        <m:r>
                          <m:t>c</m:t>
                        </m:r>
                      </m:e>
                      <m:sub>
                        <m:r>
                          <m:t>t</m:t>
                        </m:r>
                      </m:sub>
                      <m:sup>
                        <m:r>
                          <m:t>P</m:t>
                        </m:r>
                      </m:sup>
                    </m:sSubSup>
                  </m:e>
                </m:mr>
                <m:mr>
                  <m:e>
                    <m:sSubSup>
                      <m:e>
                        <m:r>
                          <m:t>c</m:t>
                        </m:r>
                      </m:e>
                      <m:sub>
                        <m:r>
                          <m:t>t</m:t>
                        </m:r>
                      </m:sub>
                      <m:sup>
                        <m:r>
                          <m:t>V</m:t>
                        </m:r>
                      </m:sup>
                    </m:sSubSup>
                  </m:e>
                </m:mr>
                <m:mr>
                  <m:e>
                    <m:sSubSup>
                      <m:e>
                        <m:r>
                          <m:t>c</m:t>
                        </m:r>
                      </m:e>
                      <m:sub>
                        <m:r>
                          <m:t>t</m:t>
                        </m:r>
                      </m:sub>
                      <m:sup>
                        <m:r>
                          <m:t>L</m:t>
                        </m:r>
                      </m:sup>
                    </m:sSubSup>
                  </m:e>
                </m:mr>
                <m:mr>
                  <m:e>
                    <m:sSubSup>
                      <m:e>
                        <m:r>
                          <m:t>c</m:t>
                        </m:r>
                      </m:e>
                      <m:sub>
                        <m:r>
                          <m:t>t</m:t>
                        </m:r>
                      </m:sub>
                      <m:sup>
                        <m:r>
                          <m:t>I</m:t>
                        </m:r>
                      </m:sup>
                    </m:sSubSup>
                  </m:e>
                </m:mr>
              </m:m>
            </m:e>
          </m:d>
        </m:oMath>
      </m:oMathPara>
    </w:p>
    <w:p>
      <w:pPr>
        <w:pStyle w:val="FirstParagraph"/>
      </w:pPr>
      <w:r>
        <w:t xml:space="preserve">其中</w:t>
      </w:r>
      <w:r>
        <w:t xml:space="preserve"> </w:t>
      </w:r>
      <m:oMath>
        <m:sSubSup>
          <m:e>
            <m:r>
              <m:t>s</m:t>
            </m:r>
          </m:e>
          <m:sub>
            <m:r>
              <m:t>t</m:t>
            </m:r>
          </m:sub>
          <m:sup>
            <m:r>
              <m:t>d</m:t>
            </m:r>
          </m:sup>
        </m:sSubSup>
        <m:r>
          <m:rPr>
            <m:sty m:val="p"/>
          </m:rPr>
          <m:t>∈</m:t>
        </m:r>
        <m:r>
          <m:rPr>
            <m:sty m:val="p"/>
          </m:rPr>
          <m:t>{</m:t>
        </m:r>
        <m:r>
          <m:t>1</m:t>
        </m:r>
        <m:r>
          <m:rPr>
            <m:sty m:val="p"/>
          </m:rPr>
          <m:t>,</m:t>
        </m:r>
        <m:r>
          <m:t>2</m:t>
        </m:r>
        <m:r>
          <m:rPr>
            <m:sty m:val="p"/>
          </m:rPr>
          <m:t>,</m:t>
        </m:r>
        <m:r>
          <m:rPr>
            <m:sty m:val="p"/>
          </m:rPr>
          <m:t>.</m:t>
        </m:r>
        <m:r>
          <m:rPr>
            <m:sty m:val="p"/>
          </m:rPr>
          <m:t>.</m:t>
        </m:r>
        <m:r>
          <m:rPr>
            <m:sty m:val="p"/>
          </m:rPr>
          <m:t>.</m:t>
        </m:r>
        <m:r>
          <m:rPr>
            <m:sty m:val="p"/>
          </m:rPr>
          <m:t>,</m:t>
        </m:r>
        <m:sSub>
          <m:e>
            <m:r>
              <m:t>K</m:t>
            </m:r>
          </m:e>
          <m:sub>
            <m:r>
              <m:t>d</m:t>
            </m:r>
          </m:sub>
        </m:sSub>
        <m:r>
          <m:rPr>
            <m:sty m:val="p"/>
          </m:rPr>
          <m:t>}</m:t>
        </m:r>
      </m:oMath>
      <w:r>
        <w:t xml:space="preserve"> </w:t>
      </w:r>
      <w:r>
        <w:t xml:space="preserve">为维度</w:t>
      </w:r>
      <w:r>
        <w:t xml:space="preserve"> </w:t>
      </w:r>
      <m:oMath>
        <m:r>
          <m:t>d</m:t>
        </m:r>
      </m:oMath>
      <w:r>
        <w:t xml:space="preserve"> </w:t>
      </w:r>
      <w:r>
        <w:t xml:space="preserve">的离散状态标签，</w:t>
      </w:r>
      <m:oMath>
        <m:sSubSup>
          <m:e>
            <m:r>
              <m:t>c</m:t>
            </m:r>
          </m:e>
          <m:sub>
            <m:r>
              <m:t>t</m:t>
            </m:r>
          </m:sub>
          <m:sup>
            <m:r>
              <m:t>d</m:t>
            </m:r>
          </m:sup>
        </m:sSubSup>
        <m:r>
          <m:rPr>
            <m:sty m:val="p"/>
          </m:rPr>
          <m:t>∈</m:t>
        </m:r>
        <m:d>
          <m:dPr>
            <m:begChr m:val="["/>
            <m:endChr m:val="]"/>
            <m:sepChr m:val=""/>
            <m:grow/>
          </m:dPr>
          <m:e>
            <m:r>
              <m:t>0</m:t>
            </m:r>
            <m:r>
              <m:rPr>
                <m:sty m:val="p"/>
              </m:rPr>
              <m:t>,</m:t>
            </m:r>
            <m:r>
              <m:t>1</m:t>
            </m:r>
          </m:e>
        </m:d>
      </m:oMath>
      <w:r>
        <w:t xml:space="preserve"> </w:t>
      </w:r>
      <w:r>
        <w:t xml:space="preserve">为该维度状态分类的置信度。状态空间的总组合数为</w:t>
      </w:r>
      <w:r>
        <w:t xml:space="preserve"> </w:t>
      </w:r>
      <m:oMath>
        <m:r>
          <m:t>8</m:t>
        </m:r>
        <m:r>
          <m:rPr>
            <m:sty m:val="p"/>
          </m:rPr>
          <m:t>×</m:t>
        </m:r>
        <m:r>
          <m:t>6</m:t>
        </m:r>
        <m:r>
          <m:rPr>
            <m:sty m:val="p"/>
          </m:rPr>
          <m:t>×</m:t>
        </m:r>
        <m:r>
          <m:t>6</m:t>
        </m:r>
        <m:r>
          <m:rPr>
            <m:sty m:val="p"/>
          </m:rPr>
          <m:t>×</m:t>
        </m:r>
        <m:r>
          <m:t>5</m:t>
        </m:r>
        <m:r>
          <m:rPr>
            <m:sty m:val="p"/>
          </m:rPr>
          <m:t>=</m:t>
        </m:r>
        <m:r>
          <m:t>1</m:t>
        </m:r>
        <m:r>
          <m:rPr>
            <m:sty m:val="p"/>
          </m:rPr>
          <m:t>,</m:t>
        </m:r>
        <m:r>
          <m:t>440</m:t>
        </m:r>
      </m:oMath>
      <w:r>
        <w:t xml:space="preserve"> </w:t>
      </w:r>
      <w:r>
        <w:t xml:space="preserve">种市场状态，为策略映射提供了细粒度的决策基础。</w:t>
      </w:r>
    </w:p>
    <w:bookmarkEnd w:id="47"/>
    <w:bookmarkStart w:id="48" w:name="四维度拆解体系"/>
    <w:p>
      <w:pPr>
        <w:pStyle w:val="Heading4"/>
      </w:pPr>
      <w:r>
        <w:t xml:space="preserve">2.2.2 四维度拆解体系</w:t>
      </w:r>
    </w:p>
    <w:p>
      <w:pPr>
        <w:pStyle w:val="FirstParagraph"/>
      </w:pPr>
      <w:r>
        <w:t xml:space="preserve">MISS 框架将复杂的市场环境分解为四个相互独立但可通过交互矩阵耦合的维度，每个维度提供可量化、可实时计算的状态分类体系。</w:t>
      </w:r>
    </w:p>
    <w:p>
      <w:pPr>
        <w:pStyle w:val="BodyText"/>
      </w:pPr>
      <w:r>
        <w:rPr>
          <w:bCs/>
          <w:b/>
        </w:rPr>
        <w:t xml:space="preserve">价格结构状态（P）</w:t>
      </w:r>
      <w:r>
        <w:t xml:space="preserve"> </w:t>
      </w:r>
      <w:r>
        <w:t xml:space="preserve">包含 8 个子状态，基于分形市场理论和 ICT（Inner Circle Trader）方法论</w:t>
      </w:r>
      <w:r>
        <w:rPr>
          <w:vertAlign w:val="superscript"/>
        </w:rPr>
        <w:footnoteReference w:id="58"/>
      </w:r>
      <w:r>
        <w:t xml:space="preserve"> </w:t>
      </w:r>
      <w:r>
        <w:rPr>
          <w:vertAlign w:val="superscript"/>
        </w:rPr>
        <w:footnoteReference w:id="59"/>
      </w:r>
      <w:r>
        <w:t xml:space="preserve">构建。通过波段高低点序列（HH/HL/LH/LL）识别趋势结构：P1 强劲上升（HH+HL 序列，价格高于多周期 EMA）、P2 弱势上升（HH 存在但 HL 被测试）、P3 派发/顶部构建（首次出现 LH）、P4 强劲下降（LL+LH 序列）、P5 弱势下降（LL 存在但 LH 被测试）、P6 吸筹/底部构建（首次出现 HL）、P7 区间震荡（无明确波段序列）、P8 结构突破（位移性突破波段高低点，即 MSS 信号）。结构突破的判定需满足两个条件：突破蜡烛实体比例高于 60%（body/range &gt; 0.6），且后续至少有 2 根同向确认蜡烛</w:t>
      </w:r>
      <w:r>
        <w:rPr>
          <w:vertAlign w:val="superscript"/>
        </w:rPr>
        <w:footnoteReference w:id="60"/>
      </w:r>
      <w:r>
        <w:t xml:space="preserve">。</w:t>
      </w:r>
    </w:p>
    <w:p>
      <w:pPr>
        <w:pStyle w:val="BodyText"/>
      </w:pPr>
      <w:r>
        <w:rPr>
          <w:bCs/>
          <w:b/>
        </w:rPr>
        <w:t xml:space="preserve">波动率状态（V）</w:t>
      </w:r>
      <w:r>
        <w:t xml:space="preserve"> </w:t>
      </w:r>
      <w:r>
        <w:t xml:space="preserve">包含 6 个子状态，综合实现波动率（Realized Volatility）、隐含波动率期限结构（IVTS = VIX / VIX3M）和波动率风险溢价（VRP = ATM IV - Realized Vol）三个指标构建</w:t>
      </w:r>
      <w:fldSimple w:instr="NOTEREF _Ref_Footnote_46 \h \f">
        <w:r>
          <w:rPr>
            <w:vertAlign w:val="superscript"/>
          </w:rPr>
          <w:t>46</w:t>
        </w:r>
      </w:fldSimple>
      <w:r>
        <w:t xml:space="preserve"> </w:t>
      </w:r>
      <w:r>
        <w:rPr>
          <w:vertAlign w:val="superscript"/>
        </w:rPr>
        <w:footnoteReference w:id="61"/>
      </w:r>
      <w:r>
        <w:t xml:space="preserve">。分类标准为：V1 极端恐慌（VIX &gt; 30，backwardation，IVTS &gt; 1.20）、V2 elevated 恐惧（VIX 25-30，IVTS &gt; 1.10）、V3 轻度压力（VIX 20-25，IVTS 1.00-1.10）、V4 正常 Contango（VIX 15-20，IVTS 0.85-1.00）、V5 低波动（VIX &lt; 15，steep contango，IVTS &lt; 0.85）、V6 投降式抛售（VIX &gt; 35，极端 backwardation，IVTS &gt; 1.30）。</w:t>
      </w:r>
    </w:p>
    <w:p>
      <w:pPr>
        <w:pStyle w:val="BodyText"/>
      </w:pPr>
      <w:r>
        <w:rPr>
          <w:bCs/>
          <w:b/>
        </w:rPr>
        <w:t xml:space="preserve">流动性状态（L）</w:t>
      </w:r>
      <w:r>
        <w:t xml:space="preserve"> </w:t>
      </w:r>
      <w:r>
        <w:t xml:space="preserve">包含 6 个子状态，基于 Kyle（1985）经典流动性三维度框架（深度 Depth / 紧密度 Tightness / 弹性 Resiliency）</w:t>
      </w:r>
      <w:r>
        <w:rPr>
          <w:vertAlign w:val="superscript"/>
        </w:rPr>
        <w:footnoteReference w:id="62"/>
      </w:r>
      <w:r>
        <w:t xml:space="preserve"> </w:t>
      </w:r>
      <w:r>
        <w:rPr>
          <w:vertAlign w:val="superscript"/>
        </w:rPr>
        <w:footnoteReference w:id="63"/>
      </w:r>
      <w:r>
        <w:t xml:space="preserve">，辅以订单流毒性（VPIN）和价格冲击指标（Kyle’s Lambda）综合判定。VPIN 通过 Volume-Synchronized Probability of Informed Trading 量化知情交易概率：</w:t>
      </w:r>
    </w:p>
    <w:p>
      <w:pPr>
        <w:pStyle w:val="BodyText"/>
      </w:pPr>
      <m:oMathPara>
        <m:oMathParaPr>
          <m:jc m:val="center"/>
        </m:oMathParaPr>
        <m:oMath>
          <m:r>
            <m:t>V</m:t>
          </m:r>
          <m:r>
            <m:t>P</m:t>
          </m:r>
          <m:r>
            <m:t>I</m:t>
          </m:r>
          <m:r>
            <m:t>N</m:t>
          </m:r>
          <m:r>
            <m:rPr>
              <m:sty m:val="p"/>
            </m:rPr>
            <m:t>=</m:t>
          </m:r>
          <m:f>
            <m:fPr>
              <m:type m:val="bar"/>
            </m:fPr>
            <m:num>
              <m:r>
                <m:t>1</m:t>
              </m:r>
            </m:num>
            <m:den>
              <m:r>
                <m:t>n</m:t>
              </m:r>
            </m:den>
          </m:f>
          <m:nary>
            <m:naryPr>
              <m:chr m:val="∑"/>
              <m:limLoc m:val="undOvr"/>
              <m:subHide m:val="0"/>
              <m:supHide m:val="0"/>
            </m:naryPr>
            <m:sub>
              <m:r>
                <m:t>τ</m:t>
              </m:r>
              <m:r>
                <m:rPr>
                  <m:sty m:val="p"/>
                </m:rPr>
                <m:t>=</m:t>
              </m:r>
              <m:r>
                <m:t>t</m:t>
              </m:r>
              <m:r>
                <m:rPr>
                  <m:sty m:val="p"/>
                </m:rPr>
                <m:t>−</m:t>
              </m:r>
              <m:r>
                <m:t>n</m:t>
              </m:r>
              <m:r>
                <m:rPr>
                  <m:sty m:val="p"/>
                </m:rPr>
                <m:t>+</m:t>
              </m:r>
              <m:r>
                <m:t>1</m:t>
              </m:r>
            </m:sub>
            <m:sup>
              <m:r>
                <m:t>t</m:t>
              </m:r>
            </m:sup>
            <m:e>
              <m:f>
                <m:fPr>
                  <m:type m:val="bar"/>
                </m:fPr>
                <m:num>
                  <m:d>
                    <m:dPr>
                      <m:begChr m:val="|"/>
                      <m:endChr m:val="|"/>
                      <m:sepChr m:val=""/>
                      <m:grow/>
                    </m:dPr>
                    <m:e>
                      <m:sSubSup>
                        <m:e>
                          <m:r>
                            <m:t>V</m:t>
                          </m:r>
                        </m:e>
                        <m:sub>
                          <m:r>
                            <m:t>τ</m:t>
                          </m:r>
                        </m:sub>
                        <m:sup>
                          <m:r>
                            <m:t>B</m:t>
                          </m:r>
                        </m:sup>
                      </m:sSubSup>
                      <m:r>
                        <m:rPr>
                          <m:sty m:val="p"/>
                        </m:rPr>
                        <m:t>−</m:t>
                      </m:r>
                      <m:sSubSup>
                        <m:e>
                          <m:r>
                            <m:t>V</m:t>
                          </m:r>
                        </m:e>
                        <m:sub>
                          <m:r>
                            <m:t>τ</m:t>
                          </m:r>
                        </m:sub>
                        <m:sup>
                          <m:r>
                            <m:t>S</m:t>
                          </m:r>
                        </m:sup>
                      </m:sSubSup>
                    </m:e>
                  </m:d>
                </m:num>
                <m:den>
                  <m:r>
                    <m:t>V</m:t>
                  </m:r>
                </m:den>
              </m:f>
            </m:e>
          </m:nary>
        </m:oMath>
      </m:oMathPara>
    </w:p>
    <w:p>
      <w:pPr>
        <w:pStyle w:val="FirstParagraph"/>
      </w:pPr>
      <w:r>
        <w:t xml:space="preserve">其中</w:t>
      </w:r>
      <w:r>
        <w:t xml:space="preserve"> </w:t>
      </w:r>
      <m:oMath>
        <m:r>
          <m:t>V</m:t>
        </m:r>
      </m:oMath>
      <w:r>
        <w:t xml:space="preserve"> </w:t>
      </w:r>
      <w:r>
        <w:t xml:space="preserve">为每个 volume bucket 的固定交易量，</w:t>
      </w:r>
      <m:oMath>
        <m:r>
          <m:t>n</m:t>
        </m:r>
      </m:oMath>
      <w:r>
        <w:t xml:space="preserve"> </w:t>
      </w:r>
      <w:r>
        <w:t xml:space="preserve">通常取 50</w:t>
      </w:r>
      <w:r>
        <w:rPr>
          <w:vertAlign w:val="superscript"/>
        </w:rPr>
        <w:footnoteReference w:id="64"/>
      </w:r>
      <w:r>
        <w:t xml:space="preserve"> </w:t>
      </w:r>
      <w:r>
        <w:rPr>
          <w:vertAlign w:val="superscript"/>
        </w:rPr>
        <w:footnoteReference w:id="65"/>
      </w:r>
      <w:r>
        <w:t xml:space="preserve">。VPIN 毒性等级划分为：Low Toxicity（&lt; 0.30，零售流量主导）、Medium Toxicity（0.30-0.45，混合流量）、High Toxicity（&gt; 0.45，知情流量主导）。</w:t>
      </w:r>
    </w:p>
    <w:p>
      <w:pPr>
        <w:pStyle w:val="BodyText"/>
      </w:pPr>
      <w:r>
        <w:rPr>
          <w:bCs/>
          <w:b/>
        </w:rPr>
        <w:t xml:space="preserve">信息流状态（I）</w:t>
      </w:r>
      <w:r>
        <w:t xml:space="preserve"> </w:t>
      </w:r>
      <w:r>
        <w:t xml:space="preserve">包含 5 个子状态，基于信息熵方法和多源信息分析构建</w:t>
      </w:r>
      <w:r>
        <w:rPr>
          <w:vertAlign w:val="superscript"/>
        </w:rPr>
        <w:footnoteReference w:id="66"/>
      </w:r>
      <w:r>
        <w:t xml:space="preserve"> </w:t>
      </w:r>
      <w:r>
        <w:rPr>
          <w:vertAlign w:val="superscript"/>
        </w:rPr>
        <w:footnoteReference w:id="67"/>
      </w:r>
      <w:r>
        <w:t xml:space="preserve">。核心度量包括条件块熵</w:t>
      </w:r>
      <w:r>
        <w:t xml:space="preserve"> </w:t>
      </w:r>
      <m:oMath>
        <m:sSub>
          <m:e>
            <m:r>
              <m:t>h</m:t>
            </m:r>
          </m:e>
          <m:sub>
            <m:r>
              <m:t>X</m:t>
            </m:r>
          </m:sub>
        </m:sSub>
        <m:d>
          <m:dPr>
            <m:begChr m:val="("/>
            <m:endChr m:val=")"/>
            <m:sepChr m:val=""/>
            <m:grow/>
          </m:dPr>
          <m:e>
            <m:r>
              <m:t>k</m:t>
            </m:r>
          </m:e>
        </m:d>
        <m:r>
          <m:rPr>
            <m:sty m:val="p"/>
          </m:rPr>
          <m:t>=</m:t>
        </m:r>
        <m:r>
          <m:t>H</m:t>
        </m:r>
        <m:d>
          <m:dPr>
            <m:begChr m:val="("/>
            <m:endChr m:val=")"/>
            <m:sepChr m:val=""/>
            <m:grow/>
          </m:dPr>
          <m:e>
            <m:sSub>
              <m:e>
                <m:r>
                  <m:t>X</m:t>
                </m:r>
              </m:e>
              <m:sub>
                <m:r>
                  <m:t>t</m:t>
                </m:r>
              </m:sub>
            </m:sSub>
            <m:r>
              <m:rPr>
                <m:sty m:val="p"/>
              </m:rPr>
              <m:t>∣</m:t>
            </m:r>
            <m:sSub>
              <m:e>
                <m:r>
                  <m:t>X</m:t>
                </m:r>
              </m:e>
              <m:sub>
                <m:r>
                  <m:t>t</m:t>
                </m:r>
                <m:r>
                  <m:rPr>
                    <m:sty m:val="p"/>
                  </m:rPr>
                  <m:t>−</m:t>
                </m:r>
                <m:r>
                  <m:t>1</m:t>
                </m:r>
              </m:sub>
            </m:sSub>
            <m:r>
              <m:rPr>
                <m:sty m:val="p"/>
              </m:rPr>
              <m:t>,</m:t>
            </m:r>
            <m:r>
              <m:rPr>
                <m:sty m:val="p"/>
              </m:rPr>
              <m:t>.</m:t>
            </m:r>
            <m:r>
              <m:rPr>
                <m:sty m:val="p"/>
              </m:rPr>
              <m:t>.</m:t>
            </m:r>
            <m:r>
              <m:rPr>
                <m:sty m:val="p"/>
              </m:rPr>
              <m:t>.</m:t>
            </m:r>
            <m:r>
              <m:rPr>
                <m:sty m:val="p"/>
              </m:rPr>
              <m:t>,</m:t>
            </m:r>
            <m:sSub>
              <m:e>
                <m:r>
                  <m:t>X</m:t>
                </m:r>
              </m:e>
              <m:sub>
                <m:r>
                  <m:t>t</m:t>
                </m:r>
                <m:r>
                  <m:rPr>
                    <m:sty m:val="p"/>
                  </m:rPr>
                  <m:t>−</m:t>
                </m:r>
                <m:r>
                  <m:t>k</m:t>
                </m:r>
              </m:sub>
            </m:sSub>
          </m:e>
        </m:d>
      </m:oMath>
      <w:r>
        <w:t xml:space="preserve">（测量回报流的自因果性）和 Transfer Entropy</w:t>
      </w:r>
      <w:r>
        <w:t xml:space="preserve"> </w:t>
      </w:r>
      <m:oMath>
        <m:r>
          <m:t>T</m:t>
        </m:r>
        <m:sSub>
          <m:e>
            <m:r>
              <m:t>E</m:t>
            </m:r>
          </m:e>
          <m:sub>
            <m:r>
              <m:t>I</m:t>
            </m:r>
            <m:r>
              <m:rPr>
                <m:sty m:val="p"/>
              </m:rPr>
              <m:t>→</m:t>
            </m:r>
            <m:r>
              <m:t>X</m:t>
            </m:r>
          </m:sub>
        </m:sSub>
        <m:r>
          <m:rPr>
            <m:sty m:val="p"/>
          </m:rPr>
          <m:t>=</m:t>
        </m:r>
        <m:r>
          <m:t>H</m:t>
        </m:r>
        <m:d>
          <m:dPr>
            <m:begChr m:val="("/>
            <m:endChr m:val=")"/>
            <m:sepChr m:val=""/>
            <m:grow/>
          </m:dPr>
          <m:e>
            <m:sSub>
              <m:e>
                <m:r>
                  <m:t>X</m:t>
                </m:r>
              </m:e>
              <m:sub>
                <m:r>
                  <m:t>t</m:t>
                </m:r>
              </m:sub>
            </m:sSub>
            <m:r>
              <m:rPr>
                <m:sty m:val="p"/>
              </m:rPr>
              <m:t>∣</m:t>
            </m:r>
            <m:sSub>
              <m:e>
                <m:r>
                  <m:t>X</m:t>
                </m:r>
              </m:e>
              <m:sub>
                <m:r>
                  <m:t>p</m:t>
                </m:r>
                <m:r>
                  <m:t>a</m:t>
                </m:r>
                <m:r>
                  <m:t>s</m:t>
                </m:r>
                <m:r>
                  <m:t>t</m:t>
                </m:r>
              </m:sub>
            </m:sSub>
          </m:e>
        </m:d>
        <m:r>
          <m:rPr>
            <m:sty m:val="p"/>
          </m:rPr>
          <m:t>−</m:t>
        </m:r>
        <m:r>
          <m:t>H</m:t>
        </m:r>
        <m:d>
          <m:dPr>
            <m:begChr m:val="("/>
            <m:endChr m:val=")"/>
            <m:sepChr m:val=""/>
            <m:grow/>
          </m:dPr>
          <m:e>
            <m:sSub>
              <m:e>
                <m:r>
                  <m:t>X</m:t>
                </m:r>
              </m:e>
              <m:sub>
                <m:r>
                  <m:t>t</m:t>
                </m:r>
              </m:sub>
            </m:sSub>
            <m:r>
              <m:rPr>
                <m:sty m:val="p"/>
              </m:rPr>
              <m:t>∣</m:t>
            </m:r>
            <m:sSub>
              <m:e>
                <m:r>
                  <m:t>X</m:t>
                </m:r>
              </m:e>
              <m:sub>
                <m:r>
                  <m:t>p</m:t>
                </m:r>
                <m:r>
                  <m:t>a</m:t>
                </m:r>
                <m:r>
                  <m:t>s</m:t>
                </m:r>
                <m:r>
                  <m:t>t</m:t>
                </m:r>
              </m:sub>
            </m:sSub>
            <m:r>
              <m:rPr>
                <m:sty m:val="p"/>
              </m:rPr>
              <m:t>,</m:t>
            </m:r>
            <m:sSub>
              <m:e>
                <m:r>
                  <m:t>I</m:t>
                </m:r>
              </m:e>
              <m:sub>
                <m:r>
                  <m:t>p</m:t>
                </m:r>
                <m:r>
                  <m:t>a</m:t>
                </m:r>
                <m:r>
                  <m:t>s</m:t>
                </m:r>
                <m:r>
                  <m:t>t</m:t>
                </m:r>
              </m:sub>
            </m:sSub>
          </m:e>
        </m:d>
      </m:oMath>
      <w:r>
        <w:t xml:space="preserve">（测量新闻情感到价格的信息流强度）。分类结果为：I1 回报驱动（技术交易主导）、I2 新闻驱动（重大事件/财报/政策发布）、I3 混合流、I4 信息真空（节假日/数据空白期）、I5 虚假信息（社交媒体操纵/FUD）。</w:t>
      </w:r>
    </w:p>
    <w:tbl>
      <w:tblPr>
        <w:tblStyle w:val="Table"/>
        <w:tblW w:type="pct" w:w="5000"/>
        <w:tblLook w:firstRow="1" w:lastRow="0" w:firstColumn="0" w:lastColumn="0" w:noHBand="0" w:noVBand="0" w:val="0020"/>
      </w:tblPr>
      <w:tblGrid>
        <w:gridCol w:w="1508"/>
        <w:gridCol w:w="1885"/>
        <w:gridCol w:w="1508"/>
        <w:gridCol w:w="1508"/>
        <w:gridCol w:w="1508"/>
      </w:tblGrid>
      <w:tr>
        <w:trPr>
          <w:tblHeader w:val="true"/>
        </w:trPr>
        <w:tc>
          <w:tcPr/>
          <w:p>
            <w:pPr>
              <w:pStyle w:val="Compact"/>
              <w:jc w:val="left"/>
            </w:pPr>
            <w:r>
              <w:t xml:space="preserve">维度</w:t>
            </w:r>
          </w:p>
        </w:tc>
        <w:tc>
          <w:tcPr/>
          <w:p>
            <w:pPr>
              <w:pStyle w:val="Compact"/>
              <w:jc w:val="center"/>
            </w:pPr>
            <w:r>
              <w:t xml:space="preserve">状态数</w:t>
            </w:r>
          </w:p>
        </w:tc>
        <w:tc>
          <w:tcPr/>
          <w:p>
            <w:pPr>
              <w:pStyle w:val="Compact"/>
              <w:jc w:val="left"/>
            </w:pPr>
            <w:r>
              <w:t xml:space="preserve">理论基础</w:t>
            </w:r>
          </w:p>
        </w:tc>
        <w:tc>
          <w:tcPr/>
          <w:p>
            <w:pPr>
              <w:pStyle w:val="Compact"/>
              <w:jc w:val="left"/>
            </w:pPr>
            <w:r>
              <w:t xml:space="preserve">核心指标</w:t>
            </w:r>
          </w:p>
        </w:tc>
        <w:tc>
          <w:tcPr/>
          <w:p>
            <w:pPr>
              <w:pStyle w:val="Compact"/>
              <w:jc w:val="left"/>
            </w:pPr>
            <w:r>
              <w:t xml:space="preserve">检测方法</w:t>
            </w:r>
          </w:p>
        </w:tc>
      </w:tr>
      <w:tr>
        <w:tc>
          <w:tcPr/>
          <w:p>
            <w:pPr>
              <w:pStyle w:val="Compact"/>
              <w:jc w:val="left"/>
            </w:pPr>
            <w:r>
              <w:t xml:space="preserve">价格结构（P）</w:t>
            </w:r>
          </w:p>
        </w:tc>
        <w:tc>
          <w:tcPr/>
          <w:p>
            <w:pPr>
              <w:pStyle w:val="Compact"/>
              <w:jc w:val="center"/>
            </w:pPr>
            <w:r>
              <w:t xml:space="preserve">8</w:t>
            </w:r>
          </w:p>
        </w:tc>
        <w:tc>
          <w:tcPr/>
          <w:p>
            <w:pPr>
              <w:pStyle w:val="Compact"/>
              <w:jc w:val="left"/>
            </w:pPr>
            <w:r>
              <w:t xml:space="preserve">分形市场理论 + ICT 方法论</w:t>
            </w:r>
          </w:p>
        </w:tc>
        <w:tc>
          <w:tcPr/>
          <w:p>
            <w:pPr>
              <w:pStyle w:val="Compact"/>
              <w:jc w:val="left"/>
            </w:pPr>
            <w:r>
              <w:t xml:space="preserve">Swing HH/HL/LH/LL、MSS 信号、FVG</w:t>
            </w:r>
          </w:p>
        </w:tc>
        <w:tc>
          <w:tcPr/>
          <w:p>
            <w:pPr>
              <w:pStyle w:val="Compact"/>
              <w:jc w:val="left"/>
            </w:pPr>
            <w:r>
              <w:t xml:space="preserve">规则引擎 + HMM</w:t>
            </w:r>
          </w:p>
        </w:tc>
      </w:tr>
      <w:tr>
        <w:tc>
          <w:tcPr/>
          <w:p>
            <w:pPr>
              <w:pStyle w:val="Compact"/>
              <w:jc w:val="left"/>
            </w:pPr>
            <w:r>
              <w:t xml:space="preserve">波动率（V）</w:t>
            </w:r>
          </w:p>
        </w:tc>
        <w:tc>
          <w:tcPr/>
          <w:p>
            <w:pPr>
              <w:pStyle w:val="Compact"/>
              <w:jc w:val="center"/>
            </w:pPr>
            <w:r>
              <w:t xml:space="preserve">6</w:t>
            </w:r>
          </w:p>
        </w:tc>
        <w:tc>
          <w:tcPr/>
          <w:p>
            <w:pPr>
              <w:pStyle w:val="Compact"/>
              <w:jc w:val="left"/>
            </w:pPr>
            <w:r>
              <w:t xml:space="preserve">Markov-Switching GARCH</w:t>
            </w:r>
          </w:p>
        </w:tc>
        <w:tc>
          <w:tcPr/>
          <w:p>
            <w:pPr>
              <w:pStyle w:val="Compact"/>
              <w:jc w:val="left"/>
            </w:pPr>
            <w:r>
              <w:t xml:space="preserve">VIX、IVTS、VRP、RV</w:t>
            </w:r>
          </w:p>
        </w:tc>
        <w:tc>
          <w:tcPr/>
          <w:p>
            <w:pPr>
              <w:pStyle w:val="Compact"/>
              <w:jc w:val="left"/>
            </w:pPr>
            <w:r>
              <w:t xml:space="preserve">阈值分类 + MSGARCH</w:t>
            </w:r>
          </w:p>
        </w:tc>
      </w:tr>
      <w:tr>
        <w:tc>
          <w:tcPr/>
          <w:p>
            <w:pPr>
              <w:pStyle w:val="Compact"/>
              <w:jc w:val="left"/>
            </w:pPr>
            <w:r>
              <w:t xml:space="preserve">流动性（L）</w:t>
            </w:r>
          </w:p>
        </w:tc>
        <w:tc>
          <w:tcPr/>
          <w:p>
            <w:pPr>
              <w:pStyle w:val="Compact"/>
              <w:jc w:val="center"/>
            </w:pPr>
            <w:r>
              <w:t xml:space="preserve">6</w:t>
            </w:r>
          </w:p>
        </w:tc>
        <w:tc>
          <w:tcPr/>
          <w:p>
            <w:pPr>
              <w:pStyle w:val="Compact"/>
              <w:jc w:val="left"/>
            </w:pPr>
            <w:r>
              <w:t xml:space="preserve">Kyle (1985) 三维度框架</w:t>
            </w:r>
          </w:p>
        </w:tc>
        <w:tc>
          <w:tcPr/>
          <w:p>
            <w:pPr>
              <w:pStyle w:val="Compact"/>
              <w:jc w:val="left"/>
            </w:pPr>
            <w:r>
              <w:t xml:space="preserve">VPIN、OBI、Spread、Kyle’s Lambda</w:t>
            </w:r>
          </w:p>
        </w:tc>
        <w:tc>
          <w:tcPr/>
          <w:p>
            <w:pPr>
              <w:pStyle w:val="Compact"/>
              <w:jc w:val="left"/>
            </w:pPr>
            <w:r>
              <w:t xml:space="preserve">多因子评分</w:t>
            </w:r>
          </w:p>
        </w:tc>
      </w:tr>
      <w:tr>
        <w:tc>
          <w:tcPr/>
          <w:p>
            <w:pPr>
              <w:pStyle w:val="Compact"/>
              <w:jc w:val="left"/>
            </w:pPr>
            <w:r>
              <w:t xml:space="preserve">信息流（I）</w:t>
            </w:r>
          </w:p>
        </w:tc>
        <w:tc>
          <w:tcPr/>
          <w:p>
            <w:pPr>
              <w:pStyle w:val="Compact"/>
              <w:jc w:val="center"/>
            </w:pPr>
            <w:r>
              <w:t xml:space="preserve">5</w:t>
            </w:r>
          </w:p>
        </w:tc>
        <w:tc>
          <w:tcPr/>
          <w:p>
            <w:pPr>
              <w:pStyle w:val="Compact"/>
              <w:jc w:val="left"/>
            </w:pPr>
            <w:r>
              <w:t xml:space="preserve">信息熵 + Transfer Entropy</w:t>
            </w:r>
          </w:p>
        </w:tc>
        <w:tc>
          <w:tcPr/>
          <w:p>
            <w:pPr>
              <w:pStyle w:val="Compact"/>
              <w:jc w:val="left"/>
            </w:pPr>
            <w:r>
              <w:t xml:space="preserve">TE、情绪得分、异常分数</w:t>
            </w:r>
          </w:p>
        </w:tc>
        <w:tc>
          <w:tcPr/>
          <w:p>
            <w:pPr>
              <w:pStyle w:val="Compact"/>
              <w:jc w:val="left"/>
            </w:pPr>
            <w:r>
              <w:t xml:space="preserve">熵计算 + 异常检测</w:t>
            </w:r>
          </w:p>
        </w:tc>
      </w:tr>
    </w:tbl>
    <w:p>
      <w:pPr>
        <w:pStyle w:val="BodyText"/>
      </w:pPr>
      <w:r>
        <w:t xml:space="preserve">上表汇总了 MISS 四维拆解体系的核心参数。四个维度共提供 25 个独立子状态，通过笛卡尔积组合形成 1,440 种市场状态，为策略映射引擎提供了细粒度的决策空间。</w:t>
      </w:r>
    </w:p>
    <w:bookmarkEnd w:id="48"/>
    <w:bookmarkStart w:id="49" w:name="与现有理论的关系"/>
    <w:p>
      <w:pPr>
        <w:pStyle w:val="Heading4"/>
      </w:pPr>
      <w:r>
        <w:t xml:space="preserve">2.2.3 与现有理论的关系</w:t>
      </w:r>
    </w:p>
    <w:p>
      <w:pPr>
        <w:pStyle w:val="FirstParagraph"/>
      </w:pPr>
      <w:r>
        <w:t xml:space="preserve">MISS 框架并非从零构建的理论体系，而是对现有成熟理论的技术整合与工程化封装。</w:t>
      </w:r>
    </w:p>
    <w:p>
      <w:pPr>
        <w:pStyle w:val="BodyText"/>
      </w:pPr>
      <w:r>
        <w:rPr>
          <w:bCs/>
          <w:b/>
        </w:rPr>
        <w:t xml:space="preserve">MSS（Market Structure Shift）结构转换</w:t>
      </w:r>
      <w:r>
        <w:t xml:space="preserve"> </w:t>
      </w:r>
      <w:r>
        <w:t xml:space="preserve">是 ICT 交易方法论中的核心概念</w:t>
      </w:r>
      <w:fldSimple w:instr="NOTEREF _Ref_Footnote_60 \h \f">
        <w:r>
          <w:rPr>
            <w:vertAlign w:val="superscript"/>
          </w:rPr>
          <w:t>60</w:t>
        </w:r>
      </w:fldSimple>
      <w:r>
        <w:t xml:space="preserve"> </w:t>
      </w:r>
      <w:r>
        <w:rPr>
          <w:vertAlign w:val="superscript"/>
        </w:rPr>
        <w:footnoteReference w:id="68"/>
      </w:r>
      <w:r>
        <w:t xml:space="preserve">。当价格以位移性动能突破关键波段高点或低点时，产生趋势反转信号。MSS 的检测算法包含三个步骤：波段高点/低点识别（三蜡烛分形形态）、位移确认（突破蜡烛实体比例 &gt; 60% 且伴随 FVG）、流动性清扫验证（最可靠的 MSS 发生在流动性清扫之后）。MISS 框架将 MSS 作为价格结构维度的一个子状态（P8），并通过量化指标（结构强度 score ∈ [0,1]）将其从主观判断转化为可计算信号。</w:t>
      </w:r>
    </w:p>
    <w:p>
      <w:pPr>
        <w:pStyle w:val="BodyText"/>
      </w:pPr>
      <w:r>
        <w:rPr>
          <w:bCs/>
          <w:b/>
        </w:rPr>
        <w:t xml:space="preserve">VPIN 毒性检测</w:t>
      </w:r>
      <w:r>
        <w:t xml:space="preserve"> </w:t>
      </w:r>
      <w:r>
        <w:t xml:space="preserve">源于 Easley、López de Prado 和 O’Hara（2012）的经典研究</w:t>
      </w:r>
      <w:fldSimple w:instr="NOTEREF _Ref_Footnote_65 \h \f">
        <w:r>
          <w:rPr>
            <w:vertAlign w:val="superscript"/>
          </w:rPr>
          <w:t>65</w:t>
        </w:r>
      </w:fldSimple>
      <w:r>
        <w:t xml:space="preserve">。原始 VPIN 模型基于交易方向分类（Bulk Volume Classification）计算订单流不平衡度，用于预测短期价格变动和流动性风险。MISS 框架将 VPIN 整合为流动性维度的核心输入，并扩展了毒性等级划分——从原始的三级（低/中/高）细化为五级（增加”极端毒性”0.60-0.80 和”危机级”&gt;0.80），以更好地区分不同严重程度的信息驱动交易</w:t>
      </w:r>
      <w:fldSimple w:instr="NOTEREF _Ref_Footnote_64 \h \f">
        <w:r>
          <w:rPr>
            <w:vertAlign w:val="superscript"/>
          </w:rPr>
          <w:t>64</w:t>
        </w:r>
      </w:fldSimple>
      <w:r>
        <w:t xml:space="preserve"> </w:t>
      </w:r>
      <w:fldSimple w:instr="NOTEREF _Ref_Footnote_56 \h \f">
        <w:r>
          <w:rPr>
            <w:vertAlign w:val="superscript"/>
          </w:rPr>
          <w:t>56</w:t>
        </w:r>
      </w:fldSimple>
      <w:r>
        <w:t xml:space="preserve">。</w:t>
      </w:r>
    </w:p>
    <w:p>
      <w:pPr>
        <w:pStyle w:val="BodyText"/>
      </w:pPr>
      <w:r>
        <w:rPr>
          <w:bCs/>
          <w:b/>
        </w:rPr>
        <w:t xml:space="preserve">HireVAE 自适应模型</w:t>
      </w:r>
      <w:r>
        <w:t xml:space="preserve"> </w:t>
      </w:r>
      <w:r>
        <w:t xml:space="preserve">是 IJCAI 2023 发表的里程碑式研究</w:t>
      </w:r>
      <w:r>
        <w:rPr>
          <w:vertAlign w:val="superscript"/>
        </w:rPr>
        <w:footnoteReference w:id="69"/>
      </w:r>
      <w:r>
        <w:t xml:space="preserve"> </w:t>
      </w:r>
      <w:r>
        <w:rPr>
          <w:vertAlign w:val="superscript"/>
        </w:rPr>
        <w:footnoteReference w:id="70"/>
      </w:r>
      <w:r>
        <w:t xml:space="preserve">，首个实现端到端在线自适应 regime-switch 因子模型的深度学习框架。其核心创新包括：分层 latent space（市场-股票两层潜变量）、regime switching module（学习 K 个动态高斯分布）和线性稳定聚类算法（保持 regime 标识一致性）。在 CSI All 市场 2015-2022 年测试中，HireVAE 达到 Rank IC 0.058、Rank ICIR 0.734、Active Return 28.02%</w:t>
      </w:r>
      <w:fldSimple w:instr="NOTEREF _Ref_Footnote_69 \h \f">
        <w:r>
          <w:rPr>
            <w:vertAlign w:val="superscript"/>
          </w:rPr>
          <w:t>69</w:t>
        </w:r>
      </w:fldSimple>
      <w:r>
        <w:t xml:space="preserve">。MISS 框架借鉴 HireVAE 的架构设计——特别是 market latent variable 同时用于估计 regime 区域和预测 regime 指标的思想——构建 MISS-Deep 深度学习扩展层，实现从多维特征到四维度状态的端到端学习。</w:t>
      </w:r>
    </w:p>
    <w:bookmarkEnd w:id="49"/>
    <w:bookmarkStart w:id="53" w:name="策略映射引擎"/>
    <w:p>
      <w:pPr>
        <w:pStyle w:val="Heading4"/>
      </w:pPr>
      <w:r>
        <w:t xml:space="preserve">2.2.4 策略映射引擎</w:t>
      </w:r>
    </w:p>
    <w:p>
      <w:pPr>
        <w:pStyle w:val="FirstParagraph"/>
      </w:pPr>
      <w:r>
        <w:t xml:space="preserve">策略映射引擎是 MISS 框架的”决策中枢”，负责将四维状态组合转换为具体的交易指令（方向/仓位/止损/执行方式）。映射矩阵的设计基于 regime 条件策略性能数据</w:t>
      </w:r>
      <w:r>
        <w:rPr>
          <w:vertAlign w:val="superscript"/>
        </w:rPr>
        <w:footnoteReference w:id="71"/>
      </w:r>
      <w:r>
        <w:t xml:space="preserve"> </w:t>
      </w:r>
      <w:r>
        <w:rPr>
          <w:vertAlign w:val="superscript"/>
        </w:rPr>
        <w:footnoteReference w:id="72"/>
      </w:r>
      <w:r>
        <w:t xml:space="preserve"> </w:t>
      </w:r>
      <w:r>
        <w:rPr>
          <w:vertAlign w:val="superscript"/>
        </w:rPr>
        <w:footnoteReference w:id="73"/>
      </w:r>
      <w:r>
        <w:t xml:space="preserve">。</w:t>
      </w:r>
    </w:p>
    <w:p>
      <w:pPr>
        <w:pStyle w:val="BodyText"/>
      </w:pPr>
      <w:r>
        <w:t xml:space="preserve">价格结构状态决定策略类型：Strong Uptrend 映射至趋势跟随多头（FVG 回踩/OB 支撑入场，止损设于前结构低点下方）；Distribution 映射至准备反转空头（MSS 确认后入场）；Range-bound 映射至均值回归（区间边界入场，止损设于区间外侧）；Structure Break 映射至突破策略（突破确认后入场，假突破保护性止损）。</w:t>
      </w:r>
    </w:p>
    <w:p>
      <w:pPr>
        <w:pStyle w:val="BodyText"/>
      </w:pPr>
      <w:r>
        <w:t xml:space="preserve">波动率状态决定仓位大小：Extreme Fear 状态下仅分配极小仓位（逆向抄底，选择性执行）；Normal Contango 状态下满仓执行；Low Vol 状态下 80% 仓位运行波动率卖方策略。流动性状态决定执行方式：Deep Liquid 环境下市价/限价均可、大额可拆分执行；Toxic Flow 环境下跟随知情方向、突破追单快速入场；Dry Up 环境下暂停交易不挂单。</w:t>
      </w:r>
    </w:p>
    <w:p>
      <w:pPr>
        <w:pStyle w:val="BodyText"/>
      </w:pPr>
      <w:r>
        <w:t xml:space="preserve">策略映射引擎的核心实现遵循六步流程：解析四维度状态 → 组合状态查询（composite key =</w:t>
      </w:r>
      <w:r>
        <w:t xml:space="preserve"> </w:t>
      </w:r>
      <w:r>
        <w:t xml:space="preserve">“</w:t>
      </w:r>
      <w:r>
        <w:t xml:space="preserve">P_state|V_state|L_state|I_state</w:t>
      </w:r>
      <w:r>
        <w:t xml:space="preserve">”</w:t>
      </w:r>
      <w:r>
        <w:t xml:space="preserve">） → 基础策略推荐 → 风险乘数调整（vol_factor × liq_factor × info_factor） → 流动性适配执行方式 → 置信度加权最终仓位。其中风险乘数的计算直接关联市场状态：vol_factor = 1.0 / (1 + RV_20d / 0.20)，liq_factor = max(0.1, 1.0 - VPIN)，info_factor 在 Information Vacuum 状态下降至 0.5。</w:t>
      </w:r>
    </w:p>
    <w:p>
      <w:pPr>
        <w:pStyle w:val="CaptionedFigure"/>
      </w:pPr>
      <w:r>
        <w:drawing>
          <wp:inline>
            <wp:extent cx="5334000" cy="3317364"/>
            <wp:effectExtent b="0" l="0" r="0" t="0"/>
            <wp:docPr descr="MISS框架四维度拆解体系" title="" id="51" name="Picture"/>
            <a:graphic>
              <a:graphicData uri="http://schemas.openxmlformats.org/drawingml/2006/picture">
                <pic:pic>
                  <pic:nvPicPr>
                    <pic:cNvPr descr="/mnt/agents/output/miss_framework_chart.png" id="52" name="Picture"/>
                    <pic:cNvPicPr>
                      <a:picLocks noChangeArrowheads="1" noChangeAspect="1"/>
                    </pic:cNvPicPr>
                  </pic:nvPicPr>
                  <pic:blipFill>
                    <a:blip r:embed="rId50"/>
                    <a:stretch>
                      <a:fillRect/>
                    </a:stretch>
                  </pic:blipFill>
                  <pic:spPr bwMode="auto">
                    <a:xfrm>
                      <a:off x="0" y="0"/>
                      <a:ext cx="5334000" cy="3317364"/>
                    </a:xfrm>
                    <a:prstGeom prst="rect">
                      <a:avLst/>
                    </a:prstGeom>
                    <a:noFill/>
                    <a:ln w="9525">
                      <a:noFill/>
                      <a:headEnd/>
                      <a:tailEnd/>
                    </a:ln>
                  </pic:spPr>
                </pic:pic>
              </a:graphicData>
            </a:graphic>
          </wp:inline>
        </w:drawing>
      </w:r>
    </w:p>
    <w:p>
      <w:pPr>
        <w:pStyle w:val="ImageCaption"/>
      </w:pPr>
      <w:r>
        <w:t xml:space="preserve">MISS框架四维度拆解体系</w:t>
      </w:r>
    </w:p>
    <w:p>
      <w:pPr>
        <w:pStyle w:val="BodyText"/>
      </w:pPr>
      <w:r>
        <w:t xml:space="preserve">上图展示了 MISS 框架的四维度拆解体系。四个维度（价格结构 P、波动率 V、流动性 L、信息流 I）各自包含独立的子状态分类体系，通过策略映射引擎汇聚为统一的交易决策输出。状态空间</w:t>
      </w:r>
      <w:r>
        <w:t xml:space="preserve"> </w:t>
      </w:r>
      <m:oMath>
        <m:r>
          <m:rPr>
            <m:sty m:val="p"/>
            <m:scr m:val="script"/>
          </m:rPr>
          <m:t>S</m:t>
        </m:r>
        <m:r>
          <m:rPr>
            <m:sty m:val="p"/>
          </m:rPr>
          <m:t>=</m:t>
        </m:r>
        <m:r>
          <m:rPr>
            <m:sty m:val="p"/>
            <m:scr m:val="script"/>
          </m:rPr>
          <m:t>P</m:t>
        </m:r>
        <m:r>
          <m:rPr>
            <m:sty m:val="p"/>
          </m:rPr>
          <m:t>×</m:t>
        </m:r>
        <m:r>
          <m:rPr>
            <m:sty m:val="p"/>
            <m:scr m:val="script"/>
          </m:rPr>
          <m:t>V</m:t>
        </m:r>
        <m:r>
          <m:rPr>
            <m:sty m:val="p"/>
          </m:rPr>
          <m:t>×</m:t>
        </m:r>
        <m:r>
          <m:rPr>
            <m:sty m:val="p"/>
            <m:scr m:val="script"/>
          </m:rPr>
          <m:t>L</m:t>
        </m:r>
        <m:r>
          <m:rPr>
            <m:sty m:val="p"/>
          </m:rPr>
          <m:t>×</m:t>
        </m:r>
        <m:r>
          <m:rPr>
            <m:sty m:val="p"/>
            <m:scr m:val="script"/>
          </m:rPr>
          <m:t>I</m:t>
        </m:r>
      </m:oMath>
      <w:r>
        <w:t xml:space="preserve"> </w:t>
      </w:r>
      <w:r>
        <w:t xml:space="preserve">的总组合数为 1,440 种市场状态，为策略适配提供了充分细粒度的决策基础。</w:t>
      </w:r>
    </w:p>
    <w:bookmarkEnd w:id="53"/>
    <w:bookmarkEnd w:id="54"/>
    <w:bookmarkStart w:id="62" w:name="加速踏板分层架构"/>
    <w:p>
      <w:pPr>
        <w:pStyle w:val="Heading3"/>
      </w:pPr>
      <w:r>
        <w:t xml:space="preserve">2.3</w:t>
      </w:r>
      <w:r>
        <w:t xml:space="preserve"> </w:t>
      </w:r>
      <w:r>
        <w:t xml:space="preserve">“</w:t>
      </w:r>
      <w:r>
        <w:t xml:space="preserve">加速踏板</w:t>
      </w:r>
      <w:r>
        <w:t xml:space="preserve">”</w:t>
      </w:r>
      <w:r>
        <w:t xml:space="preserve">分层架构</w:t>
      </w:r>
    </w:p>
    <w:bookmarkStart w:id="58" w:name="架构设计"/>
    <w:p>
      <w:pPr>
        <w:pStyle w:val="Heading4"/>
      </w:pPr>
      <w:r>
        <w:t xml:space="preserve">2.3.1 架构设计</w:t>
      </w:r>
    </w:p>
    <w:p>
      <w:pPr>
        <w:pStyle w:val="FirstParagraph"/>
      </w:pPr>
      <w:r>
        <w:t xml:space="preserve">“</w:t>
      </w:r>
      <w:r>
        <w:t xml:space="preserve">加速踏板</w:t>
      </w:r>
      <w:r>
        <w:t xml:space="preserve">”</w:t>
      </w:r>
      <w:r>
        <w:t xml:space="preserve">（TurboBacktest）是系统的分层加速架构，其核心设计原则是”正确的工具做正确的事”——Python 负责策略表达与生态集成，Rust/C++ 负责性能核心，GPU 负责大规模并行计算。架构自上而下分为五个层级</w:t>
      </w:r>
      <w:r>
        <w:rPr>
          <w:vertAlign w:val="superscript"/>
        </w:rPr>
        <w:footnoteReference w:id="74"/>
      </w:r>
      <w:r>
        <w:t xml:space="preserve"> </w:t>
      </w:r>
      <w:r>
        <w:rPr>
          <w:vertAlign w:val="superscript"/>
        </w:rPr>
        <w:footnoteReference w:id="75"/>
      </w:r>
      <w:r>
        <w:t xml:space="preserve">：</w:t>
      </w:r>
    </w:p>
    <w:p>
      <w:pPr>
        <w:pStyle w:val="BodyText"/>
      </w:pPr>
      <w:r>
        <w:rPr>
          <w:bCs/>
          <w:b/>
        </w:rPr>
        <w:t xml:space="preserve">策略表达层（Python）</w:t>
      </w:r>
      <w:r>
        <w:t xml:space="preserve">：负责策略编写、信号生成和研究迭代。该层保持与 VN.PY 生态的完全兼容，用户可使用熟悉的 Python 语法编写策略逻辑，无需关心底层加速细节。</w:t>
      </w:r>
    </w:p>
    <w:p>
      <w:pPr>
        <w:pStyle w:val="BodyText"/>
      </w:pPr>
      <w:r>
        <w:rPr>
          <w:bCs/>
          <w:b/>
        </w:rPr>
        <w:t xml:space="preserve">核心引擎层（Rust）</w:t>
      </w:r>
      <w:r>
        <w:t xml:space="preserve">：通过 PyO3 绑定与 Python 层无缝集成</w:t>
      </w:r>
      <w:r>
        <w:rPr>
          <w:vertAlign w:val="superscript"/>
        </w:rPr>
        <w:footnoteReference w:id="76"/>
      </w:r>
      <w:r>
        <w:t xml:space="preserve"> </w:t>
      </w:r>
      <w:r>
        <w:rPr>
          <w:vertAlign w:val="superscript"/>
        </w:rPr>
        <w:footnoteReference w:id="77"/>
      </w:r>
      <w:r>
        <w:t xml:space="preserve">。Rust 核心负责事件驱动回测、订单管理和市场数据解析。该层利用 Rust 的零成本抽象、内存安全保证和无 GIL（全局解释器锁）特性实现真正的多线程并行。RaptorBT 是该层的性能标杆——在 1,000 bars 回测中较 VectorBT 实现 5,827 倍加速</w:t>
      </w:r>
      <w:r>
        <w:rPr>
          <w:vertAlign w:val="superscript"/>
        </w:rPr>
        <w:footnoteReference w:id="78"/>
      </w:r>
      <w:r>
        <w:t xml:space="preserve">。</w:t>
      </w:r>
    </w:p>
    <w:p>
      <w:pPr>
        <w:pStyle w:val="BodyText"/>
      </w:pPr>
      <w:r>
        <w:rPr>
          <w:bCs/>
          <w:b/>
        </w:rPr>
        <w:t xml:space="preserve">向量化计算层（NumPy/Numba）</w:t>
      </w:r>
      <w:r>
        <w:t xml:space="preserve">：负责批量指标计算和矩阵回测。VectorBT 在该层实现 675 倍加速（相对 Backtrader 基准），505 只标的 × 10 年回测仅需 12 秒（Backtrader 需 135 分钟）</w:t>
      </w:r>
      <w:r>
        <w:rPr>
          <w:vertAlign w:val="superscript"/>
        </w:rPr>
        <w:footnoteReference w:id="79"/>
      </w:r>
      <w:r>
        <w:t xml:space="preserve">。Numba JIT 编译器将 Python 代码动态编译为机器码，达到 C 级性能</w:t>
      </w:r>
      <w:r>
        <w:rPr>
          <w:vertAlign w:val="superscript"/>
        </w:rPr>
        <w:footnoteReference w:id="80"/>
      </w:r>
      <w:r>
        <w:t xml:space="preserve">。</w:t>
      </w:r>
    </w:p>
    <w:p>
      <w:pPr>
        <w:pStyle w:val="BodyText"/>
      </w:pPr>
      <w:r>
        <w:rPr>
          <w:bCs/>
          <w:b/>
        </w:rPr>
        <w:t xml:space="preserve">GPU 并行层（CUDA/Numba）</w:t>
      </w:r>
      <w:r>
        <w:t xml:space="preserve">：负责 Monte Carlo 模拟、大规模参数优化和风险计算。NVIDIA H200 GPU 在该层实现 114 倍加速（一个月期 Monte Carlo 模拟）</w:t>
      </w:r>
      <w:r>
        <w:rPr>
          <w:vertAlign w:val="superscript"/>
        </w:rPr>
        <w:footnoteReference w:id="81"/>
      </w:r>
      <w:r>
        <w:t xml:space="preserve">。RAPIDS cuDF 为 DataFrame 操作提供 GPU 加速，100M 行 groupby 仅需 1.2 秒（pandas 需 47 秒）</w:t>
      </w:r>
      <w:r>
        <w:rPr>
          <w:vertAlign w:val="superscript"/>
        </w:rPr>
        <w:footnoteReference w:id="82"/>
      </w:r>
      <w:r>
        <w:t xml:space="preserve">。</w:t>
      </w:r>
    </w:p>
    <w:p>
      <w:pPr>
        <w:pStyle w:val="BodyText"/>
      </w:pPr>
      <w:r>
        <w:rPr>
          <w:bCs/>
          <w:b/>
        </w:rPr>
        <w:t xml:space="preserve">分布式扩展层（Dask/Ray）</w:t>
      </w:r>
      <w:r>
        <w:t xml:space="preserve">：负责跨机器参数搜索和集群计算。Optuna TPE 采样器（Tree-structured Parzen Estimator）比 Grid Search 高效数个数量级</w:t>
      </w:r>
      <w:r>
        <w:rPr>
          <w:vertAlign w:val="superscript"/>
        </w:rPr>
        <w:footnoteReference w:id="83"/>
      </w:r>
      <w:r>
        <w:t xml:space="preserve">，支持线性扩展到多 worker 分布式环境。</w:t>
      </w:r>
    </w:p>
    <w:p>
      <w:pPr>
        <w:pStyle w:val="CaptionedFigure"/>
      </w:pPr>
      <w:r>
        <w:drawing>
          <wp:inline>
            <wp:extent cx="5334000" cy="3087868"/>
            <wp:effectExtent b="0" l="0" r="0" t="0"/>
            <wp:docPr descr="各框架加速比对比图" title="" id="56" name="Picture"/>
            <a:graphic>
              <a:graphicData uri="http://schemas.openxmlformats.org/drawingml/2006/picture">
                <pic:pic>
                  <pic:nvPicPr>
                    <pic:cNvPr descr="/mnt/agents/output/acceleration_chart.png" id="57" name="Picture"/>
                    <pic:cNvPicPr>
                      <a:picLocks noChangeArrowheads="1" noChangeAspect="1"/>
                    </pic:cNvPicPr>
                  </pic:nvPicPr>
                  <pic:blipFill>
                    <a:blip r:embed="rId55"/>
                    <a:stretch>
                      <a:fillRect/>
                    </a:stretch>
                  </pic:blipFill>
                  <pic:spPr bwMode="auto">
                    <a:xfrm>
                      <a:off x="0" y="0"/>
                      <a:ext cx="5334000" cy="3087868"/>
                    </a:xfrm>
                    <a:prstGeom prst="rect">
                      <a:avLst/>
                    </a:prstGeom>
                    <a:noFill/>
                    <a:ln w="9525">
                      <a:noFill/>
                      <a:headEnd/>
                      <a:tailEnd/>
                    </a:ln>
                  </pic:spPr>
                </pic:pic>
              </a:graphicData>
            </a:graphic>
          </wp:inline>
        </w:drawing>
      </w:r>
    </w:p>
    <w:p>
      <w:pPr>
        <w:pStyle w:val="ImageCaption"/>
      </w:pPr>
      <w:r>
        <w:t xml:space="preserve">各框架加速比对比图</w:t>
      </w:r>
    </w:p>
    <w:p>
      <w:pPr>
        <w:pStyle w:val="BodyText"/>
      </w:pPr>
      <w:r>
        <w:t xml:space="preserve">上图展示了各框架相对 Backtrader 基准的加速比对比。RaptorBT（Rust 核心）以 5,827 倍加速居于首位，VectorBT（NumPy 向量化）达 675 倍，GPU Numba CUDA（H200）达 114 倍，VnpyRS（Rust 重构）在保持 Python 策略兼容的前提下实现 7%-87% 加速。值得注意的是，这些加速比并非简单相加，而是相乘关系——当 Rust 核心引擎与向量化计算和 GPU 并行化协同工作时，总加速比可达数量级以上的综合提升。</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层级</w:t>
            </w:r>
          </w:p>
        </w:tc>
        <w:tc>
          <w:tcPr/>
          <w:p>
            <w:pPr>
              <w:pStyle w:val="Compact"/>
              <w:jc w:val="left"/>
            </w:pPr>
            <w:r>
              <w:t xml:space="preserve">技术栈</w:t>
            </w:r>
          </w:p>
        </w:tc>
        <w:tc>
          <w:tcPr/>
          <w:p>
            <w:pPr>
              <w:pStyle w:val="Compact"/>
              <w:jc w:val="left"/>
            </w:pPr>
            <w:r>
              <w:t xml:space="preserve">核心职责</w:t>
            </w:r>
          </w:p>
        </w:tc>
        <w:tc>
          <w:tcPr/>
          <w:p>
            <w:pPr>
              <w:pStyle w:val="Compact"/>
              <w:jc w:val="left"/>
            </w:pPr>
            <w:r>
              <w:t xml:space="preserve">性能目标</w:t>
            </w:r>
          </w:p>
        </w:tc>
        <w:tc>
          <w:tcPr/>
          <w:p>
            <w:pPr>
              <w:pStyle w:val="Compact"/>
              <w:jc w:val="left"/>
            </w:pPr>
            <w:r>
              <w:t xml:space="preserve">对标方案</w:t>
            </w:r>
          </w:p>
        </w:tc>
      </w:tr>
      <w:tr>
        <w:tc>
          <w:tcPr/>
          <w:p>
            <w:pPr>
              <w:pStyle w:val="Compact"/>
              <w:jc w:val="left"/>
            </w:pPr>
            <w:r>
              <w:t xml:space="preserve">策略表达层</w:t>
            </w:r>
          </w:p>
        </w:tc>
        <w:tc>
          <w:tcPr/>
          <w:p>
            <w:pPr>
              <w:pStyle w:val="Compact"/>
              <w:jc w:val="left"/>
            </w:pPr>
            <w:r>
              <w:t xml:space="preserve">Python + NumPy/Pandas</w:t>
            </w:r>
          </w:p>
        </w:tc>
        <w:tc>
          <w:tcPr/>
          <w:p>
            <w:pPr>
              <w:pStyle w:val="Compact"/>
              <w:jc w:val="left"/>
            </w:pPr>
            <w:r>
              <w:t xml:space="preserve">策略编写、信号生成、研究迭代</w:t>
            </w:r>
          </w:p>
        </w:tc>
        <w:tc>
          <w:tcPr/>
          <w:p>
            <w:pPr>
              <w:pStyle w:val="Compact"/>
              <w:jc w:val="left"/>
            </w:pPr>
            <w:r>
              <w:t xml:space="preserve">开发效率优先</w:t>
            </w:r>
          </w:p>
        </w:tc>
        <w:tc>
          <w:tcPr/>
          <w:p>
            <w:pPr>
              <w:pStyle w:val="Compact"/>
              <w:jc w:val="left"/>
            </w:pPr>
            <w:r>
              <w:t xml:space="preserve">VN.PY 兼容</w:t>
            </w:r>
          </w:p>
        </w:tc>
      </w:tr>
      <w:tr>
        <w:tc>
          <w:tcPr/>
          <w:p>
            <w:pPr>
              <w:pStyle w:val="Compact"/>
              <w:jc w:val="left"/>
            </w:pPr>
            <w:r>
              <w:t xml:space="preserve">核心引擎层</w:t>
            </w:r>
          </w:p>
        </w:tc>
        <w:tc>
          <w:tcPr/>
          <w:p>
            <w:pPr>
              <w:pStyle w:val="Compact"/>
              <w:jc w:val="left"/>
            </w:pPr>
            <w:r>
              <w:t xml:space="preserve">Rust + PyO3</w:t>
            </w:r>
          </w:p>
        </w:tc>
        <w:tc>
          <w:tcPr/>
          <w:p>
            <w:pPr>
              <w:pStyle w:val="Compact"/>
              <w:jc w:val="left"/>
            </w:pPr>
            <w:r>
              <w:t xml:space="preserve">事件驱动回测、订单管理、数据解析</w:t>
            </w:r>
          </w:p>
        </w:tc>
        <w:tc>
          <w:tcPr/>
          <w:p>
            <w:pPr>
              <w:pStyle w:val="Compact"/>
              <w:jc w:val="left"/>
            </w:pPr>
            <w:r>
              <w:t xml:space="preserve">&lt;1μs/事件</w:t>
            </w:r>
          </w:p>
        </w:tc>
        <w:tc>
          <w:tcPr/>
          <w:p>
            <w:pPr>
              <w:pStyle w:val="Compact"/>
              <w:jc w:val="left"/>
            </w:pPr>
            <w:r>
              <w:t xml:space="preserve">RaptorBT</w:t>
            </w:r>
          </w:p>
        </w:tc>
      </w:tr>
      <w:tr>
        <w:tc>
          <w:tcPr/>
          <w:p>
            <w:pPr>
              <w:pStyle w:val="Compact"/>
              <w:jc w:val="left"/>
            </w:pPr>
            <w:r>
              <w:t xml:space="preserve">向量化计算层</w:t>
            </w:r>
          </w:p>
        </w:tc>
        <w:tc>
          <w:tcPr/>
          <w:p>
            <w:pPr>
              <w:pStyle w:val="Compact"/>
              <w:jc w:val="left"/>
            </w:pPr>
            <w:r>
              <w:t xml:space="preserve">Numba JIT + NumPy</w:t>
            </w:r>
          </w:p>
        </w:tc>
        <w:tc>
          <w:tcPr/>
          <w:p>
            <w:pPr>
              <w:pStyle w:val="Compact"/>
              <w:jc w:val="left"/>
            </w:pPr>
            <w:r>
              <w:t xml:space="preserve">批量指标计算、矩阵回测、参数扫描</w:t>
            </w:r>
          </w:p>
        </w:tc>
        <w:tc>
          <w:tcPr/>
          <w:p>
            <w:pPr>
              <w:pStyle w:val="Compact"/>
              <w:jc w:val="left"/>
            </w:pPr>
            <w:r>
              <w:t xml:space="preserve">100k+ bars/秒</w:t>
            </w:r>
          </w:p>
        </w:tc>
        <w:tc>
          <w:tcPr/>
          <w:p>
            <w:pPr>
              <w:pStyle w:val="Compact"/>
              <w:jc w:val="left"/>
            </w:pPr>
            <w:r>
              <w:t xml:space="preserve">VectorBT PRO</w:t>
            </w:r>
          </w:p>
        </w:tc>
      </w:tr>
      <w:tr>
        <w:tc>
          <w:tcPr/>
          <w:p>
            <w:pPr>
              <w:pStyle w:val="Compact"/>
              <w:jc w:val="left"/>
            </w:pPr>
            <w:r>
              <w:t xml:space="preserve">GPU 并行层</w:t>
            </w:r>
          </w:p>
        </w:tc>
        <w:tc>
          <w:tcPr/>
          <w:p>
            <w:pPr>
              <w:pStyle w:val="Compact"/>
              <w:jc w:val="left"/>
            </w:pPr>
            <w:r>
              <w:t xml:space="preserve">CUDA/Numba + cuDF</w:t>
            </w:r>
          </w:p>
        </w:tc>
        <w:tc>
          <w:tcPr/>
          <w:p>
            <w:pPr>
              <w:pStyle w:val="Compact"/>
              <w:jc w:val="left"/>
            </w:pPr>
            <w:r>
              <w:t xml:space="preserve">Monte Carlo 模拟、大规模优化、风险计算</w:t>
            </w:r>
          </w:p>
        </w:tc>
        <w:tc>
          <w:tcPr/>
          <w:p>
            <w:pPr>
              <w:pStyle w:val="Compact"/>
              <w:jc w:val="left"/>
            </w:pPr>
            <w:r>
              <w:t xml:space="preserve">114x GPU 加速</w:t>
            </w:r>
          </w:p>
        </w:tc>
        <w:tc>
          <w:tcPr/>
          <w:p>
            <w:pPr>
              <w:pStyle w:val="Compact"/>
              <w:jc w:val="left"/>
            </w:pPr>
            <w:r>
              <w:t xml:space="preserve">RAPIDS</w:t>
            </w:r>
          </w:p>
        </w:tc>
      </w:tr>
      <w:tr>
        <w:tc>
          <w:tcPr/>
          <w:p>
            <w:pPr>
              <w:pStyle w:val="Compact"/>
              <w:jc w:val="left"/>
            </w:pPr>
            <w:r>
              <w:t xml:space="preserve">分布式扩展层</w:t>
            </w:r>
          </w:p>
        </w:tc>
        <w:tc>
          <w:tcPr/>
          <w:p>
            <w:pPr>
              <w:pStyle w:val="Compact"/>
              <w:jc w:val="left"/>
            </w:pPr>
            <w:r>
              <w:t xml:space="preserve">Dask/Ray + Optuna</w:t>
            </w:r>
          </w:p>
        </w:tc>
        <w:tc>
          <w:tcPr/>
          <w:p>
            <w:pPr>
              <w:pStyle w:val="Compact"/>
              <w:jc w:val="left"/>
            </w:pPr>
            <w:r>
              <w:t xml:space="preserve">跨机器参数搜索、集群计算</w:t>
            </w:r>
          </w:p>
        </w:tc>
        <w:tc>
          <w:tcPr/>
          <w:p>
            <w:pPr>
              <w:pStyle w:val="Compact"/>
              <w:jc w:val="left"/>
            </w:pPr>
            <w:r>
              <w:t xml:space="preserve">线性扩展</w:t>
            </w:r>
          </w:p>
        </w:tc>
        <w:tc>
          <w:tcPr/>
          <w:p>
            <w:pPr>
              <w:pStyle w:val="Compact"/>
              <w:jc w:val="left"/>
            </w:pPr>
            <w:r>
              <w:t xml:space="preserve">QuantConnect</w:t>
            </w:r>
          </w:p>
        </w:tc>
      </w:tr>
    </w:tbl>
    <w:p>
      <w:pPr>
        <w:pStyle w:val="BodyText"/>
      </w:pPr>
      <w:r>
        <w:t xml:space="preserve">上表汇总了”加速踏板”五层架构的技术选型与性能目标。各层之间通过标准化数据格式（Apache Arrow）和绑定接口（PyO3/Cython）实现无缝衔接，形成从策略研究到生产验证的平滑性能梯度。</w:t>
      </w:r>
    </w:p>
    <w:bookmarkEnd w:id="58"/>
    <w:bookmarkStart w:id="59" w:name="各层加速比实测数据"/>
    <w:p>
      <w:pPr>
        <w:pStyle w:val="Heading4"/>
      </w:pPr>
      <w:r>
        <w:t xml:space="preserve">2.3.2 各层加速比实测数据</w:t>
      </w:r>
    </w:p>
    <w:p>
      <w:pPr>
        <w:pStyle w:val="FirstParagraph"/>
      </w:pPr>
      <w:r>
        <w:t xml:space="preserve">各层加速性能的实测数据构成了架构选型的量化基础。RaptorBT 在 1,000 bars 数据集上回测耗时仅 0.25ms（VectorBT 为 1,460ms），加速比达 5,827 倍；即使在 50,000 bars 大数据集上，加速比仍维持在 26 倍（43ms vs 1.68ms）</w:t>
      </w:r>
      <w:fldSimple w:instr="NOTEREF _Ref_Footnote_78 \h \f">
        <w:r>
          <w:rPr>
            <w:vertAlign w:val="superscript"/>
          </w:rPr>
          <w:t>78</w:t>
        </w:r>
      </w:fldSimple>
      <w:r>
        <w:t xml:space="preserve">。RaptorBT 的 33 种财务指标与 VectorBT 完全对等（Sharpe、Sortino、Calmar、Omega、SQN 等），支持 6 种策略类型（单资产、篮子、配对交易、期权、价差、多策略），并通过确定性执行消除了 JIT 编译方差。</w:t>
      </w:r>
    </w:p>
    <w:p>
      <w:pPr>
        <w:pStyle w:val="BodyText"/>
      </w:pPr>
      <w:r>
        <w:t xml:space="preserve">VnpyRS 作为 VN.PY 生态的 Rust 重构方案，在保持 100% Python 策略代码兼容性的前提下实现显著加速</w:t>
      </w:r>
      <w:fldSimple w:instr="NOTEREF _Ref_Footnote_77 \h \f">
        <w:r>
          <w:rPr>
            <w:vertAlign w:val="superscript"/>
          </w:rPr>
          <w:t>77</w:t>
        </w:r>
      </w:fldSimple>
      <w:r>
        <w:t xml:space="preserve"> </w:t>
      </w:r>
      <w:r>
        <w:rPr>
          <w:vertAlign w:val="superscript"/>
        </w:rPr>
        <w:footnoteReference w:id="84"/>
      </w:r>
      <w:r>
        <w:t xml:space="preserve">。具体策略的加速数据为：AtrRsiStrategy 从 11.7 秒降至 8.62 秒（36% 加速）、BollChannelStrategy 从 1.82 秒降至 1.09 秒（67% 加速）、DualThrustStrategy 从 6.38 秒降至 3.42 秒（87% 加速）、TurtleSignalStrategy 从 19.8 秒降至 11.8 秒（68% 加速）。VnpyRS 的核心技术细节包括 PyO3 绑定（Python 调用 Rust）、wgpu K 线图表技术（加速 100 倍以上）以及数据库读取最快 6 倍（SQLite）。</w:t>
      </w:r>
    </w:p>
    <w:p>
      <w:pPr>
        <w:pStyle w:val="BodyText"/>
      </w:pPr>
      <w:r>
        <w:t xml:space="preserve">GPU 层的加速主要来自路径维度的并行化（时间维度因序列依赖无法并行）。NVIDIA H200 在 Monte Carlo 期权定价场景中实现 537 倍加速（GPU 25.2ms vs CPU 13,530ms，500 万路径 × 365 步）</w:t>
      </w:r>
      <w:r>
        <w:rPr>
          <w:vertAlign w:val="superscript"/>
        </w:rPr>
        <w:footnoteReference w:id="85"/>
      </w:r>
      <w:r>
        <w:t xml:space="preserve">。在最优 batch 配置下（500K batch），GPU 吞吐量可达 1.58B paths/second，加速比飙升至 25,476 倍</w:t>
      </w:r>
      <w:r>
        <w:rPr>
          <w:vertAlign w:val="superscript"/>
        </w:rPr>
        <w:footnoteReference w:id="86"/>
      </w:r>
      <w:r>
        <w:t xml:space="preserve">。Polars GPU 引擎（通过 cuDF 提供加速）在 PDS-H 基准 22 查询测试中实现 13 倍加速（H100 GPU vs Intel Xeon CPU），且零代码变更即可启用（</w:t>
      </w:r>
      <w:r>
        <w:rPr>
          <w:rStyle w:val="VerbatimChar"/>
        </w:rPr>
        <w:t xml:space="preserve">.collect(engine="gpu")</w:t>
      </w:r>
      <w:r>
        <w:t xml:space="preserve">）</w:t>
      </w:r>
      <w:r>
        <w:rPr>
          <w:vertAlign w:val="superscript"/>
        </w:rPr>
        <w:footnoteReference w:id="87"/>
      </w:r>
      <w:r>
        <w:t xml:space="preserve">。</w:t>
      </w:r>
    </w:p>
    <w:p>
      <w:pPr>
        <w:pStyle w:val="BodyText"/>
      </w:pPr>
      <w:r>
        <w:t xml:space="preserve">NautilusTrader 的实践验证了混合加速架构的行业可行性</w:t>
      </w:r>
      <w:r>
        <w:rPr>
          <w:vertAlign w:val="superscript"/>
        </w:rPr>
        <w:footnoteReference w:id="88"/>
      </w:r>
      <w:r>
        <w:t xml:space="preserve"> </w:t>
      </w:r>
      <w:fldSimple w:instr="NOTEREF _Ref_Footnote_75 \h \f">
        <w:r>
          <w:rPr>
            <w:vertAlign w:val="superscript"/>
          </w:rPr>
          <w:t>75</w:t>
        </w:r>
      </w:fldSimple>
      <w:r>
        <w:t xml:space="preserve">。该框架的回测和实盘使用完全相同的代码，关键核心（order matching、message bus、序列化）用 Rust 编写，通过 CPython C 扩展提供 Python 原生环境，实现 100,000+ events/秒的事件处理吞吐量。这一架构选择表明，</w:t>
      </w:r>
      <w:r>
        <w:t xml:space="preserve">“</w:t>
      </w:r>
      <w:r>
        <w:t xml:space="preserve">向量化用于快速研究、事件驱动用于高保真回测和实盘</w:t>
      </w:r>
      <w:r>
        <w:t xml:space="preserve">”</w:t>
      </w:r>
      <w:r>
        <w:t xml:space="preserve">已成为行业共识</w:t>
      </w:r>
      <w:fldSimple w:instr="NOTEREF _Ref_Footnote_74 \h \f">
        <w:r>
          <w:rPr>
            <w:vertAlign w:val="superscript"/>
          </w:rPr>
          <w:t>74</w:t>
        </w:r>
      </w:fldSimple>
      <w:r>
        <w:t xml:space="preserve">。</w:t>
      </w:r>
    </w:p>
    <w:bookmarkEnd w:id="59"/>
    <w:bookmarkStart w:id="60" w:name="增量计算与缓存复用"/>
    <w:p>
      <w:pPr>
        <w:pStyle w:val="Heading4"/>
      </w:pPr>
      <w:r>
        <w:t xml:space="preserve">2.3.3 增量计算与缓存复用</w:t>
      </w:r>
    </w:p>
    <w:p>
      <w:pPr>
        <w:pStyle w:val="FirstParagraph"/>
      </w:pPr>
      <w:r>
        <w:t xml:space="preserve">增量计算（Incremental Computation）是”加速踏板”架构在参数优化场景下的关键优化策略。其核心思想是：当输入发生微小变化时，只重新计算受影响的部分，而非从头开始</w:t>
      </w:r>
      <w:r>
        <w:rPr>
          <w:vertAlign w:val="superscript"/>
        </w:rPr>
        <w:footnoteReference w:id="89"/>
      </w:r>
      <w:r>
        <w:t xml:space="preserve">。</w:t>
      </w:r>
    </w:p>
    <w:p>
      <w:pPr>
        <w:pStyle w:val="BodyText"/>
      </w:pPr>
      <w:r>
        <w:t xml:space="preserve">系统采用”缓存-剪枝法”（Cache-and-Prune）三阶段策略</w:t>
      </w:r>
      <w:r>
        <w:rPr>
          <w:vertAlign w:val="superscript"/>
        </w:rPr>
        <w:footnoteReference w:id="90"/>
      </w:r>
      <w:r>
        <w:t xml:space="preserve">：Stage I 缓存所有中间结果（指标计算、信号生成、PnL 累积）；Stage II 利用缓存结果进行增量计算——当仅调整止损参数时，RSI、均线等指标计算完全复用，只重新计算与止损相关的退出逻辑，预计节省 60%-90% 计算量；Stage III 剪除无用结果，减少空间消耗。</w:t>
      </w:r>
    </w:p>
    <w:p>
      <w:pPr>
        <w:pStyle w:val="BodyText"/>
      </w:pPr>
      <w:r>
        <w:t xml:space="preserve">缓存复用的关键设计在于精确的缓存键和失效策略。缓存键由参数哈希 + 数据版本 + 指标类型三元组构成，确保不同策略配置间的隔离性。缓存失效策略遵循粒度化原则：数据更新时仅失效相关时间窗口的缓存（而非全量清除）；参数变更时通过依赖图精确识别受影响的计算链（仅重算下游节点）；策略变更时粒度化到函数级别的缓存失效（仅重算修改函数及其调用者）。</w:t>
      </w:r>
    </w:p>
    <w:p>
      <w:pPr>
        <w:pStyle w:val="BodyText"/>
      </w:pPr>
      <w:r>
        <w:t xml:space="preserve">选择性缓存（Selective Caching）进一步优化了空间效率——只缓存增量计算中实际需要的中间结果，而非所有计算产物</w:t>
      </w:r>
      <w:fldSimple w:instr="NOTEREF _Ref_Footnote_89 \h \f">
        <w:r>
          <w:rPr>
            <w:vertAlign w:val="superscript"/>
          </w:rPr>
          <w:t>89</w:t>
        </w:r>
      </w:fldSimple>
      <w:r>
        <w:t xml:space="preserve">。辅助信息发现（Auxiliary Information）技术则通过分析计算依赖图，识别并利用有助于增量计算的辅助值，进一步减少冗余计算。在每日增量回测场景中，当新增一天数据时，历史指标结果完全复用，只计算新增数据窗口的指标，适用于每日增量回测的生产环境</w:t>
      </w:r>
      <w:r>
        <w:rPr>
          <w:vertAlign w:val="superscript"/>
        </w:rPr>
        <w:footnoteReference w:id="91"/>
      </w:r>
      <w:r>
        <w:t xml:space="preserve">。</w:t>
      </w:r>
    </w:p>
    <w:bookmarkEnd w:id="60"/>
    <w:bookmarkStart w:id="61" w:name="内存优化"/>
    <w:p>
      <w:pPr>
        <w:pStyle w:val="Heading4"/>
      </w:pPr>
      <w:r>
        <w:t xml:space="preserve">2.3.4 内存优化</w:t>
      </w:r>
    </w:p>
    <w:p>
      <w:pPr>
        <w:pStyle w:val="FirstParagraph"/>
      </w:pPr>
      <w:r>
        <w:t xml:space="preserve">内存优化是高性能回测的基础设施层，</w:t>
      </w:r>
      <w:r>
        <w:t xml:space="preserve">“</w:t>
      </w:r>
      <w:r>
        <w:t xml:space="preserve">加速踏板</w:t>
      </w:r>
      <w:r>
        <w:t xml:space="preserve">”</w:t>
      </w:r>
      <w:r>
        <w:t xml:space="preserve">架构综合应用了零拷贝 Arrow 格式、内存映射（mmap）和对象池三项核心技术。</w:t>
      </w:r>
    </w:p>
    <w:p>
      <w:pPr>
        <w:pStyle w:val="BodyText"/>
      </w:pPr>
      <w:r>
        <w:rPr>
          <w:bCs/>
          <w:b/>
        </w:rPr>
        <w:t xml:space="preserve">零拷贝（Zero-Copy）Arrow 格式</w:t>
      </w:r>
      <w:r>
        <w:t xml:space="preserve"> </w:t>
      </w:r>
      <w:r>
        <w:t xml:space="preserve">是跨语言数据交换的基石</w:t>
      </w:r>
      <w:fldSimple w:instr="NOTEREF _Ref_Footnote_76 \h \f">
        <w:r>
          <w:rPr>
            <w:vertAlign w:val="superscript"/>
          </w:rPr>
          <w:t>76</w:t>
        </w:r>
      </w:fldSimple>
      <w:r>
        <w:t xml:space="preserve"> </w:t>
      </w:r>
      <w:r>
        <w:rPr>
          <w:vertAlign w:val="superscript"/>
        </w:rPr>
        <w:footnoteReference w:id="92"/>
      </w:r>
      <w:r>
        <w:t xml:space="preserve">。Apache Arrow 的列式存储结构天然适合 SIMD 向量化操作，零拷贝序列化使得 Python 与 Rust 之间的数据传输无需内存复制——Python 策略层通过 PyO3 绑定调用 Rust 核心引擎，数据以 Arrow FFI（Foreign Function Interface）格式传递，延迟降至微秒级。Farukon 的架构展示了这一技术的极致应用：AI 模型直接从内存映射的</w:t>
      </w:r>
      <w:r>
        <w:t xml:space="preserve"> </w:t>
      </w:r>
      <w:r>
        <w:rPr>
          <w:rStyle w:val="VerbatimChar"/>
        </w:rPr>
        <w:t xml:space="preserve">.bin</w:t>
      </w:r>
      <w:r>
        <w:t xml:space="preserve"> </w:t>
      </w:r>
      <w:r>
        <w:t xml:space="preserve">文件查询 OHLCV 数据，无序列化开销，数据驻留在 OS 页缓存中</w:t>
      </w:r>
      <w:r>
        <w:rPr>
          <w:vertAlign w:val="superscript"/>
        </w:rPr>
        <w:footnoteReference w:id="93"/>
      </w:r>
      <w:r>
        <w:t xml:space="preserve">。</w:t>
      </w:r>
    </w:p>
    <w:p>
      <w:pPr>
        <w:pStyle w:val="BodyText"/>
      </w:pPr>
      <w:r>
        <w:rPr>
          <w:bCs/>
          <w:b/>
        </w:rPr>
        <w:t xml:space="preserve">内存映射（mmap）</w:t>
      </w:r>
      <w:r>
        <w:t xml:space="preserve"> </w:t>
      </w:r>
      <w:r>
        <w:t xml:space="preserve">为大文件随机访问提供了操作系统级优化</w:t>
      </w:r>
      <w:r>
        <w:rPr>
          <w:vertAlign w:val="superscript"/>
        </w:rPr>
        <w:footnoteReference w:id="94"/>
      </w:r>
      <w:r>
        <w:t xml:space="preserve"> </w:t>
      </w:r>
      <w:fldSimple w:instr="NOTEREF _Ref_Footnote_93 \h \f">
        <w:r>
          <w:rPr>
            <w:vertAlign w:val="superscript"/>
          </w:rPr>
          <w:t>93</w:t>
        </w:r>
      </w:fldSimple>
      <w:r>
        <w:t xml:space="preserve">。mmap 的核心优势包括：零拷贝访问（直接从文件系统缓存访问数据）、懒加载（只加载实际访问的部分）、OS 级自动预读和缓存、以及多进程高效共享同一文件。NautilusTrader 的流式 mmap 实现支持超内存数据集的惰性加载，大文件分块按需消费</w:t>
      </w:r>
      <w:r>
        <w:rPr>
          <w:vertAlign w:val="superscript"/>
        </w:rPr>
        <w:footnoteReference w:id="95"/>
      </w:r>
      <w:r>
        <w:t xml:space="preserve">。Farukon 通过 FlatBuffers + mmap 组合实现 10GB OHLCV 数据 &lt; 0.1 秒加载</w:t>
      </w:r>
      <w:fldSimple w:instr="NOTEREF _Ref_Footnote_93 \h \f">
        <w:r>
          <w:rPr>
            <w:vertAlign w:val="superscript"/>
          </w:rPr>
          <w:t>93</w:t>
        </w:r>
      </w:fldSimple>
      <w:r>
        <w:t xml:space="preserve">。</w:t>
      </w:r>
    </w:p>
    <w:p>
      <w:pPr>
        <w:pStyle w:val="BodyText"/>
      </w:pPr>
      <w:r>
        <w:rPr>
          <w:bCs/>
          <w:b/>
        </w:rPr>
        <w:t xml:space="preserve">对象池与缓冲区复用</w:t>
      </w:r>
      <w:r>
        <w:t xml:space="preserve"> </w:t>
      </w:r>
      <w:r>
        <w:t xml:space="preserve">在 Rust 回测引擎中至关重要</w:t>
      </w:r>
      <w:r>
        <w:rPr>
          <w:vertAlign w:val="superscript"/>
        </w:rPr>
        <w:footnoteReference w:id="96"/>
      </w:r>
      <w:r>
        <w:t xml:space="preserve">。对比两种内存分配模式——低效模式（每次循环分配新 Vec）与高效模式（复用已有内存，通过</w:t>
      </w:r>
      <w:r>
        <w:t xml:space="preserve"> </w:t>
      </w:r>
      <w:r>
        <w:rPr>
          <w:rStyle w:val="VerbatimChar"/>
        </w:rPr>
        <w:t xml:space="preserve">clear()</w:t>
      </w:r>
      <w:r>
        <w:t xml:space="preserve"> </w:t>
      </w:r>
      <w:r>
        <w:t xml:space="preserve">重置）——在高频回测循环中，后者可消除大量内存分配/GC 开销。对象池模式适用于频繁创建/销毁的对象（如订单、仓位记录），通过预分配固定大小的对象池避免动态分配。</w:t>
      </w:r>
    </w:p>
    <w:p>
      <w:pPr>
        <w:pStyle w:val="BodyText"/>
      </w:pPr>
      <w:r>
        <w:t xml:space="preserve">GlowBack 架构展示了生产级内存优化的综合方案</w:t>
      </w:r>
      <w:fldSimple w:instr="NOTEREF _Ref_Footnote_76 \h \f">
        <w:r>
          <w:rPr>
            <w:vertAlign w:val="superscript"/>
          </w:rPr>
          <w:t>76</w:t>
        </w:r>
      </w:fldSimple>
      <w:r>
        <w:t xml:space="preserve">：Redis Cluster 作为热数据缓存（毫秒级延迟）、Parquet 文件提供压缩列存储、Apache Arrow 实现内存零拷贝、DuckDB 负责本地分析和元数据查询。这一四级存储体系覆盖了从热数据到冷数据的全生命周期，确保回测引擎在不同数据规模下均维持稳定的性能表现。cuDF 读取 Parquet 的速度比 pandas 快 100 倍</w:t>
      </w:r>
      <w:r>
        <w:rPr>
          <w:vertAlign w:val="superscript"/>
        </w:rPr>
        <w:footnoteReference w:id="97"/>
      </w:r>
      <w:r>
        <w:t xml:space="preserve">，PyArrow 读取 Parquet 比 CSV 快 100 倍——这些数据加载性能的提升直接转化为回测启动时间的缩短，对于需要频繁加载大规模数据集（505 只标的 × 10 年日线）的参数优化场景尤为关键。</w:t>
      </w:r>
    </w:p>
    <w:p>
      <w:r>
        <w:pict>
          <v:rect style="width:0;height:1.5pt" o:hralign="center" o:hrstd="t" o:hr="t"/>
        </w:pict>
      </w:r>
    </w:p>
    <w:bookmarkEnd w:id="61"/>
    <w:bookmarkEnd w:id="62"/>
    <w:bookmarkEnd w:id="63"/>
    <w:bookmarkStart w:id="76" w:name="系统架构设计方案"/>
    <w:p>
      <w:pPr>
        <w:pStyle w:val="Heading2"/>
      </w:pPr>
      <w:r>
        <w:t xml:space="preserve">3. 系统架构设计方案</w:t>
      </w:r>
    </w:p>
    <w:bookmarkStart w:id="67" w:name="整体架构设计"/>
    <w:p>
      <w:pPr>
        <w:pStyle w:val="Heading3"/>
      </w:pPr>
      <w:r>
        <w:t xml:space="preserve">3.1 整体架构设计</w:t>
      </w:r>
    </w:p>
    <w:bookmarkStart w:id="64" w:name="五层架构数据层计算层策略层执行层展示层"/>
    <w:p>
      <w:pPr>
        <w:pStyle w:val="Heading4"/>
      </w:pPr>
      <w:r>
        <w:t xml:space="preserve">3.1.1 五层架构：数据层→计算层→策略层→执行层→展示层</w:t>
      </w:r>
    </w:p>
    <w:p>
      <w:pPr>
        <w:pStyle w:val="FirstParagraph"/>
      </w:pPr>
      <w:r>
        <w:t xml:space="preserve">经过对 NautilusTrader、LEAN、VectorBT Pro 等主流量化平台架构的深度比对，本系统采用五层分层架构作为整体骨架。分层设计的核心逻辑在于”关注点隔离”——每一层仅对下层产生依赖，同层模块间通过明确定义的接口交互，从而将系统复杂度约束在可管理的边界之内</w:t>
      </w:r>
      <w:fldSimple w:instr="NOTEREF _Ref_Footnote_88 \h \f">
        <w:r>
          <w:rPr>
            <w:vertAlign w:val="superscript"/>
          </w:rPr>
          <w:t>88</w:t>
        </w:r>
      </w:fldSimple>
      <w:r>
        <w:t xml:space="preserve"> </w:t>
      </w:r>
      <w:fldSimple w:instr="NOTEREF _Ref_Footnote_75 \h \f">
        <w:r>
          <w:rPr>
            <w:vertAlign w:val="superscript"/>
          </w:rPr>
          <w:t>75</w:t>
        </w:r>
      </w:fldSimple>
      <w:r>
        <w:t xml:space="preserve">。</w:t>
      </w:r>
    </w:p>
    <w:p>
      <w:pPr>
        <w:pStyle w:val="BodyText"/>
      </w:pPr>
      <w:r>
        <w:t xml:space="preserve">数据层（Data Layer）是整个系统的地基，承担多源异构数据的采集、存储与分发职能。该层采用”三级存储”架构：热数据（最近 N 个交易日的 tick 级数据）驻留于 Redis 缓存，提供亚毫秒级随机访问；温数据（近 1-3 年的分钟/日频数据）存储于 QuestDB 时序数据库，借助其列式存储和向量化查询能力实现秒级分析响应；冷数据（全量历史数据）以 Apache Parquet 格式归档于对象存储（S3/MinIO），兼顾压缩率与跨平台兼容性</w:t>
      </w:r>
      <w:fldSimple w:instr="NOTEREF _Ref_Footnote_69 \h \f">
        <w:r>
          <w:rPr>
            <w:vertAlign w:val="superscript"/>
          </w:rPr>
          <w:t>69</w:t>
        </w:r>
      </w:fldSimple>
      <w:r>
        <w:t xml:space="preserve"> </w:t>
      </w:r>
      <w:r>
        <w:rPr>
          <w:vertAlign w:val="superscript"/>
        </w:rPr>
        <w:footnoteReference w:id="98"/>
      </w:r>
      <w:r>
        <w:t xml:space="preserve">。Kafka 消息总线作为数据层的”神经系统”，负责将实时行情从交易所推送端路由至各消费模块，端到端延迟控制在 2 毫秒以内</w:t>
      </w:r>
      <w:fldSimple w:instr="NOTEREF _Ref_Footnote_52 \h \f">
        <w:r>
          <w:rPr>
            <w:vertAlign w:val="superscript"/>
          </w:rPr>
          <w:t>52</w:t>
        </w:r>
      </w:fldSimple>
      <w:r>
        <w:t xml:space="preserve">。</w:t>
      </w:r>
    </w:p>
    <w:p>
      <w:pPr>
        <w:pStyle w:val="BodyText"/>
      </w:pPr>
      <w:r>
        <w:t xml:space="preserve">计算层（Compute Layer）是系统的性能核心，采用第 2 章所述的”加速踏板”五层加速架构。向量化计算引擎以 Polars DataFrame 为数据载体，配合 NumPy/Numba 实现批量指标计算，在参数扫描场景下较 pandas 基线提升 8-15 倍</w:t>
      </w:r>
      <w:r>
        <w:rPr>
          <w:vertAlign w:val="superscript"/>
        </w:rPr>
        <w:footnoteReference w:id="99"/>
      </w:r>
      <w:r>
        <w:t xml:space="preserve">；事件驱动引擎基于 Rust 异步运行时（tokio）构建，实现 100,000+ events/秒的事件处理吞吐量，单事件延迟低于 1 微秒</w:t>
      </w:r>
      <w:fldSimple w:instr="NOTEREF _Ref_Footnote_88 \h \f">
        <w:r>
          <w:rPr>
            <w:vertAlign w:val="superscript"/>
          </w:rPr>
          <w:t>88</w:t>
        </w:r>
      </w:fldSimple>
      <w:r>
        <w:t xml:space="preserve">；GPU 并行层通过 CUDA/cuDF 承载 Monte Carlo 模拟和大规模参数优化，NVIDIA H200 在期权定价场景中实现 537 倍加速</w:t>
      </w:r>
      <w:fldSimple w:instr="NOTEREF _Ref_Footnote_85 \h \f">
        <w:r>
          <w:rPr>
            <w:vertAlign w:val="superscript"/>
          </w:rPr>
          <w:t>85</w:t>
        </w:r>
      </w:fldSimple>
      <w:r>
        <w:t xml:space="preserve">。三层计算引擎并非互斥替代，而是根据任务特征自动路由——参数空间探索走向量化通道，高保真回测走事件驱动通道，大规模风险计算走 GPU 通道。</w:t>
      </w:r>
    </w:p>
    <w:p>
      <w:pPr>
        <w:pStyle w:val="BodyText"/>
      </w:pPr>
      <w:r>
        <w:t xml:space="preserve">策略层（Strategy Layer）是系统的差异化价值所在。Market State 引擎与 MISS 拆解框架构成该层的双核驱动：Market State 引擎通过 HMM 基线模型实时检测市场体制（趋势/震荡/危机），AFRN-HyperFlow 深度学习模块将检测准确率从 HMM 的 74.8% 提升至 87.2%，平均滞后从 4.1 天缩短至 2.8 天</w:t>
      </w:r>
      <w:fldSimple w:instr="NOTEREF _Ref_Footnote_55 \h \f">
        <w:r>
          <w:rPr>
            <w:vertAlign w:val="superscript"/>
          </w:rPr>
          <w:t>55</w:t>
        </w:r>
      </w:fldSimple>
      <w:r>
        <w:t xml:space="preserve">；MISS 框架将市场环境拆解为价格结构（P）、波动率（V）、流动性（L）、信息流（I）四个正交维度，形成 1,440 种可计算的市场状态组合，为策略映射提供细粒度决策基础。策略生成器采用 SQX 风格的遗传编程（Genetic Programming）引擎，通过构建块系统（趋势指标/动量震荡器/波动率指标/价格形态）在搜索空间中自动进化策略</w:t>
      </w:r>
      <w:fldSimple w:instr="NOTEREF _Ref_Footnote_74 \h \f">
        <w:r>
          <w:rPr>
            <w:vertAlign w:val="superscript"/>
          </w:rPr>
          <w:t>74</w:t>
        </w:r>
      </w:fldSimple>
      <w:r>
        <w:t xml:space="preserve">。AI Agent 系统则作为”策略助手”，通过多 Agent 协作提升策略发现效率——实证研究表明，多 Agent 系统在 A 股实盘环境下可实现 100% 以上超额收益</w:t>
      </w:r>
      <w:fldSimple w:instr="NOTEREF _Ref_Footnote_56 \h \f">
        <w:r>
          <w:rPr>
            <w:vertAlign w:val="superscript"/>
          </w:rPr>
          <w:t>56</w:t>
        </w:r>
      </w:fldSimple>
      <w:r>
        <w:t xml:space="preserve">。</w:t>
      </w:r>
    </w:p>
    <w:p>
      <w:pPr>
        <w:pStyle w:val="BodyText"/>
      </w:pPr>
      <w:r>
        <w:t xml:space="preserve">执行层（Execution Layer）负责将策略信号转化为实际交易指令。Gateway 抽象层采用 VN.PY 的适配器模式，将 CTP、Interactive Brokers、Binance 等异构接口统一为标准数据对象（TickData/OrderData/TradeData），策略代码完全无需关心底层交易所差异</w:t>
      </w:r>
      <w:r>
        <w:rPr>
          <w:vertAlign w:val="superscript"/>
        </w:rPr>
        <w:footnoteReference w:id="100"/>
      </w:r>
      <w:r>
        <w:t xml:space="preserve"> </w:t>
      </w:r>
      <w:r>
        <w:rPr>
          <w:vertAlign w:val="superscript"/>
        </w:rPr>
        <w:footnoteReference w:id="101"/>
      </w:r>
      <w:r>
        <w:t xml:space="preserve">。OMS 订单管理系统实现订单全生命周期追踪，遵循两条关键不变量：每笔下单携带全链路唯一的 client_order_id，一个交易意图仅对应一份在途订单状态</w:t>
      </w:r>
      <w:r>
        <w:rPr>
          <w:vertAlign w:val="superscript"/>
        </w:rPr>
        <w:footnoteReference w:id="102"/>
      </w:r>
      <w:r>
        <w:t xml:space="preserve">。算法执行模块内建 TWAP、VWAP 和冰山订单三种主流算法，其中 VWAP 基于 LSTM 的成交量预测模型动态调整执行节奏</w:t>
      </w:r>
      <w:r>
        <w:rPr>
          <w:vertAlign w:val="superscript"/>
        </w:rPr>
        <w:footnoteReference w:id="103"/>
      </w:r>
      <w:r>
        <w:t xml:space="preserve">。模拟撮合引擎支持四套环境（Research/Backtest/Paper/Live）的精确映射，影子交易（Shadow Trading）模式通过并行运行实盘与模拟撮合器实现回测-实盘偏差日度监控</w:t>
      </w:r>
      <w:r>
        <w:rPr>
          <w:vertAlign w:val="superscript"/>
        </w:rPr>
        <w:footnoteReference w:id="104"/>
      </w:r>
      <w:r>
        <w:t xml:space="preserve">。</w:t>
      </w:r>
    </w:p>
    <w:p>
      <w:pPr>
        <w:pStyle w:val="BodyText"/>
      </w:pPr>
      <w:r>
        <w:t xml:space="preserve">展示层（Presentation Layer）提供多模态人机交互界面。Web Dashboard 基于 React + TypeScript + Lightweight Charts 构建，采用 WebSocket 实现亚秒级实时数据推送</w:t>
      </w:r>
      <w:r>
        <w:rPr>
          <w:vertAlign w:val="superscript"/>
        </w:rPr>
        <w:footnoteReference w:id="105"/>
      </w:r>
      <w:r>
        <w:t xml:space="preserve">；Jupyter Notebook 集成支持交互式策略开发和回测分析，对标 QLib 的 qrun 工作流</w:t>
      </w:r>
      <w:r>
        <w:rPr>
          <w:vertAlign w:val="superscript"/>
        </w:rPr>
        <w:footnoteReference w:id="106"/>
      </w:r>
      <w:r>
        <w:t xml:space="preserve">；CLI 命令行工具面向自动化部署和 CI/CD 流水线；REST/gRPC API 则服务第三方系统集成——gRPC 的 Protocol Buffers 序列化使金融消息体积减少 70%、CPU 解析时间减少 50%</w:t>
      </w:r>
      <w:r>
        <w:rPr>
          <w:vertAlign w:val="superscript"/>
        </w:rPr>
        <w:footnoteReference w:id="107"/>
      </w:r>
      <w:r>
        <w:t xml:space="preserve">。</w:t>
      </w:r>
    </w:p>
    <w:p>
      <w:pPr>
        <w:pStyle w:val="SourceCode"/>
      </w:pPr>
      <w:r>
        <w:rPr>
          <w:rStyle w:val="VerbatimChar"/>
        </w:rPr>
        <w:t xml:space="preserve">graph TB</w:t>
      </w:r>
      <w:r>
        <w:br/>
      </w:r>
      <w:r>
        <w:rPr>
          <w:rStyle w:val="VerbatimChar"/>
        </w:rPr>
        <w:t xml:space="preserve">    subgraph Presentation["展示层 Presentation Layer"]</w:t>
      </w:r>
      <w:r>
        <w:br/>
      </w:r>
      <w:r>
        <w:rPr>
          <w:rStyle w:val="VerbatimChar"/>
        </w:rPr>
        <w:t xml:space="preserve">        direction LR</w:t>
      </w:r>
      <w:r>
        <w:br/>
      </w:r>
      <w:r>
        <w:rPr>
          <w:rStyle w:val="VerbatimChar"/>
        </w:rPr>
        <w:t xml:space="preserve">        P1[Web Dashboard&lt;br/&gt;React + TypeScript]</w:t>
      </w:r>
      <w:r>
        <w:br/>
      </w:r>
      <w:r>
        <w:rPr>
          <w:rStyle w:val="VerbatimChar"/>
        </w:rPr>
        <w:t xml:space="preserve">        P2[Jupyter Notebook&lt;br/&gt;交互分析]</w:t>
      </w:r>
      <w:r>
        <w:br/>
      </w:r>
      <w:r>
        <w:rPr>
          <w:rStyle w:val="VerbatimChar"/>
        </w:rPr>
        <w:t xml:space="preserve">        P3[CLI工具&lt;br/&gt;qrun风格]</w:t>
      </w:r>
      <w:r>
        <w:br/>
      </w:r>
      <w:r>
        <w:rPr>
          <w:rStyle w:val="VerbatimChar"/>
        </w:rPr>
        <w:t xml:space="preserve">        P4[REST/gRPC API]</w:t>
      </w:r>
      <w:r>
        <w:br/>
      </w:r>
      <w:r>
        <w:rPr>
          <w:rStyle w:val="VerbatimChar"/>
        </w:rPr>
        <w:t xml:space="preserve">    end</w:t>
      </w:r>
      <w:r>
        <w:br/>
      </w:r>
      <w:r>
        <w:br/>
      </w:r>
      <w:r>
        <w:rPr>
          <w:rStyle w:val="VerbatimChar"/>
        </w:rPr>
        <w:t xml:space="preserve">    subgraph Execution["执行层 Execution Layer"]</w:t>
      </w:r>
      <w:r>
        <w:br/>
      </w:r>
      <w:r>
        <w:rPr>
          <w:rStyle w:val="VerbatimChar"/>
        </w:rPr>
        <w:t xml:space="preserve">        direction LR</w:t>
      </w:r>
      <w:r>
        <w:br/>
      </w:r>
      <w:r>
        <w:rPr>
          <w:rStyle w:val="VerbatimChar"/>
        </w:rPr>
        <w:t xml:space="preserve">        E1[Gateway抽象层&lt;br/&gt;CTP/IB/Binance]</w:t>
      </w:r>
      <w:r>
        <w:br/>
      </w:r>
      <w:r>
        <w:rPr>
          <w:rStyle w:val="VerbatimChar"/>
        </w:rPr>
        <w:t xml:space="preserve">        E2[OMS订单管理&lt;br/&gt;智能路由SOR]</w:t>
      </w:r>
      <w:r>
        <w:br/>
      </w:r>
      <w:r>
        <w:rPr>
          <w:rStyle w:val="VerbatimChar"/>
        </w:rPr>
        <w:t xml:space="preserve">        E3[算法执行&lt;br/&gt;TWAP/VWAP/冰山]</w:t>
      </w:r>
      <w:r>
        <w:br/>
      </w:r>
      <w:r>
        <w:rPr>
          <w:rStyle w:val="VerbatimChar"/>
        </w:rPr>
        <w:t xml:space="preserve">        E4[模拟撮合引擎&lt;br/&gt;回测/纸面]</w:t>
      </w:r>
      <w:r>
        <w:br/>
      </w:r>
      <w:r>
        <w:rPr>
          <w:rStyle w:val="VerbatimChar"/>
        </w:rPr>
        <w:t xml:space="preserve">    end</w:t>
      </w:r>
      <w:r>
        <w:br/>
      </w:r>
      <w:r>
        <w:br/>
      </w:r>
      <w:r>
        <w:rPr>
          <w:rStyle w:val="VerbatimChar"/>
        </w:rPr>
        <w:t xml:space="preserve">    subgraph Strategy["策略层 Strategy Layer"]</w:t>
      </w:r>
      <w:r>
        <w:br/>
      </w:r>
      <w:r>
        <w:rPr>
          <w:rStyle w:val="VerbatimChar"/>
        </w:rPr>
        <w:t xml:space="preserve">        direction LR</w:t>
      </w:r>
      <w:r>
        <w:br/>
      </w:r>
      <w:r>
        <w:rPr>
          <w:rStyle w:val="VerbatimChar"/>
        </w:rPr>
        <w:t xml:space="preserve">        S1[Market State引擎&lt;br/&gt;HMM + AFRN-HyperFlow]</w:t>
      </w:r>
      <w:r>
        <w:br/>
      </w:r>
      <w:r>
        <w:rPr>
          <w:rStyle w:val="VerbatimChar"/>
        </w:rPr>
        <w:t xml:space="preserve">        S2[MISS拆解框架&lt;br/&gt;四维状态检测]</w:t>
      </w:r>
      <w:r>
        <w:br/>
      </w:r>
      <w:r>
        <w:rPr>
          <w:rStyle w:val="VerbatimChar"/>
        </w:rPr>
        <w:t xml:space="preserve">        S3[策略生成器&lt;br/&gt;遗传编程GP]</w:t>
      </w:r>
      <w:r>
        <w:br/>
      </w:r>
      <w:r>
        <w:rPr>
          <w:rStyle w:val="VerbatimChar"/>
        </w:rPr>
        <w:t xml:space="preserve">        S4[策略模板库&lt;br/&gt;VN.PY兼容]</w:t>
      </w:r>
      <w:r>
        <w:br/>
      </w:r>
      <w:r>
        <w:rPr>
          <w:rStyle w:val="VerbatimChar"/>
        </w:rPr>
        <w:t xml:space="preserve">        S5[AI Agent系统&lt;br/&gt;多Agent策略发现]</w:t>
      </w:r>
      <w:r>
        <w:br/>
      </w:r>
      <w:r>
        <w:rPr>
          <w:rStyle w:val="VerbatimChar"/>
        </w:rPr>
        <w:t xml:space="preserve">    end</w:t>
      </w:r>
      <w:r>
        <w:br/>
      </w:r>
      <w:r>
        <w:br/>
      </w:r>
      <w:r>
        <w:rPr>
          <w:rStyle w:val="VerbatimChar"/>
        </w:rPr>
        <w:t xml:space="preserve">    subgraph Compute["计算层 Compute Layer"]</w:t>
      </w:r>
      <w:r>
        <w:br/>
      </w:r>
      <w:r>
        <w:rPr>
          <w:rStyle w:val="VerbatimChar"/>
        </w:rPr>
        <w:t xml:space="preserve">        direction LR</w:t>
      </w:r>
      <w:r>
        <w:br/>
      </w:r>
      <w:r>
        <w:rPr>
          <w:rStyle w:val="VerbatimChar"/>
        </w:rPr>
        <w:t xml:space="preserve">        C1[向量计算引擎&lt;br/&gt;Polars + NumPy + Numba]</w:t>
      </w:r>
      <w:r>
        <w:br/>
      </w:r>
      <w:r>
        <w:rPr>
          <w:rStyle w:val="VerbatimChar"/>
        </w:rPr>
        <w:t xml:space="preserve">        C2[事件驱动引擎&lt;br/&gt;Rust核心 tokio]</w:t>
      </w:r>
      <w:r>
        <w:br/>
      </w:r>
      <w:r>
        <w:rPr>
          <w:rStyle w:val="VerbatimChar"/>
        </w:rPr>
        <w:t xml:space="preserve">        C3[GPU并行计算&lt;br/&gt;CUDA/cuDF]</w:t>
      </w:r>
      <w:r>
        <w:br/>
      </w:r>
      <w:r>
        <w:rPr>
          <w:rStyle w:val="VerbatimChar"/>
        </w:rPr>
        <w:t xml:space="preserve">        C4[AI推理服务&lt;br/&gt;ML Pipeline]</w:t>
      </w:r>
      <w:r>
        <w:br/>
      </w:r>
      <w:r>
        <w:rPr>
          <w:rStyle w:val="VerbatimChar"/>
        </w:rPr>
        <w:t xml:space="preserve">        C5[风险计算引擎&lt;br/&gt;VaR/CVaR/压力测试]</w:t>
      </w:r>
      <w:r>
        <w:br/>
      </w:r>
      <w:r>
        <w:rPr>
          <w:rStyle w:val="VerbatimChar"/>
        </w:rPr>
        <w:t xml:space="preserve">    end</w:t>
      </w:r>
      <w:r>
        <w:br/>
      </w:r>
      <w:r>
        <w:br/>
      </w:r>
      <w:r>
        <w:rPr>
          <w:rStyle w:val="VerbatimChar"/>
        </w:rPr>
        <w:t xml:space="preserve">    subgraph Data["数据层 Data Layer"]</w:t>
      </w:r>
      <w:r>
        <w:br/>
      </w:r>
      <w:r>
        <w:rPr>
          <w:rStyle w:val="VerbatimChar"/>
        </w:rPr>
        <w:t xml:space="preserve">        direction LR</w:t>
      </w:r>
      <w:r>
        <w:br/>
      </w:r>
      <w:r>
        <w:rPr>
          <w:rStyle w:val="VerbatimChar"/>
        </w:rPr>
        <w:t xml:space="preserve">        D1[QuestDB时序库&lt;br/&gt;高频tick数据]</w:t>
      </w:r>
      <w:r>
        <w:br/>
      </w:r>
      <w:r>
        <w:rPr>
          <w:rStyle w:val="VerbatimChar"/>
        </w:rPr>
        <w:t xml:space="preserve">        D2[Kafka消息总线&lt;br/&gt;实时流处理]</w:t>
      </w:r>
      <w:r>
        <w:br/>
      </w:r>
      <w:r>
        <w:rPr>
          <w:rStyle w:val="VerbatimChar"/>
        </w:rPr>
        <w:t xml:space="preserve">        D3[Redis缓存层&lt;br/&gt;热数据/状态]</w:t>
      </w:r>
      <w:r>
        <w:br/>
      </w:r>
      <w:r>
        <w:rPr>
          <w:rStyle w:val="VerbatimChar"/>
        </w:rPr>
        <w:t xml:space="preserve">        D4[S3/Parquet数据湖&lt;br/&gt;冷数据归档]</w:t>
      </w:r>
      <w:r>
        <w:br/>
      </w:r>
      <w:r>
        <w:rPr>
          <w:rStyle w:val="VerbatimChar"/>
        </w:rPr>
        <w:t xml:space="preserve">        D5[Arrow内存格式&lt;br/&gt;零拷贝传输]</w:t>
      </w:r>
      <w:r>
        <w:br/>
      </w:r>
      <w:r>
        <w:rPr>
          <w:rStyle w:val="VerbatimChar"/>
        </w:rPr>
        <w:t xml:space="preserve">    end</w:t>
      </w:r>
      <w:r>
        <w:br/>
      </w:r>
      <w:r>
        <w:br/>
      </w:r>
      <w:r>
        <w:rPr>
          <w:rStyle w:val="VerbatimChar"/>
        </w:rPr>
        <w:t xml:space="preserve">    Data --&gt; Compute</w:t>
      </w:r>
      <w:r>
        <w:br/>
      </w:r>
      <w:r>
        <w:rPr>
          <w:rStyle w:val="VerbatimChar"/>
        </w:rPr>
        <w:t xml:space="preserve">    Compute --&gt; Strategy</w:t>
      </w:r>
      <w:r>
        <w:br/>
      </w:r>
      <w:r>
        <w:rPr>
          <w:rStyle w:val="VerbatimChar"/>
        </w:rPr>
        <w:t xml:space="preserve">    Strategy --&gt; Execution</w:t>
      </w:r>
      <w:r>
        <w:br/>
      </w:r>
      <w:r>
        <w:rPr>
          <w:rStyle w:val="VerbatimChar"/>
        </w:rPr>
        <w:t xml:space="preserve">    Execution --&gt; Presentation</w:t>
      </w:r>
      <w:r>
        <w:br/>
      </w:r>
      <w:r>
        <w:br/>
      </w:r>
      <w:r>
        <w:rPr>
          <w:rStyle w:val="VerbatimChar"/>
        </w:rPr>
        <w:t xml:space="preserve">    D2 -.-&gt;|实时行情| C2</w:t>
      </w:r>
      <w:r>
        <w:br/>
      </w:r>
      <w:r>
        <w:rPr>
          <w:rStyle w:val="VerbatimChar"/>
        </w:rPr>
        <w:t xml:space="preserve">    D3 -.-&gt;|状态缓存| S1</w:t>
      </w:r>
      <w:r>
        <w:br/>
      </w:r>
      <w:r>
        <w:rPr>
          <w:rStyle w:val="VerbatimChar"/>
        </w:rPr>
        <w:t xml:space="preserve">    C5 -.-&gt;|风控信号| E1</w:t>
      </w:r>
      <w:r>
        <w:br/>
      </w:r>
      <w:r>
        <w:rPr>
          <w:rStyle w:val="VerbatimChar"/>
        </w:rPr>
        <w:t xml:space="preserve">    S1 -.-&gt;|状态路由| S4</w:t>
      </w:r>
    </w:p>
    <w:p>
      <w:pPr>
        <w:pStyle w:val="FirstParagraph"/>
      </w:pPr>
      <w:r>
        <w:rPr>
          <w:iCs/>
          <w:i/>
        </w:rPr>
        <w:t xml:space="preserve">图：五层系统架构图。数据层→计算层→策略层→执行层→展示层构成主链路，虚线表示跨层数据流。</w:t>
      </w:r>
    </w:p>
    <w:bookmarkEnd w:id="64"/>
    <w:bookmarkStart w:id="65" w:name="混合回测模式事件驱动向量化双引擎"/>
    <w:p>
      <w:pPr>
        <w:pStyle w:val="Heading4"/>
      </w:pPr>
      <w:r>
        <w:t xml:space="preserve">3.1.2 混合回测模式：事件驱动+向量化双引擎</w:t>
      </w:r>
    </w:p>
    <w:p>
      <w:pPr>
        <w:pStyle w:val="FirstParagraph"/>
      </w:pPr>
      <w:r>
        <w:t xml:space="preserve">回测引擎的架构选择直接影响策略研发的效率与可信度。事件驱动回测逐条处理市场数据，结构性地防止 lookahead bias，但向量化回测对整个数据数组同时操作，速度可快 100 倍以上——同一组参数在向量模式下仅需 200 毫秒，事件模式下可能耗时 20 秒以上</w:t>
      </w:r>
      <w:fldSimple w:instr="NOTEREF _Ref_Footnote_74 \h \f">
        <w:r>
          <w:rPr>
            <w:vertAlign w:val="superscript"/>
          </w:rPr>
          <w:t>74</w:t>
        </w:r>
      </w:fldSimple>
      <w:r>
        <w:t xml:space="preserve">。行业实践已形成明确共识：向量化用于快速研究探索，事件驱动用于高保真实盘模拟，两者构成互补而非替代关系</w:t>
      </w:r>
      <w:fldSimple w:instr="NOTEREF _Ref_Footnote_75 \h \f">
        <w:r>
          <w:rPr>
            <w:vertAlign w:val="superscript"/>
          </w:rPr>
          <w:t>75</w:t>
        </w:r>
      </w:fldSimple>
      <w:r>
        <w:t xml:space="preserve">。</w:t>
      </w:r>
    </w:p>
    <w:p>
      <w:pPr>
        <w:pStyle w:val="BodyText"/>
      </w:pPr>
      <w:r>
        <w:t xml:space="preserve">系统的混合回测引擎设计为三级流水线。第一级”快速筛选层”采用 Polars DataFrame 进行列式数据处理，配合 NumPy/Numba 向量化指标计算，支持百万级参数组合的快速评估，适用于策略初筛和参数空间探索。第二级”高保真验证层”基于 Rust 核心事件引擎，逐 tick/bar 顺序处理数据，内建完整订单簿模拟和滑点模型，支持路径依赖型策略（如需要订单状态反馈的策略）的精确回测。NautilusTrader 的实践表明，Rust 核心的事件驱动架构可实现小于 1 毫秒的延迟和超过 100,000 events/秒的吞吐量</w:t>
      </w:r>
      <w:fldSimple w:instr="NOTEREF _Ref_Footnote_88 \h \f">
        <w:r>
          <w:rPr>
            <w:vertAlign w:val="superscript"/>
          </w:rPr>
          <w:t>88</w:t>
        </w:r>
      </w:fldSimple>
      <w:r>
        <w:t xml:space="preserve">。第三级”实盘一致性层”确保同一套策略代码在回测与实盘之间无缝切换——策略无需修改即可从 Backtest Gateway 切换至 CTP/Binance 实盘 Gateway，这是弥合回测-实盘鸿沟的核心机制</w:t>
      </w:r>
      <w:r>
        <w:rPr>
          <w:vertAlign w:val="superscript"/>
        </w:rPr>
        <w:footnoteReference w:id="108"/>
      </w:r>
      <w:r>
        <w:t xml:space="preserve"> </w:t>
      </w:r>
      <w:r>
        <w:rPr>
          <w:vertAlign w:val="superscript"/>
        </w:rPr>
        <w:footnoteReference w:id="109"/>
      </w:r>
      <w:r>
        <w:t xml:space="preserve">。</w:t>
      </w:r>
    </w:p>
    <w:p>
      <w:pPr>
        <w:pStyle w:val="BodyText"/>
      </w:pPr>
      <w:r>
        <w:t xml:space="preserve">两套引擎的数据一致性通过 Apache Arrow 内存格式保障。Arrow 的列式存储结构天然适合 SIMD 向量化操作，零拷贝序列化使得 Python 策略层与 Rust 核心引擎之间的数据传输无需内存复制，延迟降至微秒级</w:t>
      </w:r>
      <w:fldSimple w:instr="NOTEREF _Ref_Footnote_76 \h \f">
        <w:r>
          <w:rPr>
            <w:vertAlign w:val="superscript"/>
          </w:rPr>
          <w:t>76</w:t>
        </w:r>
      </w:fldSimple>
      <w:r>
        <w:t xml:space="preserve"> </w:t>
      </w:r>
      <w:fldSimple w:instr="NOTEREF _Ref_Footnote_92 \h \f">
        <w:r>
          <w:rPr>
            <w:vertAlign w:val="superscript"/>
          </w:rPr>
          <w:t>92</w:t>
        </w:r>
      </w:fldSimple>
      <w:r>
        <w:t xml:space="preserve">。实际回测中，两套引擎跑同一组参数得到的净值曲线差异应控制在年化收益差小于 50 个基点（bp）的误差带内，这一阈值被成熟量化团队广泛采用作为回测可信度的重要判据</w:t>
      </w:r>
      <w:fldSimple w:instr="NOTEREF _Ref_Footnote_108 \h \f">
        <w:r>
          <w:rPr>
            <w:vertAlign w:val="superscript"/>
          </w:rPr>
          <w:t>108</w:t>
        </w:r>
      </w:fldSimple>
      <w:r>
        <w:t xml:space="preserve">。</w:t>
      </w:r>
    </w:p>
    <w:bookmarkEnd w:id="65"/>
    <w:bookmarkStart w:id="66" w:name="插件化扩展体系"/>
    <w:p>
      <w:pPr>
        <w:pStyle w:val="Heading4"/>
      </w:pPr>
      <w:r>
        <w:t xml:space="preserve">3.1.3 插件化扩展体系</w:t>
      </w:r>
    </w:p>
    <w:p>
      <w:pPr>
        <w:pStyle w:val="FirstParagraph"/>
      </w:pPr>
      <w:r>
        <w:t xml:space="preserve">系统的扩展能力直接决定其生态生命力。VN.PY 的 28.4K GitHub Stars 和 3,000+ 社区贡献者证明，开放的插件体系是量化平台从工具进化为生态的关键</w:t>
      </w:r>
      <w:r>
        <w:rPr>
          <w:vertAlign w:val="superscript"/>
        </w:rPr>
        <w:footnoteReference w:id="110"/>
      </w:r>
      <w:r>
        <w:t xml:space="preserve">。本系统参照 VN.PY 的 Gateway→Engine→App 四层解耦架构，设计七类标准化插件接口：</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插件类型</w:t>
            </w:r>
          </w:p>
        </w:tc>
        <w:tc>
          <w:tcPr/>
          <w:p>
            <w:pPr>
              <w:pStyle w:val="Compact"/>
              <w:jc w:val="left"/>
            </w:pPr>
            <w:r>
              <w:t xml:space="preserve">基类/接口</w:t>
            </w:r>
          </w:p>
        </w:tc>
        <w:tc>
          <w:tcPr/>
          <w:p>
            <w:pPr>
              <w:pStyle w:val="Compact"/>
              <w:jc w:val="left"/>
            </w:pPr>
            <w:r>
              <w:t xml:space="preserve">加载机制</w:t>
            </w:r>
          </w:p>
        </w:tc>
        <w:tc>
          <w:tcPr/>
          <w:p>
            <w:pPr>
              <w:pStyle w:val="Compact"/>
              <w:jc w:val="left"/>
            </w:pPr>
            <w:r>
              <w:t xml:space="preserve">功能示例</w:t>
            </w:r>
          </w:p>
        </w:tc>
      </w:tr>
      <w:tr>
        <w:tc>
          <w:tcPr/>
          <w:p>
            <w:pPr>
              <w:pStyle w:val="Compact"/>
              <w:jc w:val="left"/>
            </w:pPr>
            <w:r>
              <w:t xml:space="preserve">Gateway 插件</w:t>
            </w:r>
          </w:p>
        </w:tc>
        <w:tc>
          <w:tcPr/>
          <w:p>
            <w:pPr>
              <w:pStyle w:val="Compact"/>
              <w:jc w:val="left"/>
            </w:pPr>
            <w:r>
              <w:t xml:space="preserve">BaseGateway</w:t>
            </w:r>
          </w:p>
        </w:tc>
        <w:tc>
          <w:tcPr/>
          <w:p>
            <w:pPr>
              <w:pStyle w:val="Compact"/>
              <w:jc w:val="left"/>
            </w:pPr>
            <w:r>
              <w:t xml:space="preserve">动态 import</w:t>
            </w:r>
          </w:p>
        </w:tc>
        <w:tc>
          <w:tcPr/>
          <w:p>
            <w:pPr>
              <w:pStyle w:val="Compact"/>
              <w:jc w:val="left"/>
            </w:pPr>
            <w:r>
              <w:t xml:space="preserve">CTP/IB/Binance/模拟撮合适配器</w:t>
            </w:r>
          </w:p>
        </w:tc>
      </w:tr>
      <w:tr>
        <w:tc>
          <w:tcPr/>
          <w:p>
            <w:pPr>
              <w:pStyle w:val="Compact"/>
              <w:jc w:val="left"/>
            </w:pPr>
            <w:r>
              <w:t xml:space="preserve">指标插件</w:t>
            </w:r>
          </w:p>
        </w:tc>
        <w:tc>
          <w:tcPr/>
          <w:p>
            <w:pPr>
              <w:pStyle w:val="Compact"/>
              <w:jc w:val="left"/>
            </w:pPr>
            <w:r>
              <w:t xml:space="preserve">BaseIndicator</w:t>
            </w:r>
          </w:p>
        </w:tc>
        <w:tc>
          <w:tcPr/>
          <w:p>
            <w:pPr>
              <w:pStyle w:val="Compact"/>
              <w:jc w:val="left"/>
            </w:pPr>
            <w:r>
              <w:t xml:space="preserve">entry_points</w:t>
            </w:r>
          </w:p>
        </w:tc>
        <w:tc>
          <w:tcPr/>
          <w:p>
            <w:pPr>
              <w:pStyle w:val="Compact"/>
              <w:jc w:val="left"/>
            </w:pPr>
            <w:r>
              <w:t xml:space="preserve">自定义技术指标（超越 30+ 内置指标）</w:t>
            </w:r>
          </w:p>
        </w:tc>
      </w:tr>
      <w:tr>
        <w:tc>
          <w:tcPr/>
          <w:p>
            <w:pPr>
              <w:pStyle w:val="Compact"/>
              <w:jc w:val="left"/>
            </w:pPr>
            <w:r>
              <w:t xml:space="preserve">策略模板插件</w:t>
            </w:r>
          </w:p>
        </w:tc>
        <w:tc>
          <w:tcPr/>
          <w:p>
            <w:pPr>
              <w:pStyle w:val="Compact"/>
              <w:jc w:val="left"/>
            </w:pPr>
            <w:r>
              <w:t xml:space="preserve">BaseStrategy</w:t>
            </w:r>
          </w:p>
        </w:tc>
        <w:tc>
          <w:tcPr/>
          <w:p>
            <w:pPr>
              <w:pStyle w:val="Compact"/>
              <w:jc w:val="left"/>
            </w:pPr>
            <w:r>
              <w:t xml:space="preserve">动态 import</w:t>
            </w:r>
          </w:p>
        </w:tc>
        <w:tc>
          <w:tcPr/>
          <w:p>
            <w:pPr>
              <w:pStyle w:val="Compact"/>
              <w:jc w:val="left"/>
            </w:pPr>
            <w:r>
              <w:t xml:space="preserve">VN.PY 兼容策略、遗传编程生成策略</w:t>
            </w:r>
          </w:p>
        </w:tc>
      </w:tr>
      <w:tr>
        <w:tc>
          <w:tcPr/>
          <w:p>
            <w:pPr>
              <w:pStyle w:val="Compact"/>
              <w:jc w:val="left"/>
            </w:pPr>
            <w:r>
              <w:t xml:space="preserve">数据源插件</w:t>
            </w:r>
          </w:p>
        </w:tc>
        <w:tc>
          <w:tcPr/>
          <w:p>
            <w:pPr>
              <w:pStyle w:val="Compact"/>
              <w:jc w:val="left"/>
            </w:pPr>
            <w:r>
              <w:t xml:space="preserve">BaseDataFeed</w:t>
            </w:r>
          </w:p>
        </w:tc>
        <w:tc>
          <w:tcPr/>
          <w:p>
            <w:pPr>
              <w:pStyle w:val="Compact"/>
              <w:jc w:val="left"/>
            </w:pPr>
            <w:r>
              <w:t xml:space="preserve">动态 import</w:t>
            </w:r>
          </w:p>
        </w:tc>
        <w:tc>
          <w:tcPr/>
          <w:p>
            <w:pPr>
              <w:pStyle w:val="Compact"/>
              <w:jc w:val="left"/>
            </w:pPr>
            <w:r>
              <w:t xml:space="preserve">Wind/Tushare/RQData/交易所直连</w:t>
            </w:r>
          </w:p>
        </w:tc>
      </w:tr>
      <w:tr>
        <w:tc>
          <w:tcPr/>
          <w:p>
            <w:pPr>
              <w:pStyle w:val="Compact"/>
              <w:jc w:val="left"/>
            </w:pPr>
            <w:r>
              <w:t xml:space="preserve">分析插件</w:t>
            </w:r>
          </w:p>
        </w:tc>
        <w:tc>
          <w:tcPr/>
          <w:p>
            <w:pPr>
              <w:pStyle w:val="Compact"/>
              <w:jc w:val="left"/>
            </w:pPr>
            <w:r>
              <w:t xml:space="preserve">BaseAnalyzer</w:t>
            </w:r>
          </w:p>
        </w:tc>
        <w:tc>
          <w:tcPr/>
          <w:p>
            <w:pPr>
              <w:pStyle w:val="Compact"/>
              <w:jc w:val="left"/>
            </w:pPr>
            <w:r>
              <w:t xml:space="preserve">entry_points</w:t>
            </w:r>
          </w:p>
        </w:tc>
        <w:tc>
          <w:tcPr/>
          <w:p>
            <w:pPr>
              <w:pStyle w:val="Compact"/>
              <w:jc w:val="left"/>
            </w:pPr>
            <w:r>
              <w:t xml:space="preserve">Sharpe 分析、回撤分析、IC 分析</w:t>
            </w:r>
          </w:p>
        </w:tc>
      </w:tr>
      <w:tr>
        <w:tc>
          <w:tcPr/>
          <w:p>
            <w:pPr>
              <w:pStyle w:val="Compact"/>
              <w:jc w:val="left"/>
            </w:pPr>
            <w:r>
              <w:t xml:space="preserve">Market State 插件</w:t>
            </w:r>
          </w:p>
        </w:tc>
        <w:tc>
          <w:tcPr/>
          <w:p>
            <w:pPr>
              <w:pStyle w:val="Compact"/>
              <w:jc w:val="left"/>
            </w:pPr>
            <w:r>
              <w:t xml:space="preserve">BaseStateMachine</w:t>
            </w:r>
          </w:p>
        </w:tc>
        <w:tc>
          <w:tcPr/>
          <w:p>
            <w:pPr>
              <w:pStyle w:val="Compact"/>
              <w:jc w:val="left"/>
            </w:pPr>
            <w:r>
              <w:t xml:space="preserve">动态 import</w:t>
            </w:r>
          </w:p>
        </w:tc>
        <w:tc>
          <w:tcPr/>
          <w:p>
            <w:pPr>
              <w:pStyle w:val="Compact"/>
              <w:jc w:val="left"/>
            </w:pPr>
            <w:r>
              <w:t xml:space="preserve">HMM 状态机、AFRN-HyperFlow 检测器</w:t>
            </w:r>
          </w:p>
        </w:tc>
      </w:tr>
      <w:tr>
        <w:tc>
          <w:tcPr/>
          <w:p>
            <w:pPr>
              <w:pStyle w:val="Compact"/>
              <w:jc w:val="left"/>
            </w:pPr>
            <w:r>
              <w:t xml:space="preserve">风控插件</w:t>
            </w:r>
          </w:p>
        </w:tc>
        <w:tc>
          <w:tcPr/>
          <w:p>
            <w:pPr>
              <w:pStyle w:val="Compact"/>
              <w:jc w:val="left"/>
            </w:pPr>
            <w:r>
              <w:t xml:space="preserve">BaseRiskManager</w:t>
            </w:r>
          </w:p>
        </w:tc>
        <w:tc>
          <w:tcPr/>
          <w:p>
            <w:pPr>
              <w:pStyle w:val="Compact"/>
              <w:jc w:val="left"/>
            </w:pPr>
            <w:r>
              <w:t xml:space="preserve">事件订阅</w:t>
            </w:r>
          </w:p>
        </w:tc>
        <w:tc>
          <w:tcPr/>
          <w:p>
            <w:pPr>
              <w:pStyle w:val="Compact"/>
              <w:jc w:val="left"/>
            </w:pPr>
            <w:r>
              <w:t xml:space="preserve">阈值检查、熔断逻辑、Kill Switch</w:t>
            </w:r>
          </w:p>
        </w:tc>
      </w:tr>
    </w:tbl>
    <w:p>
      <w:pPr>
        <w:pStyle w:val="BodyText"/>
      </w:pPr>
      <w:r>
        <w:rPr>
          <w:iCs/>
          <w:i/>
        </w:rPr>
        <w:t xml:space="preserve">表 1：七类插件接口定义。每一类插件通过标准化基类实现热插拔式扩展，新增功能无需修改核心代码。</w:t>
      </w:r>
    </w:p>
    <w:p>
      <w:pPr>
        <w:pStyle w:val="BodyText"/>
      </w:pPr>
      <w:r>
        <w:t xml:space="preserve">插件管理器采用 Python 的 pkgutil 模块实现运行时自动发现，配合 setuptools entry_points 机制实现声明式注册。以 Market State 插件为例，开发者只需继承 BaseStateMachine 并实现</w:t>
      </w:r>
      <w:r>
        <w:t xml:space="preserve"> </w:t>
      </w:r>
      <w:r>
        <w:rPr>
          <w:rStyle w:val="VerbatimChar"/>
        </w:rPr>
        <w:t xml:space="preserve">detect_state()</w:t>
      </w:r>
      <w:r>
        <w:t xml:space="preserve"> </w:t>
      </w:r>
      <w:r>
        <w:t xml:space="preserve">和</w:t>
      </w:r>
      <w:r>
        <w:t xml:space="preserve"> </w:t>
      </w:r>
      <w:r>
        <w:rPr>
          <w:rStyle w:val="VerbatimChar"/>
        </w:rPr>
        <w:t xml:space="preserve">confidence_score()</w:t>
      </w:r>
      <w:r>
        <w:t xml:space="preserve"> </w:t>
      </w:r>
      <w:r>
        <w:t xml:space="preserve">两个抽象方法，系统将自动识别并在状态检测流水线中调用该插件。这种设计使得新的状态检测算法（如 Transformer-based regime detector）可在不修改核心代码的情况下接入系统，充分释放社区创新活力。</w:t>
      </w:r>
    </w:p>
    <w:bookmarkEnd w:id="66"/>
    <w:bookmarkEnd w:id="67"/>
    <w:bookmarkStart w:id="71" w:name="关键子系统设计"/>
    <w:p>
      <w:pPr>
        <w:pStyle w:val="Heading3"/>
      </w:pPr>
      <w:r>
        <w:t xml:space="preserve">3.2 关键子系统设计</w:t>
      </w:r>
    </w:p>
    <w:bookmarkStart w:id="68" w:name="数据基础设施questdbkafkaredis-三级存储架构"/>
    <w:p>
      <w:pPr>
        <w:pStyle w:val="Heading4"/>
      </w:pPr>
      <w:r>
        <w:t xml:space="preserve">3.2.1 数据基础设施：QuestDB+Kafka+Redis 三级存储架构</w:t>
      </w:r>
    </w:p>
    <w:p>
      <w:pPr>
        <w:pStyle w:val="FirstParagraph"/>
      </w:pPr>
      <w:r>
        <w:t xml:space="preserve">数据质量是量化系统的生命线。本系统的数据基础设施采用”流-批一体”架构，平衡实时处理的低延迟与历史分析的高吞吐需求。</w:t>
      </w:r>
    </w:p>
    <w:p>
      <w:pPr>
        <w:pStyle w:val="BodyText"/>
      </w:pPr>
      <w:r>
        <w:t xml:space="preserve">时序数据库选型经过 QuestDB、TimescaleDB、DolphinDB、InfluxDB 的横向对比。QuestDB 在基准测试中展现出显著优势：摄入速度比 InfluxDB 3 Core 快 12-36 倍，复杂分析查询快 43-418 倍，较 TimescaleDB 摄入快 6-13 倍、复杂查询快 16-20 倍</w:t>
      </w:r>
      <w:fldSimple w:instr="NOTEREF _Ref_Footnote_69 \h \f">
        <w:r>
          <w:rPr>
            <w:vertAlign w:val="superscript"/>
          </w:rPr>
          <w:t>69</w:t>
        </w:r>
      </w:fldSimple>
      <w:r>
        <w:t xml:space="preserve">。其核心优势在于向量化执行引擎和关系型 SQL 接口的融合，既能处理超高频 tick 数据的写入压力，又支持复杂的 JOIN 和窗口分析查询。对于需要内置金融函数和流批一体架构的机构用户，DolphinDB 提供 2,000+ 金融专用函数和 Starfish 因子管理平台作为备选方案</w:t>
      </w:r>
      <w:fldSimple w:instr="NOTEREF _Ref_Footnote_70 \h \f">
        <w:r>
          <w:rPr>
            <w:vertAlign w:val="superscript"/>
          </w:rPr>
          <w:t>70</w:t>
        </w:r>
      </w:fldSimple>
      <w:r>
        <w:t xml:space="preserve">。</w:t>
      </w:r>
    </w:p>
    <w:p>
      <w:pPr>
        <w:pStyle w:val="BodyText"/>
      </w:pPr>
      <w:r>
        <w:t xml:space="preserve">实时数据管道以 Kafka 为消息总线，Flink 为流处理引擎。Kafka 的核心配置遵循金融级可靠性标准：</w:t>
      </w:r>
      <w:r>
        <w:rPr>
          <w:rStyle w:val="VerbatimChar"/>
        </w:rPr>
        <w:t xml:space="preserve">min.insync.replicas=2</w:t>
      </w:r>
      <w:r>
        <w:t xml:space="preserve"> </w:t>
      </w:r>
      <w:r>
        <w:t xml:space="preserve">确保数据持久性，</w:t>
      </w:r>
      <w:r>
        <w:rPr>
          <w:rStyle w:val="VerbatimChar"/>
        </w:rPr>
        <w:t xml:space="preserve">enable.idempotence=true</w:t>
      </w:r>
      <w:r>
        <w:t xml:space="preserve"> </w:t>
      </w:r>
      <w:r>
        <w:t xml:space="preserve">防止生产者重试导致的重复数据</w:t>
      </w:r>
      <w:fldSimple w:instr="NOTEREF _Ref_Footnote_52 \h \f">
        <w:r>
          <w:rPr>
            <w:vertAlign w:val="superscript"/>
          </w:rPr>
          <w:t>52</w:t>
        </w:r>
      </w:fldSimple>
      <w:r>
        <w:t xml:space="preserve">。Flink 承担窗口聚合（1 分钟 OHLC、VWAP、流动性指标）、异常检测（CEP 复杂事件处理）和流式 JOIN 静态数据三项核心任务，端到端延迟控制在 1.8 秒（P99），吞吐量达 100 万消息/小时，数据丢失率为零</w:t>
      </w:r>
      <w:r>
        <w:rPr>
          <w:vertAlign w:val="superscript"/>
        </w:rPr>
        <w:footnoteReference w:id="111"/>
      </w:r>
      <w:r>
        <w:t xml:space="preserve">。</w:t>
      </w:r>
    </w:p>
    <w:p>
      <w:pPr>
        <w:pStyle w:val="BodyText"/>
      </w:pPr>
      <w:r>
        <w:t xml:space="preserve">Redis 缓存层承担双重职责：作为热数据缓存存储最近 N 个交易日的行情和计算结果，API 访问延迟低于 5 毫秒</w:t>
      </w:r>
      <w:fldSimple w:instr="NOTEREF _Ref_Footnote_62 \h \f">
        <w:r>
          <w:rPr>
            <w:vertAlign w:val="superscript"/>
          </w:rPr>
          <w:t>62</w:t>
        </w:r>
      </w:fldSimple>
      <w:r>
        <w:t xml:space="preserve">；作为状态缓存存储 Market State 引擎的实时状态标签和策略运行时的中间变量。缓存模式采用 Write-Through 策略——数据同时写入缓存和持久存储，确保回测的可复现性。TTL 设置根据数据类型差异化配置：价格数据 1 秒、基本面数据 1 小时、状态标签 5 分钟</w:t>
      </w:r>
      <w:fldSimple w:instr="NOTEREF _Ref_Footnote_111 \h \f">
        <w:r>
          <w:rPr>
            <w:vertAlign w:val="superscript"/>
          </w:rPr>
          <w:t>111</w:t>
        </w:r>
      </w:fldSimple>
      <w:r>
        <w:t xml:space="preserve">。</w:t>
      </w:r>
    </w:p>
    <w:p>
      <w:pPr>
        <w:pStyle w:val="BodyText"/>
      </w:pPr>
      <w:r>
        <w:t xml:space="preserve">数据质量保障体系内建 Great Expectations 框架，提供 300+ 统计检查规则，覆盖空值检测、分布检查、时序连续性验证等金融数据特有风险</w:t>
      </w:r>
      <w:r>
        <w:rPr>
          <w:vertAlign w:val="superscript"/>
        </w:rPr>
        <w:footnoteReference w:id="112"/>
      </w:r>
      <w:r>
        <w:t xml:space="preserve">。数据血缘追踪采用 OpenLineage 标准，与 Airflow、Spark、Flink 等工具统一元数据图，满足 74% 有 AI 项目的金融机构对血缘追踪的合规需求</w:t>
      </w:r>
      <w:r>
        <w:rPr>
          <w:vertAlign w:val="superscript"/>
        </w:rPr>
        <w:footnoteReference w:id="113"/>
      </w:r>
      <w:r>
        <w:t xml:space="preserve">。</w:t>
      </w:r>
    </w:p>
    <w:bookmarkEnd w:id="68"/>
    <w:bookmarkStart w:id="69" w:name="Xc2065ae459ef737eda93683f592f9783711855a"/>
    <w:p>
      <w:pPr>
        <w:pStyle w:val="Heading4"/>
      </w:pPr>
      <w:r>
        <w:t xml:space="preserve">3.2.2 AI 智能分析层：Qlib 式 ML 流水线+多 Agent 策略发现+SHAP 可解释分析</w:t>
      </w:r>
    </w:p>
    <w:p>
      <w:pPr>
        <w:pStyle w:val="FirstParagraph"/>
      </w:pPr>
      <w:r>
        <w:t xml:space="preserve">AI 在量化系统中的定位并非替代人类研究员，而是作为”能力放大器”——LLM 加速策略原型开发，多 Agent 系统辅助策略验证，强化学习优化超参数。这一”AI 增强”定位避免了黑箱信任问题，同时符合监管对人工审查的要求</w:t>
      </w:r>
      <w:r>
        <w:rPr>
          <w:vertAlign w:val="superscript"/>
        </w:rPr>
        <w:footnoteReference w:id="114"/>
      </w:r>
      <w:r>
        <w:t xml:space="preserve">。</w:t>
      </w:r>
    </w:p>
    <w:p>
      <w:pPr>
        <w:pStyle w:val="BodyText"/>
      </w:pPr>
      <w:r>
        <w:t xml:space="preserve">ML 流水线参考 Microsoft QLib 的架构设计，采用 YAML 配置驱动的声明式工作流（qrun 风格），一次性定义数据构建、模型训练、回测和评估的完整 pipeline</w:t>
      </w:r>
      <w:fldSimple w:instr="NOTEREF _Ref_Footnote_106 \h \f">
        <w:r>
          <w:rPr>
            <w:vertAlign w:val="superscript"/>
          </w:rPr>
          <w:t>106</w:t>
        </w:r>
      </w:fldSimple>
      <w:r>
        <w:t xml:space="preserve">。流水线核心组件包括：特征工程（360+ 因子库，支持 Alpha158/Alpha360 等标准因子集）、模型训练（LightGBM/XGBoost/Transformer 多模型对比）、回测评估（IC 分析、分组收益测试、换手率分析）和模型管理（DVC 版本控制、MLflow 实验追踪）。QLib 的日均数据构建时间约 10 分钟（全 A 股日频，2008 年至今），在可接受范围内。</w:t>
      </w:r>
    </w:p>
    <w:p>
      <w:pPr>
        <w:pStyle w:val="BodyText"/>
      </w:pPr>
      <w:r>
        <w:t xml:space="preserve">多 Agent 策略发现系统是 AI 层的创新模块。该系统由三类 Agent 协作运行：Research Agent 负责文献综述和假设生成，基于 LLM 自动解析量化研究报告并提取可验证假设；Backtest Agent 负责策略回测和统计验证，自动执行 Walk-Forward 分析和多重比较校正；Portfolio Agent 负责组合构建和风险优化，基于 regime 状态动态调整策略权重。实证研究表明，RD-Agent（Research &amp; Development Agent）可实现 2 倍回报提升，但每个研发周期的计算成本约 10 美元</w:t>
      </w:r>
      <w:fldSimple w:instr="NOTEREF _Ref_Footnote_114 \h \f">
        <w:r>
          <w:rPr>
            <w:vertAlign w:val="superscript"/>
          </w:rPr>
          <w:t>114</w:t>
        </w:r>
      </w:fldSimple>
      <w:r>
        <w:t xml:space="preserve">。AlphaAgent（KDD 2025）通过多 Agent 辩论机制将 hit ratio 提升至 81%</w:t>
      </w:r>
      <w:fldSimple w:instr="NOTEREF _Ref_Footnote_56 \h \f">
        <w:r>
          <w:rPr>
            <w:vertAlign w:val="superscript"/>
          </w:rPr>
          <w:t>56</w:t>
        </w:r>
      </w:fldSimple>
      <w:r>
        <w:t xml:space="preserve">。</w:t>
      </w:r>
    </w:p>
    <w:p>
      <w:pPr>
        <w:pStyle w:val="BodyText"/>
      </w:pPr>
      <w:r>
        <w:t xml:space="preserve">可解释性分析模块采用 SHAP（SHapley Additive exPlanations）方法，对 ML 模型的预测结果进行特征归因。SHAP 值将每个预测分解为各特征的边际贡献，使研究员能够理解”模型为什么在这个时间点开仓”。这一能力对于监管合规至关重要——中国《私募证券投资基金运作指引》要求保存策略源代码和算法说明不少于 20 年</w:t>
      </w:r>
      <w:fldSimple w:instr="NOTEREF _Ref_Footnote_40 \h \f">
        <w:r>
          <w:rPr>
            <w:vertAlign w:val="superscript"/>
          </w:rPr>
          <w:t>40</w:t>
        </w:r>
      </w:fldSimple>
      <w:r>
        <w:t xml:space="preserve">，而 SHAP 分析为算法决策提供了可追溯的解释链条。</w:t>
      </w:r>
    </w:p>
    <w:bookmarkEnd w:id="69"/>
    <w:bookmarkStart w:id="70" w:name="风控合规模块事前事中事后三级风控kill-switch自动合规报告"/>
    <w:p>
      <w:pPr>
        <w:pStyle w:val="Heading4"/>
      </w:pPr>
      <w:r>
        <w:t xml:space="preserve">3.2.3 风控合规模块：事前/事中/事后三级风控+Kill Switch+自动合规报告</w:t>
      </w:r>
    </w:p>
    <w:p>
      <w:pPr>
        <w:pStyle w:val="FirstParagraph"/>
      </w:pPr>
      <w:r>
        <w:t xml:space="preserve">2024-2025 年中国量化监管全面升级，《证券市场程序化交易管理规定（试行）》自 2024 年 10 月施行，沪深北交易所《实施细则》于 2025 年 7 月落地</w:t>
      </w:r>
      <w:fldSimple w:instr="NOTEREF _Ref_Footnote_33 \h \f">
        <w:r>
          <w:rPr>
            <w:vertAlign w:val="superscript"/>
          </w:rPr>
          <w:t>33</w:t>
        </w:r>
      </w:fldSimple>
      <w:r>
        <w:t xml:space="preserve"> </w:t>
      </w:r>
      <w:fldSimple w:instr="NOTEREF _Ref_Footnote_34 \h \f">
        <w:r>
          <w:rPr>
            <w:vertAlign w:val="superscript"/>
          </w:rPr>
          <w:t>34</w:t>
        </w:r>
      </w:fldSimple>
      <w:r>
        <w:t xml:space="preserve">。高频交易认定标准为每秒 300 笔申报/撤单或全日 20,000 笔</w:t>
      </w:r>
      <w:fldSimple w:instr="NOTEREF _Ref_Footnote_39 \h \f">
        <w:r>
          <w:rPr>
            <w:vertAlign w:val="superscript"/>
          </w:rPr>
          <w:t>39</w:t>
        </w:r>
      </w:fldSimple>
      <w:r>
        <w:t xml:space="preserve">，技术系统必须具备验资验券、权限控制、阈值管理、异常监测、应急处置和 Kill Switch 六大功能</w:t>
      </w:r>
      <w:fldSimple w:instr="NOTEREF _Ref_Footnote_37 \h \f">
        <w:r>
          <w:rPr>
            <w:vertAlign w:val="superscript"/>
          </w:rPr>
          <w:t>37</w:t>
        </w:r>
      </w:fldSimple>
      <w:r>
        <w:t xml:space="preserve">。在这一监管背景下，风控合规不再是可选功能，而是进入机构市场的刚性门票。</w:t>
      </w:r>
    </w:p>
    <w:p>
      <w:pPr>
        <w:pStyle w:val="BodyText"/>
      </w:pPr>
      <w:r>
        <w:t xml:space="preserve">系统采用事前/事中/事后三级风控架构。事前风控在订单发出前执行合规检查，包括涨跌停板限制验证、验资验券、权限校验和策略备案校验，检查延迟须低于 1 毫秒</w:t>
      </w:r>
      <w:r>
        <w:rPr>
          <w:vertAlign w:val="superscript"/>
        </w:rPr>
        <w:footnoteReference w:id="115"/>
      </w:r>
      <w:r>
        <w:t xml:space="preserve">。所有阈值参数从配置中心动态读取，配置变更需记录 who/what/when/why/approver 五要素，并在 shadow 环境验证后方可上线</w:t>
      </w:r>
      <w:r>
        <w:rPr>
          <w:vertAlign w:val="superscript"/>
        </w:rPr>
        <w:footnoteReference w:id="116"/>
      </w:r>
      <w:r>
        <w:t xml:space="preserve">。事中风控通过 Flink 实时计算引擎监控账户资金、风险度、仓位和盈亏，异常检测采用统计方法（3σ 原则）与机器学习（孤立森林）的混合策略</w:t>
      </w:r>
      <w:r>
        <w:rPr>
          <w:vertAlign w:val="superscript"/>
        </w:rPr>
        <w:footnoteReference w:id="117"/>
      </w:r>
      <w:r>
        <w:t xml:space="preserve"> </w:t>
      </w:r>
      <w:r>
        <w:rPr>
          <w:vertAlign w:val="superscript"/>
        </w:rPr>
        <w:footnoteReference w:id="118"/>
      </w:r>
      <w:r>
        <w:t xml:space="preserve">。自动熔断机制分三级响应：黄色告警（单日亏损 3%）自动降仓，橙色熔断（亏损 5%）暂停新开仓，红色 Kill Switch（亏损 10% 或回撤 15%）全部平仓并停止交易</w:t>
      </w:r>
      <w:r>
        <w:rPr>
          <w:vertAlign w:val="superscript"/>
        </w:rPr>
        <w:footnoteReference w:id="119"/>
      </w:r>
      <w:r>
        <w:t xml:space="preserve"> </w:t>
      </w:r>
      <w:fldSimple w:instr="NOTEREF _Ref_Footnote_85 \h \f">
        <w:r>
          <w:rPr>
            <w:vertAlign w:val="superscript"/>
          </w:rPr>
          <w:t>85</w:t>
        </w:r>
      </w:fldSimple>
      <w:r>
        <w:t xml:space="preserve">。</w:t>
      </w:r>
    </w:p>
    <w:p>
      <w:pPr>
        <w:pStyle w:val="BodyText"/>
      </w:pPr>
      <w:r>
        <w:t xml:space="preserve">Kill Switch 的设计遵循”独立、低延迟、不可绕过”三原则。它不是通用运维系统的子功能，而是一个拥有独立物理/逻辑通道的专用模块，能在 1 毫秒内切断报单链路</w:t>
      </w:r>
      <w:fldSimple w:instr="NOTEREF _Ref_Footnote_41 \h \f">
        <w:r>
          <w:rPr>
            <w:vertAlign w:val="superscript"/>
          </w:rPr>
          <w:t>41</w:t>
        </w:r>
      </w:fldSimple>
      <w:r>
        <w:t xml:space="preserve">。Knight Capital 2012 年因服务器更新遗漏导致 45 分钟内损失 4.6 亿美元的案例深刻说明：当通用运维系统失效时，Kill Switch 必须是最后一道可靠的防线</w:t>
      </w:r>
      <w:fldSimple w:instr="NOTEREF _Ref_Footnote_116 \h \f">
        <w:r>
          <w:rPr>
            <w:vertAlign w:val="superscript"/>
          </w:rPr>
          <w:t>116</w:t>
        </w:r>
      </w:fldSimple>
      <w:r>
        <w:t xml:space="preserve">。</w:t>
      </w:r>
    </w:p>
    <w:p>
      <w:pPr>
        <w:pStyle w:val="BodyText"/>
      </w:pPr>
      <w:r>
        <w:t xml:space="preserve">事后风控在每日收盘后启动，执行业绩归因分析（Barra 多因子风险模型）、合规审查（交易记录与策略一致性对比）和阈值合理性审计</w:t>
      </w:r>
      <w:fldSimple w:instr="NOTEREF _Ref_Footnote_30 \h \f">
        <w:r>
          <w:rPr>
            <w:vertAlign w:val="superscript"/>
          </w:rPr>
          <w:t>30</w:t>
        </w:r>
      </w:fldSimple>
      <w:r>
        <w:t xml:space="preserve">。合规报告生成模块自动汇总当日交易数据，按监管要求的格式生成报送文件——包括策略说明、系统测试报告、风控措施描述和高频交易额外报告信息，将人工准备时间从数小时压缩至分钟级</w:t>
      </w:r>
      <w:fldSimple w:instr="NOTEREF _Ref_Footnote_35 \h \f">
        <w:r>
          <w:rPr>
            <w:vertAlign w:val="superscript"/>
          </w:rPr>
          <w:t>35</w:t>
        </w:r>
      </w:fldSimple>
      <w:r>
        <w:t xml:space="preserve"> </w:t>
      </w:r>
      <w:fldSimple w:instr="NOTEREF _Ref_Footnote_33 \h \f">
        <w:r>
          <w:rPr>
            <w:vertAlign w:val="superscript"/>
          </w:rPr>
          <w:t>33</w:t>
        </w:r>
      </w:fldSimple>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风控层级</w:t>
            </w:r>
          </w:p>
        </w:tc>
        <w:tc>
          <w:tcPr/>
          <w:p>
            <w:pPr>
              <w:pStyle w:val="Compact"/>
              <w:jc w:val="left"/>
            </w:pPr>
            <w:r>
              <w:t xml:space="preserve">核心功能</w:t>
            </w:r>
          </w:p>
        </w:tc>
        <w:tc>
          <w:tcPr/>
          <w:p>
            <w:pPr>
              <w:pStyle w:val="Compact"/>
              <w:jc w:val="left"/>
            </w:pPr>
            <w:r>
              <w:t xml:space="preserve">技术实现</w:t>
            </w:r>
          </w:p>
        </w:tc>
        <w:tc>
          <w:tcPr/>
          <w:p>
            <w:pPr>
              <w:pStyle w:val="Compact"/>
              <w:jc w:val="left"/>
            </w:pPr>
            <w:r>
              <w:t xml:space="preserve">延迟要求</w:t>
            </w:r>
          </w:p>
        </w:tc>
        <w:tc>
          <w:tcPr/>
          <w:p>
            <w:pPr>
              <w:pStyle w:val="Compact"/>
              <w:jc w:val="left"/>
            </w:pPr>
            <w:r>
              <w:t xml:space="preserve">监管依据</w:t>
            </w:r>
          </w:p>
        </w:tc>
      </w:tr>
      <w:tr>
        <w:tc>
          <w:tcPr/>
          <w:p>
            <w:pPr>
              <w:pStyle w:val="Compact"/>
              <w:jc w:val="left"/>
            </w:pPr>
            <w:r>
              <w:t xml:space="preserve">事前风控</w:t>
            </w:r>
          </w:p>
        </w:tc>
        <w:tc>
          <w:tcPr/>
          <w:p>
            <w:pPr>
              <w:pStyle w:val="Compact"/>
              <w:jc w:val="left"/>
            </w:pPr>
            <w:r>
              <w:t xml:space="preserve">指令审核、验资验券、权限校验、阈值检查</w:t>
            </w:r>
          </w:p>
        </w:tc>
        <w:tc>
          <w:tcPr/>
          <w:p>
            <w:pPr>
              <w:pStyle w:val="Compact"/>
              <w:jc w:val="left"/>
            </w:pPr>
            <w:r>
              <w:t xml:space="preserve">Redis+规则引擎+配置中心</w:t>
            </w:r>
          </w:p>
        </w:tc>
        <w:tc>
          <w:tcPr/>
          <w:p>
            <w:pPr>
              <w:pStyle w:val="Compact"/>
              <w:jc w:val="left"/>
            </w:pPr>
            <w:r>
              <w:t xml:space="preserve">&lt;1ms</w:t>
            </w:r>
          </w:p>
        </w:tc>
        <w:tc>
          <w:tcPr/>
          <w:p>
            <w:pPr>
              <w:pStyle w:val="Compact"/>
              <w:jc w:val="left"/>
            </w:pPr>
            <w:r>
              <w:t xml:space="preserve">《管理规定》第 12 条</w:t>
            </w:r>
            <w:fldSimple w:instr="NOTEREF _Ref_Footnote_37 \h \f">
              <w:r>
                <w:rPr>
                  <w:vertAlign w:val="superscript"/>
                </w:rPr>
                <w:t>37</w:t>
              </w:r>
            </w:fldSimple>
          </w:p>
        </w:tc>
      </w:tr>
      <w:tr>
        <w:tc>
          <w:tcPr/>
          <w:p>
            <w:pPr>
              <w:pStyle w:val="Compact"/>
              <w:jc w:val="left"/>
            </w:pPr>
            <w:r>
              <w:t xml:space="preserve">事中风控</w:t>
            </w:r>
          </w:p>
        </w:tc>
        <w:tc>
          <w:tcPr/>
          <w:p>
            <w:pPr>
              <w:pStyle w:val="Compact"/>
              <w:jc w:val="left"/>
            </w:pPr>
            <w:r>
              <w:t xml:space="preserve">实时监控、异常检测、分级熔断、Kill Switch</w:t>
            </w:r>
          </w:p>
        </w:tc>
        <w:tc>
          <w:tcPr/>
          <w:p>
            <w:pPr>
              <w:pStyle w:val="Compact"/>
              <w:jc w:val="left"/>
            </w:pPr>
            <w:r>
              <w:t xml:space="preserve">Flink 实时计算+独立 FPGA 通道</w:t>
            </w:r>
          </w:p>
        </w:tc>
        <w:tc>
          <w:tcPr/>
          <w:p>
            <w:pPr>
              <w:pStyle w:val="Compact"/>
              <w:jc w:val="left"/>
            </w:pPr>
            <w:r>
              <w:t xml:space="preserve">&lt;1ms（Kill Switch）</w:t>
            </w:r>
          </w:p>
        </w:tc>
        <w:tc>
          <w:tcPr/>
          <w:p>
            <w:pPr>
              <w:pStyle w:val="Compact"/>
              <w:jc w:val="left"/>
            </w:pPr>
            <w:r>
              <w:t xml:space="preserve">《实施细则》第 18 条</w:t>
            </w:r>
            <w:fldSimple w:instr="NOTEREF _Ref_Footnote_35 \h \f">
              <w:r>
                <w:rPr>
                  <w:vertAlign w:val="superscript"/>
                </w:rPr>
                <w:t>35</w:t>
              </w:r>
            </w:fldSimple>
          </w:p>
        </w:tc>
      </w:tr>
      <w:tr>
        <w:tc>
          <w:tcPr/>
          <w:p>
            <w:pPr>
              <w:pStyle w:val="Compact"/>
              <w:jc w:val="left"/>
            </w:pPr>
            <w:r>
              <w:t xml:space="preserve">事后风控</w:t>
            </w:r>
          </w:p>
        </w:tc>
        <w:tc>
          <w:tcPr/>
          <w:p>
            <w:pPr>
              <w:pStyle w:val="Compact"/>
              <w:jc w:val="left"/>
            </w:pPr>
            <w:r>
              <w:t xml:space="preserve">业绩归因、合规审查、策略复盘、报告生成</w:t>
            </w:r>
          </w:p>
        </w:tc>
        <w:tc>
          <w:tcPr/>
          <w:p>
            <w:pPr>
              <w:pStyle w:val="Compact"/>
              <w:jc w:val="left"/>
            </w:pPr>
            <w:r>
              <w:t xml:space="preserve">Python 量化分析+ELK+自动化报表</w:t>
            </w:r>
          </w:p>
        </w:tc>
        <w:tc>
          <w:tcPr/>
          <w:p>
            <w:pPr>
              <w:pStyle w:val="Compact"/>
              <w:jc w:val="left"/>
            </w:pPr>
            <w:r>
              <w:t xml:space="preserve">分钟级（盘后）</w:t>
            </w:r>
          </w:p>
        </w:tc>
        <w:tc>
          <w:tcPr/>
          <w:p>
            <w:pPr>
              <w:pStyle w:val="Compact"/>
              <w:jc w:val="left"/>
            </w:pPr>
            <w:r>
              <w:t xml:space="preserve">《运作指引》第 30 条</w:t>
            </w:r>
            <w:fldSimple w:instr="NOTEREF _Ref_Footnote_40 \h \f">
              <w:r>
                <w:rPr>
                  <w:vertAlign w:val="superscript"/>
                </w:rPr>
                <w:t>40</w:t>
              </w:r>
            </w:fldSimple>
          </w:p>
        </w:tc>
      </w:tr>
    </w:tbl>
    <w:p>
      <w:pPr>
        <w:pStyle w:val="BodyText"/>
      </w:pPr>
      <w:r>
        <w:rPr>
          <w:iCs/>
          <w:i/>
        </w:rPr>
        <w:t xml:space="preserve">表 2：三级风控体系技术规格。事前/事中/事后分别对应交易前中后三个时间窗口，覆盖从毫秒级实时拦截到日度合规审查的全频谱风控需求。</w:t>
      </w:r>
    </w:p>
    <w:bookmarkEnd w:id="70"/>
    <w:bookmarkEnd w:id="71"/>
    <w:bookmarkStart w:id="75" w:name="技术选型建议"/>
    <w:p>
      <w:pPr>
        <w:pStyle w:val="Heading3"/>
      </w:pPr>
      <w:r>
        <w:t xml:space="preserve">3.3 技术选型建议</w:t>
      </w:r>
    </w:p>
    <w:bookmarkStart w:id="72" w:name="核心语言栈rust引擎-python策略-typescript前端"/>
    <w:p>
      <w:pPr>
        <w:pStyle w:val="Heading4"/>
      </w:pPr>
      <w:r>
        <w:t xml:space="preserve">3.3.1 核心语言栈：Rust（引擎）+ Python（策略）+ TypeScript（前端）</w:t>
      </w:r>
    </w:p>
    <w:p>
      <w:pPr>
        <w:pStyle w:val="FirstParagraph"/>
      </w:pPr>
      <w:r>
        <w:t xml:space="preserve">语言栈的选择需要在开发效率、运行时性能和生态丰富度之间取得平衡。本系统采用”Rust 核心+Python 策略+TypeScript 前端”的三语言架构，每一门语言承担其最擅长的职责。</w:t>
      </w:r>
    </w:p>
    <w:p>
      <w:pPr>
        <w:pStyle w:val="BodyText"/>
      </w:pPr>
      <w:r>
        <w:t xml:space="preserve">Rust 作为系统核心语言负责事件驱动引擎、订单管理和高性能计算路径。Rust 的零成本抽象、无垃圾回收（GC-free）运行时和编译期内存安全保证，使其成为金融系统底层开发的最优选择。RaptorBT 的实践证明，Rust 核心在 1,000 bars 回测中较 VectorBT 实现 5,827 倍加速</w:t>
      </w:r>
      <w:fldSimple w:instr="NOTEREF _Ref_Footnote_78 \h \f">
        <w:r>
          <w:rPr>
            <w:vertAlign w:val="superscript"/>
          </w:rPr>
          <w:t>78</w:t>
        </w:r>
      </w:fldSimple>
      <w:r>
        <w:t xml:space="preserve">；VnpyRS 在保持 100% Python 策略兼容性的前提下实现 7%-87% 加速</w:t>
      </w:r>
      <w:fldSimple w:instr="NOTEREF _Ref_Footnote_77 \h \f">
        <w:r>
          <w:rPr>
            <w:vertAlign w:val="superscript"/>
          </w:rPr>
          <w:t>77</w:t>
        </w:r>
      </w:fldSimple>
      <w:r>
        <w:t xml:space="preserve">。Rust 通过 PyO3 绑定与 Python 层无缝集成，策略开发者无需学习 Rust 即可享受底层性能红利。</w:t>
      </w:r>
    </w:p>
    <w:p>
      <w:pPr>
        <w:pStyle w:val="BodyText"/>
      </w:pPr>
      <w:r>
        <w:t xml:space="preserve">Python 作为策略表达语言保留了量化社区最大的生态优势。VN.PY、Backtrader、VectorBT 等主流框架均基于 Python 构建，庞大的策略库和社区知识积累是新平台快速获取用户的关键。系统通过 PyO3/Cython 双通道绑定实现 Python 与 Rust 的交互：PyO3 用于高频调用路径（事件回调、订单发送），Cython 用于批量数据传递（Arrow 格式转换）。</w:t>
      </w:r>
    </w:p>
    <w:p>
      <w:pPr>
        <w:pStyle w:val="BodyText"/>
      </w:pPr>
      <w:r>
        <w:t xml:space="preserve">TypeScript 用于前端 Dashboard 开发，配合 React 19 和 Lightweight Charts（TradingView 出品，WebGL 渲染）实现专业级 K 线图和实时指标叠加。TypeScript 的静态类型系统降低了金融数据密集型前端项目的维护成本，而 Lightweight Charts 在 10 万级数据点的渲染性能远超传统 Canvas 图表库。</w:t>
      </w:r>
    </w:p>
    <w:bookmarkEnd w:id="72"/>
    <w:bookmarkStart w:id="73" w:name="关键开源组件选型依据"/>
    <w:p>
      <w:pPr>
        <w:pStyle w:val="Heading4"/>
      </w:pPr>
      <w:r>
        <w:t xml:space="preserve">3.3.2 关键开源组件选型依据</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组件</w:t>
            </w:r>
          </w:p>
        </w:tc>
        <w:tc>
          <w:tcPr/>
          <w:p>
            <w:pPr>
              <w:pStyle w:val="Compact"/>
              <w:jc w:val="left"/>
            </w:pPr>
            <w:r>
              <w:t xml:space="preserve">功能定位</w:t>
            </w:r>
          </w:p>
        </w:tc>
        <w:tc>
          <w:tcPr/>
          <w:p>
            <w:pPr>
              <w:pStyle w:val="Compact"/>
              <w:jc w:val="left"/>
            </w:pPr>
            <w:r>
              <w:t xml:space="preserve">选型依据</w:t>
            </w:r>
          </w:p>
        </w:tc>
        <w:tc>
          <w:tcPr/>
          <w:p>
            <w:pPr>
              <w:pStyle w:val="Compact"/>
              <w:jc w:val="left"/>
            </w:pPr>
            <w:r>
              <w:t xml:space="preserve">备选方案</w:t>
            </w:r>
          </w:p>
        </w:tc>
      </w:tr>
      <w:tr>
        <w:tc>
          <w:tcPr/>
          <w:p>
            <w:pPr>
              <w:pStyle w:val="Compact"/>
              <w:jc w:val="left"/>
            </w:pPr>
            <w:r>
              <w:t xml:space="preserve">Apache Arrow</w:t>
            </w:r>
          </w:p>
        </w:tc>
        <w:tc>
          <w:tcPr/>
          <w:p>
            <w:pPr>
              <w:pStyle w:val="Compact"/>
              <w:jc w:val="left"/>
            </w:pPr>
            <w:r>
              <w:t xml:space="preserve">内存数据格式标准</w:t>
            </w:r>
          </w:p>
        </w:tc>
        <w:tc>
          <w:tcPr/>
          <w:p>
            <w:pPr>
              <w:pStyle w:val="Compact"/>
              <w:jc w:val="left"/>
            </w:pPr>
            <w:r>
              <w:t xml:space="preserve">零拷贝跨语言传输，SIMD 向量化，15+ 语言支持</w:t>
            </w:r>
            <w:r>
              <w:rPr>
                <w:vertAlign w:val="superscript"/>
              </w:rPr>
              <w:footnoteReference w:id="120"/>
            </w:r>
          </w:p>
        </w:tc>
        <w:tc>
          <w:tcPr/>
          <w:p>
            <w:pPr>
              <w:pStyle w:val="Compact"/>
              <w:jc w:val="left"/>
            </w:pPr>
            <w:r>
              <w:t xml:space="preserve">FlatBuffers</w:t>
            </w:r>
          </w:p>
        </w:tc>
      </w:tr>
      <w:tr>
        <w:tc>
          <w:tcPr/>
          <w:p>
            <w:pPr>
              <w:pStyle w:val="Compact"/>
              <w:jc w:val="left"/>
            </w:pPr>
            <w:r>
              <w:t xml:space="preserve">Polars</w:t>
            </w:r>
          </w:p>
        </w:tc>
        <w:tc>
          <w:tcPr/>
          <w:p>
            <w:pPr>
              <w:pStyle w:val="Compact"/>
              <w:jc w:val="left"/>
            </w:pPr>
            <w:r>
              <w:t xml:space="preserve">DataFrame 计算引擎</w:t>
            </w:r>
          </w:p>
        </w:tc>
        <w:tc>
          <w:tcPr/>
          <w:p>
            <w:pPr>
              <w:pStyle w:val="Compact"/>
              <w:jc w:val="left"/>
            </w:pPr>
            <w:r>
              <w:t xml:space="preserve">Rust 核心，比 pandas 快 5-100 倍，Arrow 原生</w:t>
            </w:r>
            <w:fldSimple w:instr="NOTEREF _Ref_Footnote_55 \h \f">
              <w:r>
                <w:rPr>
                  <w:vertAlign w:val="superscript"/>
                </w:rPr>
                <w:t>55</w:t>
              </w:r>
            </w:fldSimple>
          </w:p>
        </w:tc>
        <w:tc>
          <w:tcPr/>
          <w:p>
            <w:pPr>
              <w:pStyle w:val="Compact"/>
              <w:jc w:val="left"/>
            </w:pPr>
            <w:r>
              <w:t xml:space="preserve">DuckDB</w:t>
            </w:r>
          </w:p>
        </w:tc>
      </w:tr>
      <w:tr>
        <w:tc>
          <w:tcPr/>
          <w:p>
            <w:pPr>
              <w:pStyle w:val="Compact"/>
              <w:jc w:val="left"/>
            </w:pPr>
            <w:r>
              <w:t xml:space="preserve">Numba</w:t>
            </w:r>
          </w:p>
        </w:tc>
        <w:tc>
          <w:tcPr/>
          <w:p>
            <w:pPr>
              <w:pStyle w:val="Compact"/>
              <w:jc w:val="left"/>
            </w:pPr>
            <w:r>
              <w:t xml:space="preserve">Python JIT 编译器</w:t>
            </w:r>
          </w:p>
        </w:tc>
        <w:tc>
          <w:tcPr/>
          <w:p>
            <w:pPr>
              <w:pStyle w:val="Compact"/>
              <w:jc w:val="left"/>
            </w:pPr>
            <w:r>
              <w:t xml:space="preserve">动态编译 Python 为机器码，C 级性能，NumPy 原生集成</w:t>
            </w:r>
            <w:fldSimple w:instr="NOTEREF _Ref_Footnote_80 \h \f">
              <w:r>
                <w:rPr>
                  <w:vertAlign w:val="superscript"/>
                </w:rPr>
                <w:t>80</w:t>
              </w:r>
            </w:fldSimple>
          </w:p>
        </w:tc>
        <w:tc>
          <w:tcPr/>
          <w:p>
            <w:pPr>
              <w:pStyle w:val="Compact"/>
              <w:jc w:val="left"/>
            </w:pPr>
            <w:r>
              <w:t xml:space="preserve">Cython</w:t>
            </w:r>
          </w:p>
        </w:tc>
      </w:tr>
      <w:tr>
        <w:tc>
          <w:tcPr/>
          <w:p>
            <w:pPr>
              <w:pStyle w:val="Compact"/>
              <w:jc w:val="left"/>
            </w:pPr>
            <w:r>
              <w:t xml:space="preserve">PyO3</w:t>
            </w:r>
          </w:p>
        </w:tc>
        <w:tc>
          <w:tcPr/>
          <w:p>
            <w:pPr>
              <w:pStyle w:val="Compact"/>
              <w:jc w:val="left"/>
            </w:pPr>
            <w:r>
              <w:t xml:space="preserve">Rust-Python 绑定</w:t>
            </w:r>
          </w:p>
        </w:tc>
        <w:tc>
          <w:tcPr/>
          <w:p>
            <w:pPr>
              <w:pStyle w:val="Compact"/>
              <w:jc w:val="left"/>
            </w:pPr>
            <w:r>
              <w:t xml:space="preserve">零开销 FFI，Python 对象安全访问，async 支持</w:t>
            </w:r>
            <w:fldSimple w:instr="NOTEREF _Ref_Footnote_77 \h \f">
              <w:r>
                <w:rPr>
                  <w:vertAlign w:val="superscript"/>
                </w:rPr>
                <w:t>77</w:t>
              </w:r>
            </w:fldSimple>
          </w:p>
        </w:tc>
        <w:tc>
          <w:tcPr/>
          <w:p>
            <w:pPr>
              <w:pStyle w:val="Compact"/>
              <w:jc w:val="left"/>
            </w:pPr>
            <w:r>
              <w:t xml:space="preserve">rust-cpython</w:t>
            </w:r>
          </w:p>
        </w:tc>
      </w:tr>
      <w:tr>
        <w:tc>
          <w:tcPr/>
          <w:p>
            <w:pPr>
              <w:pStyle w:val="Compact"/>
              <w:jc w:val="left"/>
            </w:pPr>
            <w:r>
              <w:t xml:space="preserve">Lightweight Charts</w:t>
            </w:r>
          </w:p>
        </w:tc>
        <w:tc>
          <w:tcPr/>
          <w:p>
            <w:pPr>
              <w:pStyle w:val="Compact"/>
              <w:jc w:val="left"/>
            </w:pPr>
            <w:r>
              <w:t xml:space="preserve">K 线图表库</w:t>
            </w:r>
          </w:p>
        </w:tc>
        <w:tc>
          <w:tcPr/>
          <w:p>
            <w:pPr>
              <w:pStyle w:val="Compact"/>
              <w:jc w:val="left"/>
            </w:pPr>
            <w:r>
              <w:t xml:space="preserve">TradingView 官方出品，WebGL 渲染，10 万点流畅</w:t>
            </w:r>
            <w:fldSimple w:instr="NOTEREF _Ref_Footnote_105 \h \f">
              <w:r>
                <w:rPr>
                  <w:vertAlign w:val="superscript"/>
                </w:rPr>
                <w:t>105</w:t>
              </w:r>
            </w:fldSimple>
          </w:p>
        </w:tc>
        <w:tc>
          <w:tcPr/>
          <w:p>
            <w:pPr>
              <w:pStyle w:val="Compact"/>
              <w:jc w:val="left"/>
            </w:pPr>
            <w:r>
              <w:t xml:space="preserve">ECharts</w:t>
            </w:r>
          </w:p>
        </w:tc>
      </w:tr>
      <w:tr>
        <w:tc>
          <w:tcPr/>
          <w:p>
            <w:pPr>
              <w:pStyle w:val="Compact"/>
              <w:jc w:val="left"/>
            </w:pPr>
            <w:r>
              <w:t xml:space="preserve">QuestDB</w:t>
            </w:r>
          </w:p>
        </w:tc>
        <w:tc>
          <w:tcPr/>
          <w:p>
            <w:pPr>
              <w:pStyle w:val="Compact"/>
              <w:jc w:val="left"/>
            </w:pPr>
            <w:r>
              <w:t xml:space="preserve">时序数据库</w:t>
            </w:r>
          </w:p>
        </w:tc>
        <w:tc>
          <w:tcPr/>
          <w:p>
            <w:pPr>
              <w:pStyle w:val="Compact"/>
              <w:jc w:val="left"/>
            </w:pPr>
            <w:r>
              <w:t xml:space="preserve">摄入比 InfluxDB 快 12-36 倍，SQL 接口，开源</w:t>
            </w:r>
            <w:fldSimple w:instr="NOTEREF _Ref_Footnote_69 \h \f">
              <w:r>
                <w:rPr>
                  <w:vertAlign w:val="superscript"/>
                </w:rPr>
                <w:t>69</w:t>
              </w:r>
            </w:fldSimple>
          </w:p>
        </w:tc>
        <w:tc>
          <w:tcPr/>
          <w:p>
            <w:pPr>
              <w:pStyle w:val="Compact"/>
              <w:jc w:val="left"/>
            </w:pPr>
            <w:r>
              <w:t xml:space="preserve">TimescaleDB</w:t>
            </w:r>
          </w:p>
        </w:tc>
      </w:tr>
      <w:tr>
        <w:tc>
          <w:tcPr/>
          <w:p>
            <w:pPr>
              <w:pStyle w:val="Compact"/>
              <w:jc w:val="left"/>
            </w:pPr>
            <w:r>
              <w:t xml:space="preserve">Kafka</w:t>
            </w:r>
          </w:p>
        </w:tc>
        <w:tc>
          <w:tcPr/>
          <w:p>
            <w:pPr>
              <w:pStyle w:val="Compact"/>
              <w:jc w:val="left"/>
            </w:pPr>
            <w:r>
              <w:t xml:space="preserve">消息总线</w:t>
            </w:r>
          </w:p>
        </w:tc>
        <w:tc>
          <w:tcPr/>
          <w:p>
            <w:pPr>
              <w:pStyle w:val="Compact"/>
              <w:jc w:val="left"/>
            </w:pPr>
            <w:r>
              <w:t xml:space="preserve">金融级持久性，exactly-once 语义，生态成熟</w:t>
            </w:r>
            <w:fldSimple w:instr="NOTEREF _Ref_Footnote_52 \h \f">
              <w:r>
                <w:rPr>
                  <w:vertAlign w:val="superscript"/>
                </w:rPr>
                <w:t>52</w:t>
              </w:r>
            </w:fldSimple>
          </w:p>
        </w:tc>
        <w:tc>
          <w:tcPr/>
          <w:p>
            <w:pPr>
              <w:pStyle w:val="Compact"/>
              <w:jc w:val="left"/>
            </w:pPr>
            <w:r>
              <w:t xml:space="preserve">Redpanda</w:t>
            </w:r>
          </w:p>
        </w:tc>
      </w:tr>
    </w:tbl>
    <w:p>
      <w:pPr>
        <w:pStyle w:val="BodyText"/>
      </w:pPr>
      <w:r>
        <w:rPr>
          <w:iCs/>
          <w:i/>
        </w:rPr>
        <w:t xml:space="preserve">表 3：关键开源组件选型矩阵。每个组件的选择均基于定量性能基准测试和长期维护性评估。</w:t>
      </w:r>
    </w:p>
    <w:p>
      <w:pPr>
        <w:pStyle w:val="BodyText"/>
      </w:pPr>
      <w:r>
        <w:t xml:space="preserve">组件间的协同关系值得深入分析。Arrow 是整个数据流通的”通用语言”——QuestDB 支持 Arrow 格式导出，Polars 基于 Arrow 内存模型构建，PyO3 通过 Arrow FFI 实现 Python-Rust 零拷贝数据传递，Lightweight Charts 通过 Arrow 格式接收前端渲染数据。这种”以 Arrow 为中心”的数据架构消除了传统量化系统中反复序列化/反序列化的性能损耗，使得从数据库到图表的端到端数据路径延迟降低一个数量级</w:t>
      </w:r>
      <w:fldSimple w:instr="NOTEREF _Ref_Footnote_76 \h \f">
        <w:r>
          <w:rPr>
            <w:vertAlign w:val="superscript"/>
          </w:rPr>
          <w:t>76</w:t>
        </w:r>
      </w:fldSimple>
      <w:r>
        <w:t xml:space="preserve">。</w:t>
      </w:r>
    </w:p>
    <w:bookmarkEnd w:id="73"/>
    <w:bookmarkStart w:id="74" w:name="X2ba8b9240d2baf6b7817f5760b22b380105c9ff"/>
    <w:p>
      <w:pPr>
        <w:pStyle w:val="Heading4"/>
      </w:pPr>
      <w:r>
        <w:t xml:space="preserve">3.3.3 部署架构：Docker Compose→Kubernetes→Serverless 回测服务（BaaS）</w:t>
      </w:r>
    </w:p>
    <w:p>
      <w:pPr>
        <w:pStyle w:val="FirstParagraph"/>
      </w:pPr>
      <w:r>
        <w:t xml:space="preserve">系统的部署架构设计为渐进式三阶段演进，匹配不同规模用户的资源约束。</w:t>
      </w:r>
    </w:p>
    <w:p>
      <w:pPr>
        <w:pStyle w:val="BodyText"/>
      </w:pPr>
      <w:r>
        <w:t xml:space="preserve">第一阶段”本地开发部署”基于 Docker Compose，面向个人量化研究员和小型团队。单个</w:t>
      </w:r>
      <w:r>
        <w:t xml:space="preserve"> </w:t>
      </w:r>
      <w:r>
        <w:rPr>
          <w:rStyle w:val="VerbatimChar"/>
        </w:rPr>
        <w:t xml:space="preserve">docker-compose.yaml</w:t>
      </w:r>
      <w:r>
        <w:t xml:space="preserve"> </w:t>
      </w:r>
      <w:r>
        <w:t xml:space="preserve">文件即可启动完整环境：Rust 核心回测引擎、QuestDB 时序数据库、Redis 缓存、Jupyter Notebook 和前端 Dashboard。资源配置建议为 8 核 CPU/32GB 内存，可流畅运行 A 股全市场日频回测（5,000+ 标的，10 年数据）。NautilusTrader 的 Docker 实践提供了成熟的参考——通过 ghcr.io 容器注册表分发多平台镜像（linux/amd64），支持 latest/nightly/jupyterlab 等多种变体</w:t>
      </w:r>
      <w:r>
        <w:rPr>
          <w:vertAlign w:val="superscript"/>
        </w:rPr>
        <w:footnoteReference w:id="121"/>
      </w:r>
      <w:r>
        <w:t xml:space="preserve">。</w:t>
      </w:r>
    </w:p>
    <w:p>
      <w:pPr>
        <w:pStyle w:val="BodyText"/>
      </w:pPr>
      <w:r>
        <w:t xml:space="preserve">第二阶段”机构生产部署”基于 Kubernetes，面向中型量化私募和券商自营团队。核心服务（回测引擎、风控模块、Gateway）以 StatefulSet 部署确保有状态服务的稳定性，无状态服务（API、前端、报告生成）以 Deployment 水平扩展。GPU 节点通过 NVIDIA Device Plugin 统一管理，Monte Carlo 和风险计算任务自动调度至 GPU 节点。Prometheus+Grafana 监控栈覆盖系统健康度、事件吞吐量和延迟 P99 等关键指标。</w:t>
      </w:r>
    </w:p>
    <w:p>
      <w:pPr>
        <w:pStyle w:val="BodyText"/>
      </w:pPr>
      <w:r>
        <w:t xml:space="preserve">第三阶段”回测即服务（Backtesting-as-a-Service）</w:t>
      </w:r>
      <w:r>
        <w:t xml:space="preserve">“</w:t>
      </w:r>
      <w:r>
        <w:t xml:space="preserve">基于 Serverless 架构，面向云端 SaaS 模式。回测任务以函数计算（AWS Lambda/Knative）形式提交，系统自动分配计算资源并在完成后释放，用户按实际计算时长付费。QuantConnect 的 BaaS 模式已证明这一架构的商业可行性——该平台支撑 318K 社区用户，通过弹性计算能力将昂贵的 GPU 基础设施成本分摊至大量用户</w:t>
      </w:r>
      <w:fldSimple w:instr="NOTEREF _Ref_Footnote_110 \h \f">
        <w:r>
          <w:rPr>
            <w:vertAlign w:val="superscript"/>
          </w:rPr>
          <w:t>110</w:t>
        </w:r>
      </w:fldSimple>
      <w:r>
        <w:t xml:space="preserve">。BaaS 模式的另一优势在于数据飞轮效应：用户使用 Market State 引擎和 MISS 框架进行回测时，系统自动积累市场状态标注数据，这些数据反过来持续优化状态检测模型，形成</w:t>
      </w:r>
      <w:r>
        <w:t xml:space="preserve">”</w:t>
      </w:r>
      <w:r>
        <w:t xml:space="preserve">更多用户→更多数据→更好模型→更强产品→更多用户”的正向循环</w:t>
      </w:r>
      <w:r>
        <w:rPr>
          <w:vertAlign w:val="superscript"/>
        </w:rPr>
        <w:footnoteReference w:id="122"/>
      </w:r>
      <w:r>
        <w:t xml:space="preserve">。</w:t>
      </w:r>
    </w:p>
    <w:p>
      <w:pPr>
        <w:pStyle w:val="BodyText"/>
      </w:pPr>
      <w:r>
        <w:t xml:space="preserve">从 Docker Compose 到 Kubernetes 再到 Serverless 的演进路径并非强制性升级，而是根据业务规模自然过渡。个人用户可在本地完成全部研发工作，机构用户通过 Kubernetes 获得生产级高可用，而 BaaS 模式则使无基础设施投入的用户也能享受 GPU 加速和分布式计算能力。这种渐进式架构设计兼顾了不同阶段用户的实际需求，是技术先进性与工程可落地性之间务实平衡的体现。</w:t>
      </w:r>
    </w:p>
    <w:p>
      <w:r>
        <w:pict>
          <v:rect style="width:0;height:1.5pt" o:hralign="center" o:hrstd="t" o:hr="t"/>
        </w:pict>
      </w:r>
    </w:p>
    <w:bookmarkEnd w:id="74"/>
    <w:bookmarkEnd w:id="75"/>
    <w:bookmarkEnd w:id="76"/>
    <w:bookmarkStart w:id="92" w:name="业务开展路径与商业模式"/>
    <w:p>
      <w:pPr>
        <w:pStyle w:val="Heading2"/>
      </w:pPr>
      <w:r>
        <w:t xml:space="preserve">4. 业务开展路径与商业模式</w:t>
      </w:r>
    </w:p>
    <w:bookmarkStart w:id="80" w:name="目标市场与客户画像"/>
    <w:p>
      <w:pPr>
        <w:pStyle w:val="Heading3"/>
      </w:pPr>
      <w:r>
        <w:t xml:space="preserve">4.1 目标市场与客户画像</w:t>
      </w:r>
    </w:p>
    <w:p>
      <w:pPr>
        <w:pStyle w:val="FirstParagraph"/>
      </w:pPr>
      <w:r>
        <w:t xml:space="preserve">量化回测系统的市场结构呈现典型的金字塔形态——底座是个人量化爱好者，中层为专业交易员和小型团队，塔尖是私募、券商等机构客户。三类客户群体的付费能力、需求深度和决策逻辑存在本质差异，精准的客户画像是后续定价策略和获客路径设计的基础。</w:t>
      </w:r>
    </w:p>
    <w:bookmarkStart w:id="77" w:name="个人量化爱好者快速回测与策略分享"/>
    <w:p>
      <w:pPr>
        <w:pStyle w:val="Heading4"/>
      </w:pPr>
      <w:r>
        <w:t xml:space="preserve">4.1.1 个人量化爱好者：快速回测与策略分享</w:t>
      </w:r>
    </w:p>
    <w:p>
      <w:pPr>
        <w:pStyle w:val="FirstParagraph"/>
      </w:pPr>
      <w:r>
        <w:t xml:space="preserve">个人量化爱好者是市场的流量入口，也是开源社区的核心参与者。这一群体以中国50万量化平台注册用户为基数</w:t>
      </w:r>
      <w:fldSimple w:instr="NOTEREF _Ref_Footnote_8 \h \f">
        <w:r>
          <w:rPr>
            <w:vertAlign w:val="superscript"/>
          </w:rPr>
          <w:t>8</w:t>
        </w:r>
      </w:fldSimple>
      <w:r>
        <w:t xml:space="preserve">，主要由金融工程专业学生、对量化投资感兴趣的程序员、以及希望自主管理资产的散户投资者构成。该群体的年均付费意愿集中在0—3,000元区间，对价格高度敏感，免费版功能的吸引力远大于付费版。</w:t>
      </w:r>
    </w:p>
    <w:p>
      <w:pPr>
        <w:pStyle w:val="BodyText"/>
      </w:pPr>
      <w:r>
        <w:t xml:space="preserve">从需求侧分析，个人量化爱好者的核心诉求可归纳为三个层次。其一，</w:t>
      </w:r>
      <w:r>
        <w:rPr>
          <w:bCs/>
          <w:b/>
        </w:rPr>
        <w:t xml:space="preserve">快速回测</w:t>
      </w:r>
      <w:r>
        <w:t xml:space="preserve">——策略开发者约40%的时间消耗在等待回测结果上</w:t>
      </w:r>
      <w:fldSimple w:instr="NOTEREF _Ref_Footnote_10 \h \f">
        <w:r>
          <w:rPr>
            <w:vertAlign w:val="superscript"/>
          </w:rPr>
          <w:t>10</w:t>
        </w:r>
      </w:fldSimple>
      <w:r>
        <w:t xml:space="preserve">，回测速度直接决定研发效率。其二，</w:t>
      </w:r>
      <w:r>
        <w:rPr>
          <w:bCs/>
          <w:b/>
        </w:rPr>
        <w:t xml:space="preserve">低门槛上手</w:t>
      </w:r>
      <w:r>
        <w:t xml:space="preserve">——聚宽能够积累50万注册用户的关键在于”人人皆为宽客”的产品定位，新手最快1天即可上手</w:t>
      </w:r>
      <w:r>
        <w:rPr>
          <w:vertAlign w:val="superscript"/>
        </w:rPr>
        <w:footnoteReference w:id="123"/>
      </w:r>
      <w:r>
        <w:t xml:space="preserve">。其三，</w:t>
      </w:r>
      <w:r>
        <w:rPr>
          <w:bCs/>
          <w:b/>
        </w:rPr>
        <w:t xml:space="preserve">策略分享与社交认可</w:t>
      </w:r>
      <w:r>
        <w:t xml:space="preserve">——策略市场提供了展示和验证策略效果的平台，社区驱动的学习模式是该群体的核心粘性来源。</w:t>
      </w:r>
    </w:p>
    <w:p>
      <w:pPr>
        <w:pStyle w:val="BodyText"/>
      </w:pPr>
      <w:r>
        <w:t xml:space="preserve">个人用户的商业价值不在于直接收入贡献，而在于其作为</w:t>
      </w:r>
      <w:r>
        <w:rPr>
          <w:bCs/>
          <w:b/>
        </w:rPr>
        <w:t xml:space="preserve">社区生态基础设施</w:t>
      </w:r>
      <w:r>
        <w:t xml:space="preserve">的战略角色。聚宽策略市场累计交易量超过1,000亿元</w:t>
      </w:r>
      <w:fldSimple w:instr="NOTEREF _Ref_Footnote_8 \h \f">
        <w:r>
          <w:rPr>
            <w:vertAlign w:val="superscript"/>
          </w:rPr>
          <w:t>8</w:t>
        </w:r>
      </w:fldSimple>
      <w:r>
        <w:t xml:space="preserve">，社区策略超10万套</w:t>
      </w:r>
      <w:fldSimple w:instr="NOTEREF _Ref_Footnote_11 \h \f">
        <w:r>
          <w:rPr>
            <w:vertAlign w:val="superscript"/>
          </w:rPr>
          <w:t>11</w:t>
        </w:r>
      </w:fldSimple>
      <w:r>
        <w:t xml:space="preserve">，这些数据资产和社区活跃度是平台向B端延伸时最有力的信任背书。因此，个人用户层的运营目标应以社区规模和活跃度为北极星指标，而非短期付费转化率。</w:t>
      </w:r>
    </w:p>
    <w:bookmarkEnd w:id="77"/>
    <w:bookmarkStart w:id="78" w:name="专业交易员与小团队低延迟实盘与高级数据"/>
    <w:p>
      <w:pPr>
        <w:pStyle w:val="Heading4"/>
      </w:pPr>
      <w:r>
        <w:t xml:space="preserve">4.1.2 专业交易员与小团队：低延迟实盘与高级数据</w:t>
      </w:r>
    </w:p>
    <w:p>
      <w:pPr>
        <w:pStyle w:val="FirstParagraph"/>
      </w:pPr>
      <w:r>
        <w:t xml:space="preserve">专业交易员和小型量化团队位于金字塔中层，构成了从个人爱好者向机构客户过渡的关键桥梁。这一群体的年费承受范围在1—10万元之间，管理规模通常在5,000万元以下，核心需求聚焦于三个维度：</w:t>
      </w:r>
      <w:r>
        <w:rPr>
          <w:bCs/>
          <w:b/>
        </w:rPr>
        <w:t xml:space="preserve">低延迟实盘执行</w:t>
      </w:r>
      <w:r>
        <w:t xml:space="preserve">、</w:t>
      </w:r>
      <w:r>
        <w:rPr>
          <w:bCs/>
          <w:b/>
        </w:rPr>
        <w:t xml:space="preserve">高精度历史数据</w:t>
      </w:r>
      <w:r>
        <w:t xml:space="preserve">和</w:t>
      </w:r>
      <w:r>
        <w:rPr>
          <w:bCs/>
          <w:b/>
        </w:rPr>
        <w:t xml:space="preserve">策略隐私保护</w:t>
      </w:r>
      <w:r>
        <w:t xml:space="preserve">。</w:t>
      </w:r>
    </w:p>
    <w:p>
      <w:pPr>
        <w:pStyle w:val="BodyText"/>
      </w:pPr>
      <w:r>
        <w:t xml:space="preserve">掘金量化的用户群体定位精确映射了这一层级的需求特征。掘金以本地部署模式满足策略保密性要求——策略在本地环境运行，数据从云端实时推送，策略代码不离开用户服务器</w:t>
      </w:r>
      <w:fldSimple w:instr="NOTEREF _Ref_Footnote_16 \h \f">
        <w:r>
          <w:rPr>
            <w:vertAlign w:val="superscript"/>
          </w:rPr>
          <w:t>16</w:t>
        </w:r>
      </w:fldSimple>
      <w:r>
        <w:t xml:space="preserve">。其纳秒级事件驱动引擎将行情延迟控制在约700纳秒</w:t>
      </w:r>
      <w:fldSimple w:instr="NOTEREF _Ref_Footnote_11 \h \f">
        <w:r>
          <w:rPr>
            <w:vertAlign w:val="superscript"/>
          </w:rPr>
          <w:t>11</w:t>
        </w:r>
      </w:fldSimple>
      <w:r>
        <w:t xml:space="preserve">，精准撮合系统按交易所规则逐档模拟委托排队</w:t>
      </w:r>
      <w:fldSimple w:instr="NOTEREF _Ref_Footnote_17 \h \f">
        <w:r>
          <w:rPr>
            <w:vertAlign w:val="superscript"/>
          </w:rPr>
          <w:t>17</w:t>
        </w:r>
      </w:fldSimple>
      <w:r>
        <w:t xml:space="preserve">，在回测精度层面建立了专业级口碑。然而，掘金的学习门槛较高，本地部署对用户技术能力提出了明确要求</w:t>
      </w:r>
      <w:fldSimple w:instr="NOTEREF _Ref_Footnote_11 \h \f">
        <w:r>
          <w:rPr>
            <w:vertAlign w:val="superscript"/>
          </w:rPr>
          <w:t>11</w:t>
        </w:r>
      </w:fldSimple>
      <w:r>
        <w:t xml:space="preserve">，这恰恰构成了差异化产品的切入点。</w:t>
      </w:r>
    </w:p>
    <w:p>
      <w:pPr>
        <w:pStyle w:val="BodyText"/>
      </w:pPr>
      <w:r>
        <w:t xml:space="preserve">这一群体的获客路径与个人用户截然不同。vn.py累计服务中大型私募超过600家</w:t>
      </w:r>
      <w:fldSimple w:instr="NOTEREF _Ref_Footnote_16 \h \f">
        <w:r>
          <w:rPr>
            <w:vertAlign w:val="superscript"/>
          </w:rPr>
          <w:t>16</w:t>
        </w:r>
      </w:fldSimple>
      <w:r>
        <w:t xml:space="preserve">，其商业化并非通过广告获客，而是开源社区的</w:t>
      </w:r>
      <w:r>
        <w:rPr>
          <w:bCs/>
          <w:b/>
        </w:rPr>
        <w:t xml:space="preserve">自然溢出</w:t>
      </w:r>
      <w:r>
        <w:t xml:space="preserve">——当用户在开源框架上构建了可盈利的策略后，对技术支持、定制开发和高级功能的需求自然产生。开源→SaaS的商业转化率在2%—5%之间</w:t>
      </w:r>
      <w:r>
        <w:rPr>
          <w:vertAlign w:val="superscript"/>
        </w:rPr>
        <w:footnoteReference w:id="124"/>
      </w:r>
      <w:r>
        <w:t xml:space="preserve"> </w:t>
      </w:r>
      <w:r>
        <w:rPr>
          <w:vertAlign w:val="superscript"/>
        </w:rPr>
        <w:footnoteReference w:id="125"/>
      </w:r>
      <w:r>
        <w:t xml:space="preserve">，但获客成本趋近于零</w:t>
      </w:r>
      <w:r>
        <w:rPr>
          <w:vertAlign w:val="superscript"/>
        </w:rPr>
        <w:footnoteReference w:id="126"/>
      </w:r>
      <w:r>
        <w:t xml:space="preserve">，这种Developer-Led Growth模式是触达专业交易员群体的最优路径。</w:t>
      </w:r>
    </w:p>
    <w:bookmarkEnd w:id="78"/>
    <w:bookmarkStart w:id="79" w:name="机构客户私募券商合规风控与定制化"/>
    <w:p>
      <w:pPr>
        <w:pStyle w:val="Heading4"/>
      </w:pPr>
      <w:r>
        <w:t xml:space="preserve">4.1.3 机构客户（私募/券商）：合规、风控与定制化</w:t>
      </w:r>
    </w:p>
    <w:p>
      <w:pPr>
        <w:pStyle w:val="FirstParagraph"/>
      </w:pPr>
      <w:r>
        <w:t xml:space="preserve">机构客户位于金字塔顶端，是利润贡献的主体。截至2025年末，百亿量化私募数量达到55家，首次超越主观策略阵营</w:t>
      </w:r>
      <w:fldSimple w:instr="NOTEREF _Ref_Footnote_6 \h \f">
        <w:r>
          <w:rPr>
            <w:vertAlign w:val="superscript"/>
          </w:rPr>
          <w:t>6</w:t>
        </w:r>
      </w:fldSimple>
      <w:r>
        <w:t xml:space="preserve">，量化私募整体管理规模约1.40万亿元</w:t>
      </w:r>
      <w:fldSimple w:instr="NOTEREF _Ref_Footnote_2 \h \f">
        <w:r>
          <w:rPr>
            <w:vertAlign w:val="superscript"/>
          </w:rPr>
          <w:t>2</w:t>
        </w:r>
      </w:fldSimple>
      <w:r>
        <w:t xml:space="preserve">，构成了回测系统最核心的企业级付费群体。</w:t>
      </w:r>
    </w:p>
    <w:p>
      <w:pPr>
        <w:pStyle w:val="BodyText"/>
      </w:pPr>
      <w:r>
        <w:t xml:space="preserve">机构客户的需求与个人和专业用户存在质的差异，可归纳为四个层面。</w:t>
      </w:r>
      <w:r>
        <w:rPr>
          <w:bCs/>
          <w:b/>
        </w:rPr>
        <w:t xml:space="preserve">第一，合规刚性需求</w:t>
      </w:r>
      <w:r>
        <w:t xml:space="preserve">——2024年10月施行的《证券市场程序化交易管理规定（试行）》</w:t>
      </w:r>
      <w:fldSimple w:instr="NOTEREF _Ref_Footnote_33 \h \f">
        <w:r>
          <w:rPr>
            <w:vertAlign w:val="superscript"/>
          </w:rPr>
          <w:t>33</w:t>
        </w:r>
      </w:fldSimple>
      <w:r>
        <w:t xml:space="preserve">及2025年7月施行的交易所实施细则</w:t>
      </w:r>
      <w:fldSimple w:instr="NOTEREF _Ref_Footnote_34 \h \f">
        <w:r>
          <w:rPr>
            <w:vertAlign w:val="superscript"/>
          </w:rPr>
          <w:t>34</w:t>
        </w:r>
      </w:fldSimple>
      <w:r>
        <w:t xml:space="preserve">，对量化交易系统提出了验资验券、阈值管理、异常监测、Kill Switch等六大技术能力要求</w:t>
      </w:r>
      <w:fldSimple w:instr="NOTEREF _Ref_Footnote_37 \h \f">
        <w:r>
          <w:rPr>
            <w:vertAlign w:val="superscript"/>
          </w:rPr>
          <w:t>37</w:t>
        </w:r>
      </w:fldSimple>
      <w:r>
        <w:t xml:space="preserve"> </w:t>
      </w:r>
      <w:fldSimple w:instr="NOTEREF _Ref_Footnote_38 \h \f">
        <w:r>
          <w:rPr>
            <w:vertAlign w:val="superscript"/>
          </w:rPr>
          <w:t>38</w:t>
        </w:r>
      </w:fldSimple>
      <w:r>
        <w:t xml:space="preserve">。合规不再是”可选”功能，而是系统进入机构采购清单的门票。</w:t>
      </w:r>
      <w:r>
        <w:rPr>
          <w:bCs/>
          <w:b/>
        </w:rPr>
        <w:t xml:space="preserve">第二，私有化部署</w:t>
      </w:r>
      <w:r>
        <w:t xml:space="preserve">——机构策略属于核心知识产权，数据不出场是硬性要求，公有云回测平台难以满足这一诉求。</w:t>
      </w:r>
      <w:r>
        <w:rPr>
          <w:bCs/>
          <w:b/>
        </w:rPr>
        <w:t xml:space="preserve">第三，系统稳定性与SLA保障</w:t>
      </w:r>
      <w:r>
        <w:t xml:space="preserve">——金融级可用性（99.99%）和7×24小时技术支持是基本门槛。</w:t>
      </w:r>
      <w:r>
        <w:rPr>
          <w:bCs/>
          <w:b/>
        </w:rPr>
        <w:t xml:space="preserve">第四，定制化集成</w:t>
      </w:r>
      <w:r>
        <w:t xml:space="preserve">——与券商柜台系统（如恒生O32、迅投QMT）、风控系统和中后台的对接需要深度定制开发。</w:t>
      </w:r>
    </w:p>
    <w:p>
      <w:pPr>
        <w:pStyle w:val="BodyText"/>
      </w:pPr>
      <w:r>
        <w:t xml:space="preserve">从付费能力看，聚宽JQData企业版定价数万元/年起</w:t>
      </w:r>
      <w:fldSimple w:instr="NOTEREF _Ref_Footnote_14 \h \f">
        <w:r>
          <w:rPr>
            <w:vertAlign w:val="superscript"/>
          </w:rPr>
          <w:t>14</w:t>
        </w:r>
      </w:fldSimple>
      <w:r>
        <w:t xml:space="preserve">，服务超4,500家量化机构</w:t>
      </w:r>
      <w:fldSimple w:instr="NOTEREF _Ref_Footnote_20 \h \f">
        <w:r>
          <w:rPr>
            <w:vertAlign w:val="superscript"/>
          </w:rPr>
          <w:t>20</w:t>
        </w:r>
      </w:fldSimple>
      <w:r>
        <w:t xml:space="preserve">；迅投QMT券商年费2万元起；掘金机构版1.5万元/年至数十万元不等</w:t>
      </w:r>
      <w:fldSimple w:instr="NOTEREF _Ref_Footnote_15 \h \f">
        <w:r>
          <w:rPr>
            <w:vertAlign w:val="superscript"/>
          </w:rPr>
          <w:t>15</w:t>
        </w:r>
      </w:fldSimple>
      <w:r>
        <w:t xml:space="preserve">。头部私募的系统采购预算通常在10万—100万元/年区间，券商的系统采购规模更大，可达百万级以上。机构客户的LTV（生命周期价值）是个人用户的50—200倍，是平台规模化盈利的核心支撑。</w:t>
      </w:r>
    </w:p>
    <w:p>
      <w:pPr>
        <w:pStyle w:val="BodyText"/>
      </w:pPr>
      <w:r>
        <w:t xml:space="preserve">三类客户群体的对比可归纳为以下矩阵：</w:t>
      </w:r>
    </w:p>
    <w:p>
      <w:pPr>
        <w:pStyle w:val="BodyText"/>
      </w:pPr>
      <w:r>
        <w:rPr>
          <w:bCs/>
          <w:b/>
        </w:rPr>
        <w:t xml:space="preserve">表4-1：三层目标客户画像与价值定位</w:t>
      </w:r>
    </w:p>
    <w:tbl>
      <w:tblPr>
        <w:tblStyle w:val="Table"/>
        <w:tblW w:type="pct" w:w="5000"/>
        <w:tblLook w:firstRow="1" w:lastRow="0" w:firstColumn="0" w:lastColumn="0" w:noHBand="0" w:noVBand="0" w:val="0020"/>
      </w:tblPr>
      <w:tblGrid>
        <w:gridCol w:w="880"/>
        <w:gridCol w:w="1906"/>
        <w:gridCol w:w="2346"/>
        <w:gridCol w:w="2786"/>
      </w:tblGrid>
      <w:tr>
        <w:trPr>
          <w:tblHeader w:val="true"/>
        </w:trPr>
        <w:tc>
          <w:tcPr/>
          <w:p>
            <w:pPr>
              <w:pStyle w:val="Compact"/>
              <w:jc w:val="left"/>
            </w:pPr>
            <w:r>
              <w:t xml:space="preserve">维度</w:t>
            </w:r>
          </w:p>
        </w:tc>
        <w:tc>
          <w:tcPr/>
          <w:p>
            <w:pPr>
              <w:pStyle w:val="Compact"/>
              <w:jc w:val="left"/>
            </w:pPr>
            <w:r>
              <w:t xml:space="preserve">个人量化爱好者</w:t>
            </w:r>
          </w:p>
        </w:tc>
        <w:tc>
          <w:tcPr/>
          <w:p>
            <w:pPr>
              <w:pStyle w:val="Compact"/>
              <w:jc w:val="left"/>
            </w:pPr>
            <w:r>
              <w:t xml:space="preserve">专业交易员/小团队</w:t>
            </w:r>
          </w:p>
        </w:tc>
        <w:tc>
          <w:tcPr/>
          <w:p>
            <w:pPr>
              <w:pStyle w:val="Compact"/>
              <w:jc w:val="left"/>
            </w:pPr>
            <w:r>
              <w:t xml:space="preserve">机构客户（私募/券商）</w:t>
            </w:r>
          </w:p>
        </w:tc>
      </w:tr>
      <w:tr>
        <w:tc>
          <w:tcPr/>
          <w:p>
            <w:pPr>
              <w:pStyle w:val="Compact"/>
              <w:jc w:val="left"/>
            </w:pPr>
            <w:r>
              <w:t xml:space="preserve">年费承受区间</w:t>
            </w:r>
          </w:p>
        </w:tc>
        <w:tc>
          <w:tcPr/>
          <w:p>
            <w:pPr>
              <w:pStyle w:val="Compact"/>
              <w:jc w:val="left"/>
            </w:pPr>
            <w:r>
              <w:t xml:space="preserve">0—3,000元</w:t>
            </w:r>
          </w:p>
        </w:tc>
        <w:tc>
          <w:tcPr/>
          <w:p>
            <w:pPr>
              <w:pStyle w:val="Compact"/>
              <w:jc w:val="left"/>
            </w:pPr>
            <w:r>
              <w:t xml:space="preserve">1万—10万元</w:t>
            </w:r>
          </w:p>
        </w:tc>
        <w:tc>
          <w:tcPr/>
          <w:p>
            <w:pPr>
              <w:pStyle w:val="Compact"/>
              <w:jc w:val="left"/>
            </w:pPr>
            <w:r>
              <w:t xml:space="preserve">10万—100万+</w:t>
            </w:r>
          </w:p>
        </w:tc>
      </w:tr>
      <w:tr>
        <w:tc>
          <w:tcPr/>
          <w:p>
            <w:pPr>
              <w:pStyle w:val="Compact"/>
              <w:jc w:val="left"/>
            </w:pPr>
            <w:r>
              <w:t xml:space="preserve">管理规模</w:t>
            </w:r>
          </w:p>
        </w:tc>
        <w:tc>
          <w:tcPr/>
          <w:p>
            <w:pPr>
              <w:pStyle w:val="Compact"/>
              <w:jc w:val="left"/>
            </w:pPr>
            <w:r>
              <w:t xml:space="preserve">个人资产</w:t>
            </w:r>
          </w:p>
        </w:tc>
        <w:tc>
          <w:tcPr/>
          <w:p>
            <w:pPr>
              <w:pStyle w:val="Compact"/>
              <w:jc w:val="left"/>
            </w:pPr>
            <w:r>
              <w:t xml:space="preserve">5,000万元以下</w:t>
            </w:r>
          </w:p>
        </w:tc>
        <w:tc>
          <w:tcPr/>
          <w:p>
            <w:pPr>
              <w:pStyle w:val="Compact"/>
              <w:jc w:val="left"/>
            </w:pPr>
            <w:r>
              <w:t xml:space="preserve">5亿—100亿+</w:t>
            </w:r>
          </w:p>
        </w:tc>
      </w:tr>
      <w:tr>
        <w:tc>
          <w:tcPr/>
          <w:p>
            <w:pPr>
              <w:pStyle w:val="Compact"/>
              <w:jc w:val="left"/>
            </w:pPr>
            <w:r>
              <w:t xml:space="preserve">核心需求</w:t>
            </w:r>
          </w:p>
        </w:tc>
        <w:tc>
          <w:tcPr/>
          <w:p>
            <w:pPr>
              <w:pStyle w:val="Compact"/>
              <w:jc w:val="left"/>
            </w:pPr>
            <w:r>
              <w:t xml:space="preserve">快速回测、低门槛、策略分享</w:t>
            </w:r>
          </w:p>
        </w:tc>
        <w:tc>
          <w:tcPr/>
          <w:p>
            <w:pPr>
              <w:pStyle w:val="Compact"/>
              <w:jc w:val="left"/>
            </w:pPr>
            <w:r>
              <w:t xml:space="preserve">低延迟实盘、数据隐私、高级因子</w:t>
            </w:r>
          </w:p>
        </w:tc>
        <w:tc>
          <w:tcPr/>
          <w:p>
            <w:pPr>
              <w:pStyle w:val="Compact"/>
              <w:jc w:val="left"/>
            </w:pPr>
            <w:r>
              <w:t xml:space="preserve">合规、风控、私有化、定制化</w:t>
            </w:r>
          </w:p>
        </w:tc>
      </w:tr>
      <w:tr>
        <w:tc>
          <w:tcPr/>
          <w:p>
            <w:pPr>
              <w:pStyle w:val="Compact"/>
              <w:jc w:val="left"/>
            </w:pPr>
            <w:r>
              <w:t xml:space="preserve">决策驱动</w:t>
            </w:r>
          </w:p>
        </w:tc>
        <w:tc>
          <w:tcPr/>
          <w:p>
            <w:pPr>
              <w:pStyle w:val="Compact"/>
              <w:jc w:val="left"/>
            </w:pPr>
            <w:r>
              <w:t xml:space="preserve">价格敏感、社区口碑</w:t>
            </w:r>
          </w:p>
        </w:tc>
        <w:tc>
          <w:tcPr/>
          <w:p>
            <w:pPr>
              <w:pStyle w:val="Compact"/>
              <w:jc w:val="left"/>
            </w:pPr>
            <w:r>
              <w:t xml:space="preserve">性能指标、策略安全</w:t>
            </w:r>
          </w:p>
        </w:tc>
        <w:tc>
          <w:tcPr/>
          <w:p>
            <w:pPr>
              <w:pStyle w:val="Compact"/>
              <w:jc w:val="left"/>
            </w:pPr>
            <w:r>
              <w:t xml:space="preserve">合规刚需、SLA保障、品牌信任</w:t>
            </w:r>
          </w:p>
        </w:tc>
      </w:tr>
      <w:tr>
        <w:tc>
          <w:tcPr/>
          <w:p>
            <w:pPr>
              <w:pStyle w:val="Compact"/>
              <w:jc w:val="left"/>
            </w:pPr>
            <w:r>
              <w:t xml:space="preserve">获客渠道</w:t>
            </w:r>
          </w:p>
        </w:tc>
        <w:tc>
          <w:tcPr/>
          <w:p>
            <w:pPr>
              <w:pStyle w:val="Compact"/>
              <w:jc w:val="left"/>
            </w:pPr>
            <w:r>
              <w:t xml:space="preserve">开源社区、SEO、教程</w:t>
            </w:r>
          </w:p>
        </w:tc>
        <w:tc>
          <w:tcPr/>
          <w:p>
            <w:pPr>
              <w:pStyle w:val="Compact"/>
              <w:jc w:val="left"/>
            </w:pPr>
            <w:r>
              <w:t xml:space="preserve">开源溢出、技术博客、Meetup</w:t>
            </w:r>
          </w:p>
        </w:tc>
        <w:tc>
          <w:tcPr/>
          <w:p>
            <w:pPr>
              <w:pStyle w:val="Compact"/>
              <w:jc w:val="left"/>
            </w:pPr>
            <w:r>
              <w:t xml:space="preserve">直销、券商合作、行业峰会</w:t>
            </w:r>
          </w:p>
        </w:tc>
      </w:tr>
      <w:tr>
        <w:tc>
          <w:tcPr/>
          <w:p>
            <w:pPr>
              <w:pStyle w:val="Compact"/>
              <w:jc w:val="left"/>
            </w:pPr>
            <w:r>
              <w:t xml:space="preserve">平台价值</w:t>
            </w:r>
          </w:p>
        </w:tc>
        <w:tc>
          <w:tcPr/>
          <w:p>
            <w:pPr>
              <w:pStyle w:val="Compact"/>
              <w:jc w:val="left"/>
            </w:pPr>
            <w:r>
              <w:t xml:space="preserve">社区生态基础设施</w:t>
            </w:r>
          </w:p>
        </w:tc>
        <w:tc>
          <w:tcPr/>
          <w:p>
            <w:pPr>
              <w:pStyle w:val="Compact"/>
              <w:jc w:val="left"/>
            </w:pPr>
            <w:r>
              <w:t xml:space="preserve">口碑传播桥梁</w:t>
            </w:r>
          </w:p>
        </w:tc>
        <w:tc>
          <w:tcPr/>
          <w:p>
            <w:pPr>
              <w:pStyle w:val="Compact"/>
              <w:jc w:val="left"/>
            </w:pPr>
            <w:r>
              <w:t xml:space="preserve">利润核心引擎</w:t>
            </w:r>
          </w:p>
        </w:tc>
      </w:tr>
      <w:tr>
        <w:tc>
          <w:tcPr/>
          <w:p>
            <w:pPr>
              <w:pStyle w:val="Compact"/>
              <w:jc w:val="left"/>
            </w:pPr>
            <w:r>
              <w:t xml:space="preserve">LTV倍数（基准=1）</w:t>
            </w:r>
          </w:p>
        </w:tc>
        <w:tc>
          <w:tcPr/>
          <w:p>
            <w:pPr>
              <w:pStyle w:val="Compact"/>
              <w:jc w:val="left"/>
            </w:pPr>
            <w:r>
              <w:t xml:space="preserve">1×</w:t>
            </w:r>
          </w:p>
        </w:tc>
        <w:tc>
          <w:tcPr/>
          <w:p>
            <w:pPr>
              <w:pStyle w:val="Compact"/>
              <w:jc w:val="left"/>
            </w:pPr>
            <w:r>
              <w:t xml:space="preserve">20—50×</w:t>
            </w:r>
          </w:p>
        </w:tc>
        <w:tc>
          <w:tcPr/>
          <w:p>
            <w:pPr>
              <w:pStyle w:val="Compact"/>
              <w:jc w:val="left"/>
            </w:pPr>
            <w:r>
              <w:t xml:space="preserve">50—200×</w:t>
            </w:r>
          </w:p>
        </w:tc>
      </w:tr>
      <w:tr>
        <w:tc>
          <w:tcPr/>
          <w:p>
            <w:pPr>
              <w:pStyle w:val="Compact"/>
              <w:jc w:val="left"/>
            </w:pPr>
            <w:r>
              <w:t xml:space="preserve">参考竞品定价</w:t>
            </w:r>
          </w:p>
        </w:tc>
        <w:tc>
          <w:tcPr/>
          <w:p>
            <w:pPr>
              <w:pStyle w:val="Compact"/>
              <w:jc w:val="left"/>
            </w:pPr>
            <w:r>
              <w:t xml:space="preserve">聚宽VIP 128元/月</w:t>
            </w:r>
            <w:fldSimple w:instr="NOTEREF _Ref_Footnote_13 \h \f">
              <w:r>
                <w:rPr>
                  <w:vertAlign w:val="superscript"/>
                </w:rPr>
                <w:t>13</w:t>
              </w:r>
            </w:fldSimple>
          </w:p>
        </w:tc>
        <w:tc>
          <w:tcPr/>
          <w:p>
            <w:pPr>
              <w:pStyle w:val="Compact"/>
              <w:jc w:val="left"/>
            </w:pPr>
            <w:r>
              <w:t xml:space="preserve">掘金专业版9,800元/年</w:t>
            </w:r>
            <w:fldSimple w:instr="NOTEREF _Ref_Footnote_12 \h \f">
              <w:r>
                <w:rPr>
                  <w:vertAlign w:val="superscript"/>
                </w:rPr>
                <w:t>12</w:t>
              </w:r>
            </w:fldSimple>
          </w:p>
        </w:tc>
        <w:tc>
          <w:tcPr/>
          <w:p>
            <w:pPr>
              <w:pStyle w:val="Compact"/>
              <w:jc w:val="left"/>
            </w:pPr>
            <w:r>
              <w:t xml:space="preserve">聚宽JQData数万/年起</w:t>
            </w:r>
            <w:fldSimple w:instr="NOTEREF _Ref_Footnote_14 \h \f">
              <w:r>
                <w:rPr>
                  <w:vertAlign w:val="superscript"/>
                </w:rPr>
                <w:t>14</w:t>
              </w:r>
            </w:fldSimple>
          </w:p>
        </w:tc>
      </w:tr>
    </w:tbl>
    <w:p>
      <w:pPr>
        <w:pStyle w:val="BodyText"/>
      </w:pPr>
      <w:r>
        <w:t xml:space="preserve">表4-1揭示了一个关键的商业逻辑：</w:t>
      </w:r>
      <w:r>
        <w:rPr>
          <w:bCs/>
          <w:b/>
        </w:rPr>
        <w:t xml:space="preserve">金字塔的每一层都为上一层提供支撑</w:t>
      </w:r>
      <w:r>
        <w:t xml:space="preserve">。个人用户构成社区基础和数据飞轮的启动引擎，专业用户是口碑传播和机构引荐的关键节点，机构客户是整个商业模式的利润中心。三层之间并非割裂，而是通过开源社区→SaaS平台→企业服务的递进路径形成有机整体。运营资源的配置应严格遵循LTV导向——机构客户虽数量最少，但其单客价值决定了销售和技术支持资源的优先投入顺序。</w:t>
      </w:r>
    </w:p>
    <w:bookmarkEnd w:id="79"/>
    <w:bookmarkEnd w:id="80"/>
    <w:bookmarkStart w:id="84" w:name="商业模式设计"/>
    <w:p>
      <w:pPr>
        <w:pStyle w:val="Heading3"/>
      </w:pPr>
      <w:r>
        <w:t xml:space="preserve">4.2 商业模式设计</w:t>
      </w:r>
    </w:p>
    <w:bookmarkStart w:id="81" w:name="五维营收模型"/>
    <w:p>
      <w:pPr>
        <w:pStyle w:val="Heading4"/>
      </w:pPr>
      <w:r>
        <w:t xml:space="preserve">4.2.1 五维营收模型</w:t>
      </w:r>
    </w:p>
    <w:p>
      <w:pPr>
        <w:pStyle w:val="FirstParagraph"/>
      </w:pPr>
      <w:r>
        <w:t xml:space="preserve">基于前述三层客户画像，商业模式应摒弃单一订阅制的线性思维，构建多元互补的五维营收结构。该模型的设计逻辑是：订阅服务作为基础现金流，数据服务作为规模放大器，策略生态作为双边网络效应引擎，企业服务作为利润中心，培训认证作为获客补充。五维收入并非并列关系，而是形成一个递进飞轮——开源核心驱动社区增长，社区用户产生数据需求，数据需求吸引机构客户，机构客户反哺平台品牌，品牌又吸引更多社区用户。</w:t>
      </w:r>
    </w:p>
    <w:p>
      <w:pPr>
        <w:pStyle w:val="BodyText"/>
      </w:pPr>
      <w:r>
        <w:rPr>
          <w:bCs/>
          <w:b/>
        </w:rPr>
        <w:t xml:space="preserve">表4-2：五维营收模型设计</w:t>
      </w:r>
    </w:p>
    <w:tbl>
      <w:tblPr>
        <w:tblStyle w:val="Table"/>
        <w:tblW w:type="pct" w:w="5000"/>
        <w:tblLook w:firstRow="1" w:lastRow="0" w:firstColumn="0" w:lastColumn="0" w:noHBand="0" w:noVBand="0" w:val="0020"/>
      </w:tblPr>
      <w:tblGrid>
        <w:gridCol w:w="1296"/>
        <w:gridCol w:w="1296"/>
        <w:gridCol w:w="1584"/>
        <w:gridCol w:w="1152"/>
        <w:gridCol w:w="1296"/>
        <w:gridCol w:w="1296"/>
      </w:tblGrid>
      <w:tr>
        <w:trPr>
          <w:tblHeader w:val="true"/>
        </w:trPr>
        <w:tc>
          <w:tcPr/>
          <w:p>
            <w:pPr>
              <w:pStyle w:val="Compact"/>
              <w:jc w:val="left"/>
            </w:pPr>
            <w:r>
              <w:t xml:space="preserve">收入维度</w:t>
            </w:r>
          </w:p>
        </w:tc>
        <w:tc>
          <w:tcPr/>
          <w:p>
            <w:pPr>
              <w:pStyle w:val="Compact"/>
              <w:jc w:val="left"/>
            </w:pPr>
            <w:r>
              <w:t xml:space="preserve">计费模式</w:t>
            </w:r>
          </w:p>
        </w:tc>
        <w:tc>
          <w:tcPr/>
          <w:p>
            <w:pPr>
              <w:pStyle w:val="Compact"/>
              <w:jc w:val="left"/>
            </w:pPr>
            <w:r>
              <w:t xml:space="preserve">客单价区间</w:t>
            </w:r>
          </w:p>
        </w:tc>
        <w:tc>
          <w:tcPr/>
          <w:p>
            <w:pPr>
              <w:pStyle w:val="Compact"/>
              <w:jc w:val="left"/>
            </w:pPr>
            <w:r>
              <w:t xml:space="preserve">毛利率</w:t>
            </w:r>
          </w:p>
        </w:tc>
        <w:tc>
          <w:tcPr/>
          <w:p>
            <w:pPr>
              <w:pStyle w:val="Compact"/>
              <w:jc w:val="left"/>
            </w:pPr>
            <w:r>
              <w:t xml:space="preserve">收入占比</w:t>
            </w:r>
          </w:p>
        </w:tc>
        <w:tc>
          <w:tcPr/>
          <w:p>
            <w:pPr>
              <w:pStyle w:val="Compact"/>
              <w:jc w:val="left"/>
            </w:pPr>
            <w:r>
              <w:t xml:space="preserve">目标客户</w:t>
            </w:r>
          </w:p>
        </w:tc>
      </w:tr>
      <w:tr>
        <w:tc>
          <w:tcPr/>
          <w:p>
            <w:pPr>
              <w:pStyle w:val="Compact"/>
              <w:jc w:val="left"/>
            </w:pPr>
            <w:r>
              <w:t xml:space="preserve">订阅服务（SaaS）</w:t>
            </w:r>
          </w:p>
        </w:tc>
        <w:tc>
          <w:tcPr/>
          <w:p>
            <w:pPr>
              <w:pStyle w:val="Compact"/>
              <w:jc w:val="left"/>
            </w:pPr>
            <w:r>
              <w:t xml:space="preserve">月费/年费制</w:t>
            </w:r>
          </w:p>
        </w:tc>
        <w:tc>
          <w:tcPr/>
          <w:p>
            <w:pPr>
              <w:pStyle w:val="Compact"/>
              <w:jc w:val="left"/>
            </w:pPr>
            <w:r>
              <w:t xml:space="preserve">99—299元/月（个人）；2万—30万/年（机构）</w:t>
            </w:r>
          </w:p>
        </w:tc>
        <w:tc>
          <w:tcPr/>
          <w:p>
            <w:pPr>
              <w:pStyle w:val="Compact"/>
              <w:jc w:val="left"/>
            </w:pPr>
            <w:r>
              <w:t xml:space="preserve">80%+</w:t>
            </w:r>
          </w:p>
        </w:tc>
        <w:tc>
          <w:tcPr/>
          <w:p>
            <w:pPr>
              <w:pStyle w:val="Compact"/>
              <w:jc w:val="left"/>
            </w:pPr>
            <w:r>
              <w:t xml:space="preserve">40%</w:t>
            </w:r>
          </w:p>
        </w:tc>
        <w:tc>
          <w:tcPr/>
          <w:p>
            <w:pPr>
              <w:pStyle w:val="Compact"/>
              <w:jc w:val="left"/>
            </w:pPr>
            <w:r>
              <w:t xml:space="preserve">个人用户+中小私募</w:t>
            </w:r>
          </w:p>
        </w:tc>
      </w:tr>
      <w:tr>
        <w:tc>
          <w:tcPr/>
          <w:p>
            <w:pPr>
              <w:pStyle w:val="Compact"/>
              <w:jc w:val="left"/>
            </w:pPr>
            <w:r>
              <w:t xml:space="preserve">数据服务（Data API）</w:t>
            </w:r>
          </w:p>
        </w:tc>
        <w:tc>
          <w:tcPr/>
          <w:p>
            <w:pPr>
              <w:pStyle w:val="Compact"/>
              <w:jc w:val="left"/>
            </w:pPr>
            <w:r>
              <w:t xml:space="preserve">按调用量+数据包</w:t>
            </w:r>
          </w:p>
        </w:tc>
        <w:tc>
          <w:tcPr/>
          <w:p>
            <w:pPr>
              <w:pStyle w:val="Compact"/>
              <w:jc w:val="left"/>
            </w:pPr>
            <w:r>
              <w:t xml:space="preserve">按量计费，5,000—50万/年</w:t>
            </w:r>
          </w:p>
        </w:tc>
        <w:tc>
          <w:tcPr/>
          <w:p>
            <w:pPr>
              <w:pStyle w:val="Compact"/>
              <w:jc w:val="left"/>
            </w:pPr>
            <w:r>
              <w:t xml:space="preserve">70%+</w:t>
            </w:r>
          </w:p>
        </w:tc>
        <w:tc>
          <w:tcPr/>
          <w:p>
            <w:pPr>
              <w:pStyle w:val="Compact"/>
              <w:jc w:val="left"/>
            </w:pPr>
            <w:r>
              <w:t xml:space="preserve">25%</w:t>
            </w:r>
          </w:p>
        </w:tc>
        <w:tc>
          <w:tcPr/>
          <w:p>
            <w:pPr>
              <w:pStyle w:val="Compact"/>
              <w:jc w:val="left"/>
            </w:pPr>
            <w:r>
              <w:t xml:space="preserve">量化机构+券商+公募</w:t>
            </w:r>
          </w:p>
        </w:tc>
      </w:tr>
      <w:tr>
        <w:tc>
          <w:tcPr/>
          <w:p>
            <w:pPr>
              <w:pStyle w:val="Compact"/>
              <w:jc w:val="left"/>
            </w:pPr>
            <w:r>
              <w:t xml:space="preserve">策略生态（市场分成）</w:t>
            </w:r>
          </w:p>
        </w:tc>
        <w:tc>
          <w:tcPr/>
          <w:p>
            <w:pPr>
              <w:pStyle w:val="Compact"/>
              <w:jc w:val="left"/>
            </w:pPr>
            <w:r>
              <w:t xml:space="preserve">订阅分成20%—30%</w:t>
            </w:r>
          </w:p>
        </w:tc>
        <w:tc>
          <w:tcPr/>
          <w:p>
            <w:pPr>
              <w:pStyle w:val="Compact"/>
              <w:jc w:val="left"/>
            </w:pPr>
            <w:r>
              <w:t xml:space="preserve">抽成模式</w:t>
            </w:r>
          </w:p>
        </w:tc>
        <w:tc>
          <w:tcPr/>
          <w:p>
            <w:pPr>
              <w:pStyle w:val="Compact"/>
              <w:jc w:val="left"/>
            </w:pPr>
            <w:r>
              <w:t xml:space="preserve">90%+</w:t>
            </w:r>
          </w:p>
        </w:tc>
        <w:tc>
          <w:tcPr/>
          <w:p>
            <w:pPr>
              <w:pStyle w:val="Compact"/>
              <w:jc w:val="left"/>
            </w:pPr>
            <w:r>
              <w:t xml:space="preserve">15%</w:t>
            </w:r>
          </w:p>
        </w:tc>
        <w:tc>
          <w:tcPr/>
          <w:p>
            <w:pPr>
              <w:pStyle w:val="Compact"/>
              <w:jc w:val="left"/>
            </w:pPr>
            <w:r>
              <w:t xml:space="preserve">策略开发者+投资者</w:t>
            </w:r>
          </w:p>
        </w:tc>
      </w:tr>
      <w:tr>
        <w:tc>
          <w:tcPr/>
          <w:p>
            <w:pPr>
              <w:pStyle w:val="Compact"/>
              <w:jc w:val="left"/>
            </w:pPr>
            <w:r>
              <w:t xml:space="preserve">企业服务（定制开发）</w:t>
            </w:r>
          </w:p>
        </w:tc>
        <w:tc>
          <w:tcPr/>
          <w:p>
            <w:pPr>
              <w:pStyle w:val="Compact"/>
              <w:jc w:val="left"/>
            </w:pPr>
            <w:r>
              <w:t xml:space="preserve">项目制+年费</w:t>
            </w:r>
          </w:p>
        </w:tc>
        <w:tc>
          <w:tcPr/>
          <w:p>
            <w:pPr>
              <w:pStyle w:val="Compact"/>
              <w:jc w:val="left"/>
            </w:pPr>
            <w:r>
              <w:t xml:space="preserve">10万—200万/年</w:t>
            </w:r>
          </w:p>
        </w:tc>
        <w:tc>
          <w:tcPr/>
          <w:p>
            <w:pPr>
              <w:pStyle w:val="Compact"/>
              <w:jc w:val="left"/>
            </w:pPr>
            <w:r>
              <w:t xml:space="preserve">50%—60%</w:t>
            </w:r>
          </w:p>
        </w:tc>
        <w:tc>
          <w:tcPr/>
          <w:p>
            <w:pPr>
              <w:pStyle w:val="Compact"/>
              <w:jc w:val="left"/>
            </w:pPr>
            <w:r>
              <w:t xml:space="preserve">15%</w:t>
            </w:r>
          </w:p>
        </w:tc>
        <w:tc>
          <w:tcPr/>
          <w:p>
            <w:pPr>
              <w:pStyle w:val="Compact"/>
              <w:jc w:val="left"/>
            </w:pPr>
            <w:r>
              <w:t xml:space="preserve">中大型私募+券商</w:t>
            </w:r>
          </w:p>
        </w:tc>
      </w:tr>
      <w:tr>
        <w:tc>
          <w:tcPr/>
          <w:p>
            <w:pPr>
              <w:pStyle w:val="Compact"/>
              <w:jc w:val="left"/>
            </w:pPr>
            <w:r>
              <w:t xml:space="preserve">培训认证</w:t>
            </w:r>
          </w:p>
        </w:tc>
        <w:tc>
          <w:tcPr/>
          <w:p>
            <w:pPr>
              <w:pStyle w:val="Compact"/>
              <w:jc w:val="left"/>
            </w:pPr>
            <w:r>
              <w:t xml:space="preserve">课程+考试费</w:t>
            </w:r>
          </w:p>
        </w:tc>
        <w:tc>
          <w:tcPr/>
          <w:p>
            <w:pPr>
              <w:pStyle w:val="Compact"/>
              <w:jc w:val="left"/>
            </w:pPr>
            <w:r>
              <w:t xml:space="preserve">500—5,000元/人</w:t>
            </w:r>
          </w:p>
        </w:tc>
        <w:tc>
          <w:tcPr/>
          <w:p>
            <w:pPr>
              <w:pStyle w:val="Compact"/>
              <w:jc w:val="left"/>
            </w:pPr>
            <w:r>
              <w:t xml:space="preserve">60%—70%</w:t>
            </w:r>
          </w:p>
        </w:tc>
        <w:tc>
          <w:tcPr/>
          <w:p>
            <w:pPr>
              <w:pStyle w:val="Compact"/>
              <w:jc w:val="left"/>
            </w:pPr>
            <w:r>
              <w:t xml:space="preserve">5%</w:t>
            </w:r>
          </w:p>
        </w:tc>
        <w:tc>
          <w:tcPr/>
          <w:p>
            <w:pPr>
              <w:pStyle w:val="Compact"/>
              <w:jc w:val="left"/>
            </w:pPr>
            <w:r>
              <w:t xml:space="preserve">入门学习者+机构内训</w:t>
            </w:r>
          </w:p>
        </w:tc>
      </w:tr>
    </w:tbl>
    <w:p>
      <w:pPr>
        <w:pStyle w:val="BodyText"/>
      </w:pPr>
      <w:r>
        <w:t xml:space="preserve">订阅服务占比40%的设计基于Freemium模式的自然收入结构。参考聚宽VIP 128元/月、SVIP 378元/月的定价</w:t>
      </w:r>
      <w:fldSimple w:instr="NOTEREF _Ref_Footnote_13 \h \f">
        <w:r>
          <w:rPr>
            <w:vertAlign w:val="superscript"/>
          </w:rPr>
          <w:t>13</w:t>
        </w:r>
      </w:fldSimple>
      <w:r>
        <w:t xml:space="preserve">，以及BigQuant 3,999元/年旗舰版的定价</w:t>
      </w:r>
      <w:r>
        <w:rPr>
          <w:vertAlign w:val="superscript"/>
        </w:rPr>
        <w:footnoteReference w:id="127"/>
      </w:r>
      <w:r>
        <w:t xml:space="preserve">，个人用户的付费锚点已较为清晰。数据服务占比25%是对标JQData服务4,500家机构的成功实践</w:t>
      </w:r>
      <w:fldSimple w:instr="NOTEREF _Ref_Footnote_20 \h \f">
        <w:r>
          <w:rPr>
            <w:vertAlign w:val="superscript"/>
          </w:rPr>
          <w:t>20</w:t>
        </w:r>
      </w:fldSimple>
      <w:r>
        <w:t xml:space="preserve">，量化数据具有高频更新、高精度校验和高粘性的特征，一旦接入即形成深度依赖。策略生态的15%占比参考QuantConnect Alpha Streams模式——将用户策略开放给对冲基金订阅</w:t>
      </w:r>
      <w:r>
        <w:rPr>
          <w:vertAlign w:val="superscript"/>
        </w:rPr>
        <w:footnoteReference w:id="128"/>
      </w:r>
      <w:r>
        <w:t xml:space="preserve">，避免了Quantopian”众包基金”模式的失败</w:t>
      </w:r>
      <w:fldSimple w:instr="NOTEREF _Ref_Footnote_27 \h \f">
        <w:r>
          <w:rPr>
            <w:vertAlign w:val="superscript"/>
          </w:rPr>
          <w:t>27</w:t>
        </w:r>
      </w:fldSimple>
      <w:r>
        <w:t xml:space="preserve">，平台作为基础设施提供商而非资产管理公司</w:t>
      </w:r>
      <w:fldSimple w:instr="NOTEREF _Ref_Footnote_27 \h \f">
        <w:r>
          <w:rPr>
            <w:vertAlign w:val="superscript"/>
          </w:rPr>
          <w:t>27</w:t>
        </w:r>
      </w:fldSimple>
      <w:r>
        <w:t xml:space="preserve">，仅收取20%—30%的撮合佣金。企业服务15%的占比虽低，但单价最高，是利润贡献的核心引擎。培训认证5%的占比更多承担获客和品牌建设的功能，而非直接盈利。</w:t>
      </w:r>
    </w:p>
    <w:bookmarkEnd w:id="81"/>
    <w:bookmarkStart w:id="82" w:name="开源战略飞轮效应设计"/>
    <w:p>
      <w:pPr>
        <w:pStyle w:val="Heading4"/>
      </w:pPr>
      <w:r>
        <w:t xml:space="preserve">4.2.2 开源战略：飞轮效应设计</w:t>
      </w:r>
    </w:p>
    <w:p>
      <w:pPr>
        <w:pStyle w:val="FirstParagraph"/>
      </w:pPr>
      <w:r>
        <w:t xml:space="preserve">开源战略是整个商业模式的启动引擎，其商业逻辑并非”免费赠送”，而是构建一个自我强化的增长飞轮。vn.py以28,400+ GitHub Star、3,000+开源贡献者的生态规模</w:t>
      </w:r>
      <w:fldSimple w:instr="NOTEREF _Ref_Footnote_21 \h \f">
        <w:r>
          <w:rPr>
            <w:vertAlign w:val="superscript"/>
          </w:rPr>
          <w:t>21</w:t>
        </w:r>
      </w:fldSimple>
      <w:r>
        <w:t xml:space="preserve"> </w:t>
      </w:r>
      <w:fldSimple w:instr="NOTEREF _Ref_Footnote_22 \h \f">
        <w:r>
          <w:rPr>
            <w:vertAlign w:val="superscript"/>
          </w:rPr>
          <w:t>22</w:t>
        </w:r>
      </w:fldSimple>
      <w:r>
        <w:t xml:space="preserve">，证明了开源模式在量化领域的获客效率远超传统广告投放。开源降低信任门槛——用户可直接审计源代码，验证回测逻辑的正确性</w:t>
      </w:r>
      <w:fldSimple w:instr="NOTEREF _Ref_Footnote_126 \h \f">
        <w:r>
          <w:rPr>
            <w:vertAlign w:val="superscript"/>
          </w:rPr>
          <w:t>126</w:t>
        </w:r>
      </w:fldSimple>
      <w:r>
        <w:t xml:space="preserve">；社区用户在测试上线过程中互相提供帮助，降低了平台的支持成本</w:t>
      </w:r>
      <w:fldSimple w:instr="NOTEREF _Ref_Footnote_126 \h \f">
        <w:r>
          <w:rPr>
            <w:vertAlign w:val="superscript"/>
          </w:rPr>
          <w:t>126</w:t>
        </w:r>
      </w:fldSimple>
      <w:r>
        <w:t xml:space="preserve">。</w:t>
      </w:r>
    </w:p>
    <w:p>
      <w:pPr>
        <w:pStyle w:val="BodyText"/>
      </w:pPr>
      <w:r>
        <w:t xml:space="preserve">开源商业化的核心路径采用</w:t>
      </w:r>
      <w:r>
        <w:rPr>
          <w:bCs/>
          <w:b/>
        </w:rPr>
        <w:t xml:space="preserve">Open Core模式</w:t>
      </w:r>
      <w:r>
        <w:t xml:space="preserve">——核心回测引擎以MIT许可证开源</w:t>
      </w:r>
      <w:r>
        <w:rPr>
          <w:vertAlign w:val="superscript"/>
        </w:rPr>
        <w:footnoteReference w:id="129"/>
      </w:r>
      <w:r>
        <w:t xml:space="preserve">，降低采用门槛和社区参与阻力；企业版功能（GPU加速、合规科技模块、机构级风控、私有化部署工具包）以闭源付费方式提供。这一模式已被HashiCorp、GitLab、TiDB等企业验证为开源商业化的最优解</w:t>
      </w:r>
      <w:fldSimple w:instr="NOTEREF _Ref_Footnote_129 \h \f">
        <w:r>
          <w:rPr>
            <w:vertAlign w:val="superscript"/>
          </w:rPr>
          <w:t>129</w:t>
        </w:r>
      </w:fldSimple>
      <w:r>
        <w:t xml:space="preserve">，开发者产品粘性普遍高于行业中位数，NDR（净收入留存率）可超过120%</w:t>
      </w:r>
      <w:fldSimple w:instr="NOTEREF _Ref_Footnote_125 \h \f">
        <w:r>
          <w:rPr>
            <w:vertAlign w:val="superscript"/>
          </w:rPr>
          <w:t>125</w:t>
        </w:r>
      </w:fldSimple>
      <w:r>
        <w:t xml:space="preserve">。</w:t>
      </w:r>
    </w:p>
    <w:p>
      <w:pPr>
        <w:pStyle w:val="BodyText"/>
      </w:pPr>
      <w:r>
        <w:t xml:space="preserve">飞轮的运转机制可拆解为四个环节。第一环节，开源核心吸引开发者安装试用，GitHub Star增长带来SEO和品牌效应</w:t>
      </w:r>
      <w:r>
        <w:rPr>
          <w:vertAlign w:val="superscript"/>
        </w:rPr>
        <w:footnoteReference w:id="130"/>
      </w:r>
      <w:r>
        <w:t xml:space="preserve">；第二环节，开发者在使用中形成依赖，技术博客和学术合作扩大传播半径</w:t>
      </w:r>
      <w:r>
        <w:rPr>
          <w:vertAlign w:val="superscript"/>
        </w:rPr>
        <w:footnoteReference w:id="131"/>
      </w:r>
      <w:r>
        <w:t xml:space="preserve">；第三环节，2%—5%的用户转化为SaaS付费用户</w:t>
      </w:r>
      <w:fldSimple w:instr="NOTEREF _Ref_Footnote_124 \h \f">
        <w:r>
          <w:rPr>
            <w:vertAlign w:val="superscript"/>
          </w:rPr>
          <w:t>124</w:t>
        </w:r>
      </w:fldSimple>
      <w:r>
        <w:t xml:space="preserve"> </w:t>
      </w:r>
      <w:fldSimple w:instr="NOTEREF _Ref_Footnote_125 \h \f">
        <w:r>
          <w:rPr>
            <w:vertAlign w:val="superscript"/>
          </w:rPr>
          <w:t>125</w:t>
        </w:r>
      </w:fldSimple>
      <w:r>
        <w:t xml:space="preserve">，收入反哺开源开发；第四环节，机构客户在社区口碑驱动下主动询价，进入高客单价的企业服务漏斗。四个环节形成闭环，每一轮循环都使社区更大、产品更强、品牌更响。</w:t>
      </w:r>
    </w:p>
    <w:bookmarkEnd w:id="82"/>
    <w:bookmarkStart w:id="83" w:name="差异化定价基于market-state与miss的分层策略"/>
    <w:p>
      <w:pPr>
        <w:pStyle w:val="Heading4"/>
      </w:pPr>
      <w:r>
        <w:t xml:space="preserve">4.2.3 差异化定价：基于Market State与MISS的分层策略</w:t>
      </w:r>
    </w:p>
    <w:p>
      <w:pPr>
        <w:pStyle w:val="FirstParagraph"/>
      </w:pPr>
      <w:r>
        <w:t xml:space="preserve">定价策略的设计需超越简单的”功能多寡”维度，将核心差异化能力——Market State引擎和MISS框架——嵌入定价阶梯中，使每一层付费升级都伴随”策略智能”的显著提升。</w:t>
      </w:r>
    </w:p>
    <w:p>
      <w:pPr>
        <w:pStyle w:val="BodyText"/>
      </w:pPr>
      <w:r>
        <w:t xml:space="preserve">免费层提供基础回测能力和Market State的简单分类（趋势/震荡二分类），作为用户入门和习惯培养的入口。个人专业层（99—199元/月）开放四维度Market State识别（价格结构/波动率/流动性/信息流）和MISS基础策略匹配，这是第一层付费墙——用户需要为”让策略看懂市场”的能力付费。机构标准层（2万—10万/年）开放MISS多策略组合优化、GPU加速回测和合规报告自动生成功能，面向管理规模5亿元以下的私募。机构旗舰层（10万—100万+/年）提供私有化部署、定制化Market State模型、专属数据接口和7×24技术支持，面向券商和大型量化机构。</w:t>
      </w:r>
    </w:p>
    <w:p>
      <w:pPr>
        <w:pStyle w:val="BodyText"/>
      </w:pPr>
      <w:r>
        <w:t xml:space="preserve">这一定价结构的精妙之处在于：</w:t>
      </w:r>
      <w:r>
        <w:rPr>
          <w:bCs/>
          <w:b/>
        </w:rPr>
        <w:t xml:space="preserve">每一层的升级不仅是功能的增加，更是策略智能深度的指数级提升</w:t>
      </w:r>
      <w:r>
        <w:t xml:space="preserve">。免费层解决”有没有”，个人层解决”看不看得懂市场”，机构层解决”能不能在复杂监管环境下稳定运行”。用户为”策略智能”付费，而非为”算力”或”数据”付费——这一定价锚点使产品摆脱了与聚宽、掘金在基础功能层面的同质化竞争。</w:t>
      </w:r>
    </w:p>
    <w:bookmarkEnd w:id="83"/>
    <w:bookmarkEnd w:id="84"/>
    <w:bookmarkStart w:id="91" w:name="市场进入路径"/>
    <w:p>
      <w:pPr>
        <w:pStyle w:val="Heading3"/>
      </w:pPr>
      <w:r>
        <w:t xml:space="preserve">4.3 市场进入路径</w:t>
      </w:r>
    </w:p>
    <w:bookmarkStart w:id="88" w:name="四阶段路线图"/>
    <w:p>
      <w:pPr>
        <w:pStyle w:val="Heading4"/>
      </w:pPr>
      <w:r>
        <w:t xml:space="preserve">4.3.1 四阶段路线图</w:t>
      </w:r>
    </w:p>
    <w:p>
      <w:pPr>
        <w:pStyle w:val="FirstParagraph"/>
      </w:pPr>
      <w:r>
        <w:t xml:space="preserve">市场进入路径遵循”由轻到重、由社区到机构”的节奏，将36个月的发展周期划分为四个递进阶段。每个阶段有明确的里程碑、资源投入和收入目标，确保在有限资源约束下实现风险可控的阶梯式扩张。</w:t>
      </w:r>
    </w:p>
    <w:p>
      <w:pPr>
        <w:pStyle w:val="CaptionedFigure"/>
      </w:pPr>
      <w:r>
        <w:drawing>
          <wp:inline>
            <wp:extent cx="5334000" cy="2943102"/>
            <wp:effectExtent b="0" l="0" r="0" t="0"/>
            <wp:docPr descr="智能回测系统四阶段市场进入路线图" title="" id="86" name="Picture"/>
            <a:graphic>
              <a:graphicData uri="http://schemas.openxmlformats.org/drawingml/2006/picture">
                <pic:pic>
                  <pic:nvPicPr>
                    <pic:cNvPr descr="/mnt/agents/output/roadmap_chart.png" id="87" name="Picture"/>
                    <pic:cNvPicPr>
                      <a:picLocks noChangeArrowheads="1" noChangeAspect="1"/>
                    </pic:cNvPicPr>
                  </pic:nvPicPr>
                  <pic:blipFill>
                    <a:blip r:embed="rId85"/>
                    <a:stretch>
                      <a:fillRect/>
                    </a:stretch>
                  </pic:blipFill>
                  <pic:spPr bwMode="auto">
                    <a:xfrm>
                      <a:off x="0" y="0"/>
                      <a:ext cx="5334000" cy="2943102"/>
                    </a:xfrm>
                    <a:prstGeom prst="rect">
                      <a:avLst/>
                    </a:prstGeom>
                    <a:noFill/>
                    <a:ln w="9525">
                      <a:noFill/>
                      <a:headEnd/>
                      <a:tailEnd/>
                    </a:ln>
                  </pic:spPr>
                </pic:pic>
              </a:graphicData>
            </a:graphic>
          </wp:inline>
        </w:drawing>
      </w:r>
    </w:p>
    <w:p>
      <w:pPr>
        <w:pStyle w:val="ImageCaption"/>
      </w:pPr>
      <w:r>
        <w:t xml:space="preserve">智能回测系统四阶段市场进入路线图</w:t>
      </w:r>
    </w:p>
    <w:p>
      <w:pPr>
        <w:pStyle w:val="BodyText"/>
      </w:pPr>
      <w:r>
        <w:rPr>
          <w:iCs/>
          <w:i/>
        </w:rPr>
        <w:t xml:space="preserve">图4-1：智能回测系统四阶段市场进入路线图。四个阶段依次为MVP开源核心（0—6月）、SaaS平台（6—12月）、策略生态（12—18月）和机构服务（18—36月）。每个阶段标注了关键行动、里程碑目标和收入预期。</w:t>
      </w:r>
    </w:p>
    <w:p>
      <w:pPr>
        <w:pStyle w:val="BodyText"/>
      </w:pPr>
      <w:r>
        <w:rPr>
          <w:bCs/>
          <w:b/>
        </w:rPr>
        <w:t xml:space="preserve">第一阶段：MVP开源核心（0—6月）</w:t>
      </w:r>
      <w:r>
        <w:t xml:space="preserve">。该阶段的核心目标是建立技术声誉和社区种子。关键交付物包括：回测引擎v1.0（支持日线/分钟线回测、滑点模拟、手续费模型）、Market State识别内核（HMM基础模型）、Python SDK和完整技术文档。开源范围限定在核心回测引擎+基础数据接口，采用MIT许可证以最大化采用率</w:t>
      </w:r>
      <w:fldSimple w:instr="NOTEREF _Ref_Footnote_129 \h \f">
        <w:r>
          <w:rPr>
            <w:vertAlign w:val="superscript"/>
          </w:rPr>
          <w:t>129</w:t>
        </w:r>
      </w:fldSimple>
      <w:r>
        <w:t xml:space="preserve">。社区运营聚焦于GitHub维护、技术博客发布和量化开发者社群的初步渗透。该阶段的投入期预算约为50万—80万元，团队规模3—5人，关键成功指标为GitHub Star突破1,000、活跃贡献者达到100人、Issue响应时间控制在24小时以内。</w:t>
      </w:r>
    </w:p>
    <w:p>
      <w:pPr>
        <w:pStyle w:val="BodyText"/>
      </w:pPr>
      <w:r>
        <w:rPr>
          <w:bCs/>
          <w:b/>
        </w:rPr>
        <w:t xml:space="preserve">第二阶段：SaaS平台（6—12月）</w:t>
      </w:r>
      <w:r>
        <w:t xml:space="preserve">。在开源核心建立技术口碑的基础上，推出云端回测平台的MVP版本。MISS策略选择系统作为核心付费功能上线——这是与开源版本形成差异化的关键能力。定价采用Freemium模式，免费版提供基础回测能力，付费版（99—299元/月）解锁Market State四维识别、MISS策略匹配和GPU加速。该阶段的收入目标约为8万元/年，关键成功指标为注册→付费转化率超过2%、月流失率低于5%、NPS（净推荐值）超过30。</w:t>
      </w:r>
    </w:p>
    <w:p>
      <w:pPr>
        <w:pStyle w:val="BodyText"/>
      </w:pPr>
      <w:r>
        <w:rPr>
          <w:bCs/>
          <w:b/>
        </w:rPr>
        <w:t xml:space="preserve">第三阶段：策略生态（12—18月）</w:t>
      </w:r>
      <w:r>
        <w:t xml:space="preserve">。该阶段的核心目标是构建双边平台效应——策略开发者在一侧上架策略，投资者在另一侧付费订阅。平台抽成20%—30%，开发者获得70%—80%的分成</w:t>
      </w:r>
      <w:fldSimple w:instr="NOTEREF _Ref_Footnote_128 \h \f">
        <w:r>
          <w:rPr>
            <w:vertAlign w:val="superscript"/>
          </w:rPr>
          <w:t>128</w:t>
        </w:r>
      </w:fldSimple>
      <w:r>
        <w:t xml:space="preserve">。同步上线数据API服务（对标JQData模式</w:t>
      </w:r>
      <w:fldSimple w:instr="NOTEREF _Ref_Footnote_20 \h \f">
        <w:r>
          <w:rPr>
            <w:vertAlign w:val="superscript"/>
          </w:rPr>
          <w:t>20</w:t>
        </w:r>
      </w:fldSimple>
      <w:r>
        <w:t xml:space="preserve">），将平台积累的市场状态标注数据和策略表现数据产品化。量化大赛和社区培训体系同步启动，WorldQuant BRAIN的21,000用户、9,300万次模拟操作</w:t>
      </w:r>
      <w:r>
        <w:rPr>
          <w:vertAlign w:val="superscript"/>
        </w:rPr>
        <w:footnoteReference w:id="132"/>
      </w:r>
      <w:r>
        <w:t xml:space="preserve">证明了量化竞赛在社区增长中的杠杆效应。该阶段收入目标约为50万元/年。</w:t>
      </w:r>
    </w:p>
    <w:p>
      <w:pPr>
        <w:pStyle w:val="BodyText"/>
      </w:pPr>
      <w:r>
        <w:rPr>
          <w:bCs/>
          <w:b/>
        </w:rPr>
        <w:t xml:space="preserve">第四阶段：机构服务（18—36月）</w:t>
      </w:r>
      <w:r>
        <w:t xml:space="preserve">。这是商业模式从”规模化用户”转向”规模化利润”的关键跃迁。核心动作包括：私有化部署产品化（支持Kubernetes一键部署）、合规科技模块（自动报告生成、策略审计日志、阈值管理、Kill Switch集成）、以及券商/私募的深度定制服务。机构销售的启动应聚焦于聚宽已验证的”券商+量化私募”双轨路径——为TOP15券商提供量化投研/交易平台服务</w:t>
      </w:r>
      <w:fldSimple w:instr="NOTEREF _Ref_Footnote_14 \h \f">
        <w:r>
          <w:rPr>
            <w:vertAlign w:val="superscript"/>
          </w:rPr>
          <w:t>14</w:t>
        </w:r>
      </w:fldSimple>
      <w:r>
        <w:t xml:space="preserve">，为中小型私募提供年费10万—30万的私有化方案。该阶段收入目标为1,800万元/年。</w:t>
      </w:r>
    </w:p>
    <w:bookmarkEnd w:id="88"/>
    <w:bookmarkStart w:id="89" w:name="获客策略复合获客模型"/>
    <w:p>
      <w:pPr>
        <w:pStyle w:val="Heading4"/>
      </w:pPr>
      <w:r>
        <w:t xml:space="preserve">4.3.2 获客策略：复合获客模型</w:t>
      </w:r>
    </w:p>
    <w:p>
      <w:pPr>
        <w:pStyle w:val="FirstParagraph"/>
      </w:pPr>
      <w:r>
        <w:t xml:space="preserve">四阶段路径的每一层都对应差异化的获客策略，四种策略在不同阶段各有侧重，最终形成复合获客模型。</w:t>
      </w:r>
    </w:p>
    <w:p>
      <w:pPr>
        <w:pStyle w:val="BodyText"/>
      </w:pPr>
      <w:r>
        <w:rPr>
          <w:bCs/>
          <w:b/>
        </w:rPr>
        <w:t xml:space="preserve">技术内容营销</w:t>
      </w:r>
      <w:r>
        <w:t xml:space="preserve">贯穿全周期，是Developer-Led Growth的核心支柱。内容矩阵涵盖三个层次：量化入门教程（</w:t>
      </w:r>
      <w:r>
        <w:t xml:space="preserve">“</w:t>
      </w:r>
      <w:r>
        <w:t xml:space="preserve">Python量化交易</w:t>
      </w:r>
      <w:r>
        <w:t xml:space="preserve">”</w:t>
      </w:r>
      <w:r>
        <w:t xml:space="preserve">等高搜索量关键词）覆盖流量层；回测框架深度对比（</w:t>
      </w:r>
      <w:r>
        <w:t xml:space="preserve">“</w:t>
      </w:r>
      <w:r>
        <w:t xml:space="preserve">vn.py vs Backtrader vs 本项目</w:t>
      </w:r>
      <w:r>
        <w:t xml:space="preserve">”</w:t>
      </w:r>
      <w:r>
        <w:t xml:space="preserve">）覆盖精准用户层；Market State和MISS框架的技术白皮书覆盖专业决策层。开源项目的SEO优势在于技术文档和示例代码天然具有搜索引擎友好性，GitHub Star的增长进一步强化了域名权重</w:t>
      </w:r>
      <w:fldSimple w:instr="NOTEREF _Ref_Footnote_130 \h \f">
        <w:r>
          <w:rPr>
            <w:vertAlign w:val="superscript"/>
          </w:rPr>
          <w:t>130</w:t>
        </w:r>
      </w:fldSimple>
      <w:r>
        <w:t xml:space="preserve">。</w:t>
      </w:r>
    </w:p>
    <w:p>
      <w:pPr>
        <w:pStyle w:val="BodyText"/>
      </w:pPr>
      <w:r>
        <w:rPr>
          <w:bCs/>
          <w:b/>
        </w:rPr>
        <w:t xml:space="preserve">社区运营</w:t>
      </w:r>
      <w:r>
        <w:t xml:space="preserve">在第一、三阶段最为关键。种子期通过GitHub Sponsors和贡献者激励机制建立核心开发者圈层</w:t>
      </w:r>
      <w:fldSimple w:instr="NOTEREF _Ref_Footnote_131 \h \f">
        <w:r>
          <w:rPr>
            <w:vertAlign w:val="superscript"/>
          </w:rPr>
          <w:t>131</w:t>
        </w:r>
      </w:fldSimple>
      <w:r>
        <w:t xml:space="preserve">；成长期举办量化策略大赛（围绕Market State识别主题设计赛题），GitLab Hackathon的数据显示此类活动可将社区活跃度提升42%</w:t>
      </w:r>
      <w:fldSimple w:instr="NOTEREF _Ref_Footnote_131 \h \f">
        <w:r>
          <w:rPr>
            <w:vertAlign w:val="superscript"/>
          </w:rPr>
          <w:t>131</w:t>
        </w:r>
      </w:fldSimple>
      <w:r>
        <w:t xml:space="preserve">；成熟期建立认证培训体系，培训后推荐企业版的概率提高3倍</w:t>
      </w:r>
      <w:fldSimple w:instr="NOTEREF _Ref_Footnote_131 \h \f">
        <w:r>
          <w:rPr>
            <w:vertAlign w:val="superscript"/>
          </w:rPr>
          <w:t>131</w:t>
        </w:r>
      </w:fldSimple>
      <w:r>
        <w:t xml:space="preserve">。社区运营的本质不是用户管理，而是</w:t>
      </w:r>
      <w:r>
        <w:rPr>
          <w:bCs/>
          <w:b/>
        </w:rPr>
        <w:t xml:space="preserve">开发者关系的长期投资</w:t>
      </w:r>
      <w:r>
        <w:t xml:space="preserve">——每一位贡献者都是潜在的付费用户、口碑传播者和机构引荐人。</w:t>
      </w:r>
    </w:p>
    <w:p>
      <w:pPr>
        <w:pStyle w:val="BodyText"/>
      </w:pPr>
      <w:r>
        <w:rPr>
          <w:bCs/>
          <w:b/>
        </w:rPr>
        <w:t xml:space="preserve">券商合作</w:t>
      </w:r>
      <w:r>
        <w:t xml:space="preserve">在第四阶段成为主力获客渠道。聚宽为超12家TOP15券商提供量化投研/交易平台服务</w:t>
      </w:r>
      <w:fldSimple w:instr="NOTEREF _Ref_Footnote_14 \h \f">
        <w:r>
          <w:rPr>
            <w:vertAlign w:val="superscript"/>
          </w:rPr>
          <w:t>14</w:t>
        </w:r>
      </w:fldSimple>
      <w:r>
        <w:t xml:space="preserve">，证明了券商渠道的高转化率特征。合作模式以”系统联合开发+收入分成”为最优，既满足了券商对系统自主可控的需求，又降低了平台的直销成本。</w:t>
      </w:r>
    </w:p>
    <w:p>
      <w:pPr>
        <w:pStyle w:val="BodyText"/>
      </w:pPr>
      <w:r>
        <w:rPr>
          <w:bCs/>
          <w:b/>
        </w:rPr>
        <w:t xml:space="preserve">量化大赛</w:t>
      </w:r>
      <w:r>
        <w:t xml:space="preserve">在第三阶段的获客杠杆效应最为显著。WorldQuant BRAIN以21,000用户和9,300万次模拟操作</w:t>
      </w:r>
      <w:fldSimple w:instr="NOTEREF _Ref_Footnote_132 \h \f">
        <w:r>
          <w:rPr>
            <w:vertAlign w:val="superscript"/>
          </w:rPr>
          <w:t>132</w:t>
        </w:r>
      </w:fldSimple>
      <w:r>
        <w:t xml:space="preserve">，构建了一个覆盖全球的策略开发者网络。量化大赛不仅直接获取用户，更重要的是收集策略表现数据——这些数据用于优化MISS推荐算法，形成数据飞轮效应</w:t>
      </w:r>
      <w:r>
        <w:rPr>
          <w:vertAlign w:val="superscript"/>
        </w:rPr>
        <w:footnoteReference w:id="133"/>
      </w:r>
      <w:r>
        <w:t xml:space="preserve">。</w:t>
      </w:r>
    </w:p>
    <w:bookmarkEnd w:id="89"/>
    <w:bookmarkStart w:id="90" w:name="竞争策略差异化定位社区护城河与数据飞轮"/>
    <w:p>
      <w:pPr>
        <w:pStyle w:val="Heading4"/>
      </w:pPr>
      <w:r>
        <w:t xml:space="preserve">4.3.3 竞争策略：差异化定位、社区护城河与数据飞轮</w:t>
      </w:r>
    </w:p>
    <w:p>
      <w:pPr>
        <w:pStyle w:val="FirstParagraph"/>
      </w:pPr>
      <w:r>
        <w:t xml:space="preserve">竞争策略的设计需直面一个基本现实：聚宽50万用户</w:t>
      </w:r>
      <w:fldSimple w:instr="NOTEREF _Ref_Footnote_8 \h \f">
        <w:r>
          <w:rPr>
            <w:vertAlign w:val="superscript"/>
          </w:rPr>
          <w:t>8</w:t>
        </w:r>
      </w:fldSimple>
      <w:r>
        <w:t xml:space="preserve">、vn.py 28,400 Star</w:t>
      </w:r>
      <w:fldSimple w:instr="NOTEREF _Ref_Footnote_21 \h \f">
        <w:r>
          <w:rPr>
            <w:vertAlign w:val="superscript"/>
          </w:rPr>
          <w:t>21</w:t>
        </w:r>
      </w:fldSimple>
      <w:r>
        <w:t xml:space="preserve">、QuantConnect 318K社区用户</w:t>
      </w:r>
      <w:fldSimple w:instr="NOTEREF _Ref_Footnote_24 \h \f">
        <w:r>
          <w:rPr>
            <w:vertAlign w:val="superscript"/>
          </w:rPr>
          <w:t>24</w:t>
        </w:r>
      </w:fldSimple>
      <w:r>
        <w:t xml:space="preserve">的先发优势已相当稳固，正面竞争既不现实也无必要。竞争策略的核心不是”做得更好”，而是”做得不同”。</w:t>
      </w:r>
    </w:p>
    <w:p>
      <w:pPr>
        <w:pStyle w:val="BodyText"/>
      </w:pPr>
      <w:r>
        <w:rPr>
          <w:bCs/>
          <w:b/>
        </w:rPr>
        <w:t xml:space="preserve">差异化定位</w:t>
      </w:r>
      <w:r>
        <w:t xml:space="preserve">建立在Market State + MISS + 极速回测的三角组合上。竞品分析显示，聚宽、掘金、vn.py、QuantConnect、BigQuant六大主流平台中，没有任何一家将市场状态识别作为核心功能集成</w:t>
      </w:r>
      <w:r>
        <w:rPr>
          <w:vertAlign w:val="superscript"/>
        </w:rPr>
        <w:footnoteReference w:id="134"/>
      </w:r>
      <w:r>
        <w:t xml:space="preserve">——技术门槛高、开发周期长、市场教育成本高是主要原因。MISS多策略智能选择系统更是完全空白领域。这一差异化组合使产品定位天然区别于现有竞品：不是”又一个回测平台”，而是”首个让策略看懂市场的智能回测系统”。</w:t>
      </w:r>
    </w:p>
    <w:p>
      <w:pPr>
        <w:pStyle w:val="BodyText"/>
      </w:pPr>
      <w:r>
        <w:rPr>
          <w:bCs/>
          <w:b/>
        </w:rPr>
        <w:t xml:space="preserve">社区护城河</w:t>
      </w:r>
      <w:r>
        <w:t xml:space="preserve">通过开源协议的透明性和差异化技术的独特性双重构建。vn.py的案例表明，开源社区的迁移成本极高——28,400 Star和3,000+贡献者形成的生态锁定</w:t>
      </w:r>
      <w:fldSimple w:instr="NOTEREF _Ref_Footnote_21 \h \f">
        <w:r>
          <w:rPr>
            <w:vertAlign w:val="superscript"/>
          </w:rPr>
          <w:t>21</w:t>
        </w:r>
      </w:fldSimple>
      <w:r>
        <w:t xml:space="preserve">，使后来者即使在功能层面实现超越，也难以撼动社区根基。本平台的开源核心需在第一阶段即建立足够的社区密度，使竞争者的模仿成本呈指数级上升。</w:t>
      </w:r>
    </w:p>
    <w:p>
      <w:pPr>
        <w:pStyle w:val="BodyText"/>
      </w:pPr>
      <w:r>
        <w:rPr>
          <w:bCs/>
          <w:b/>
        </w:rPr>
        <w:t xml:space="preserve">数据飞轮效应</w:t>
      </w:r>
      <w:r>
        <w:t xml:space="preserve">是长期竞争壁垒的核心机制</w:t>
      </w:r>
      <w:fldSimple w:instr="NOTEREF _Ref_Footnote_133 \h \f">
        <w:r>
          <w:rPr>
            <w:vertAlign w:val="superscript"/>
          </w:rPr>
          <w:t>133</w:t>
        </w:r>
      </w:fldSimple>
      <w:r>
        <w:t xml:space="preserve">。当用户使用Market State引擎和MISS框架进行回测时，系统自动积累三类核心数据资产：市场状态标注数据（历史状态标签的准确率随数据量增长持续提升）、策略—状态映射数据（各策略在不同市场状态下的表现数据库）、用户行为数据（用于优化MISS推荐算法）。数据飞轮的运行逻辑是：更多用户产生更多回测数据，更多数据训练更精确的状态模型，更精确的模型带来更好的策略推荐效果，更好的效果吸引更多用户</w:t>
      </w:r>
      <w:fldSimple w:instr="NOTEREF _Ref_Footnote_133 \h \f">
        <w:r>
          <w:rPr>
            <w:vertAlign w:val="superscript"/>
          </w:rPr>
          <w:t>133</w:t>
        </w:r>
      </w:fldSimple>
      <w:r>
        <w:t xml:space="preserve">。这一飞轮的启动需要时间（预计12—18个月），但一旦运转，其壁垒高度将远超技术层面的差异——因为数据资产具有</w:t>
      </w:r>
      <w:r>
        <w:rPr>
          <w:bCs/>
          <w:b/>
        </w:rPr>
        <w:t xml:space="preserve">时间不可压缩性</w:t>
      </w:r>
      <w:r>
        <w:t xml:space="preserve">，竞争者无法通过资金或人力在短期内追赶。</w:t>
      </w:r>
    </w:p>
    <w:p>
      <w:pPr>
        <w:pStyle w:val="BodyText"/>
      </w:pPr>
      <w:r>
        <w:t xml:space="preserve">三层竞争壁垒的构建时序与四阶段路线图精确对齐。第一阶段以算法壁垒（Market State引擎+MISS系统）建立技术差异，构建周期约2—3年；第二阶段以数据壁垒（标注数据+表现数据）形成中期护城河，构建周期3—5年；第三阶段以生态壁垒（插件市场+策略社区）完成长期锁定，构建周期5—10年。三层壁垒的叠加效应，使竞争者在任何时间窗口进入都面临多重障碍——技术上需要突破专利算法，数据上需要弥补时间差距，生态上需要重建社区网络。这种多维壁垒的组合，正是开源量化平台实现可持续商业化的核心保障。</w:t>
      </w:r>
    </w:p>
    <w:p>
      <w:r>
        <w:pict>
          <v:rect style="width:0;height:1.5pt" o:hralign="center" o:hrstd="t" o:hr="t"/>
        </w:pict>
      </w:r>
    </w:p>
    <w:bookmarkEnd w:id="90"/>
    <w:bookmarkEnd w:id="91"/>
    <w:bookmarkEnd w:id="92"/>
    <w:bookmarkStart w:id="108" w:name="实施路线图与里程碑"/>
    <w:p>
      <w:pPr>
        <w:pStyle w:val="Heading2"/>
      </w:pPr>
      <w:r>
        <w:t xml:space="preserve">5. 实施路线图与里程碑</w:t>
      </w:r>
    </w:p>
    <w:p>
      <w:pPr>
        <w:pStyle w:val="FirstParagraph"/>
      </w:pPr>
      <w:r>
        <w:t xml:space="preserve">前序章节已完成系统架构与商业模式的顶层设计，本章将36个月的产品演进路径拆解为可执行、可度量的阶段性目标。路线图遵循”MVP开源→SaaS平台→策略生态→机构服务”四阶段递进节奏</w:t>
      </w:r>
      <w:fldSimple w:instr="NOTEREF _Ref_Footnote_124 \h \f">
        <w:r>
          <w:rPr>
            <w:vertAlign w:val="superscript"/>
          </w:rPr>
          <w:t>124</w:t>
        </w:r>
      </w:fldSimple>
      <w:r>
        <w:t xml:space="preserve"> </w:t>
      </w:r>
      <w:fldSimple w:instr="NOTEREF _Ref_Footnote_125 \h \f">
        <w:r>
          <w:rPr>
            <w:vertAlign w:val="superscript"/>
          </w:rPr>
          <w:t>125</w:t>
        </w:r>
      </w:fldSimple>
      <w:r>
        <w:t xml:space="preserve">，每个阶段设定明确的产品里程碑、团队配置指标和关键绩效指标（KPI），确保有限资源约束下的风险可控扩张。</w:t>
      </w:r>
    </w:p>
    <w:p>
      <w:pPr>
        <w:pStyle w:val="CaptionedFigure"/>
      </w:pPr>
      <w:r>
        <w:drawing>
          <wp:inline>
            <wp:extent cx="5334000" cy="3281788"/>
            <wp:effectExtent b="0" l="0" r="0" t="0"/>
            <wp:docPr descr="智能回测系统36个月实施路线图" title="" id="94" name="Picture"/>
            <a:graphic>
              <a:graphicData uri="http://schemas.openxmlformats.org/drawingml/2006/picture">
                <pic:pic>
                  <pic:nvPicPr>
                    <pic:cNvPr descr="/mnt/agents/output/gantt_chart.png" id="95" name="Picture"/>
                    <pic:cNvPicPr>
                      <a:picLocks noChangeArrowheads="1" noChangeAspect="1"/>
                    </pic:cNvPicPr>
                  </pic:nvPicPr>
                  <pic:blipFill>
                    <a:blip r:embed="rId93"/>
                    <a:stretch>
                      <a:fillRect/>
                    </a:stretch>
                  </pic:blipFill>
                  <pic:spPr bwMode="auto">
                    <a:xfrm>
                      <a:off x="0" y="0"/>
                      <a:ext cx="5334000" cy="3281788"/>
                    </a:xfrm>
                    <a:prstGeom prst="rect">
                      <a:avLst/>
                    </a:prstGeom>
                    <a:noFill/>
                    <a:ln w="9525">
                      <a:noFill/>
                      <a:headEnd/>
                      <a:tailEnd/>
                    </a:ln>
                  </pic:spPr>
                </pic:pic>
              </a:graphicData>
            </a:graphic>
          </wp:inline>
        </w:drawing>
      </w:r>
    </w:p>
    <w:p>
      <w:pPr>
        <w:pStyle w:val="ImageCaption"/>
      </w:pPr>
      <w:r>
        <w:t xml:space="preserve">智能回测系统36个月实施路线图</w:t>
      </w:r>
    </w:p>
    <w:p>
      <w:pPr>
        <w:pStyle w:val="BodyText"/>
      </w:pPr>
      <w:r>
        <w:rPr>
          <w:iCs/>
          <w:i/>
        </w:rPr>
        <w:t xml:space="preserve">图5-1：智能回测系统36个月甘特图。横向四色带分别对应MVP开源（0-6月）、SaaS平台（6-18月）、策略生态（12-24月）和机构服务（18-36月）四个阶段，菱形标记为关键里程碑节点，KPI标注于右侧。</w:t>
      </w:r>
    </w:p>
    <w:bookmarkStart w:id="99" w:name="短期目标0-6个月开源核心与社区种子"/>
    <w:p>
      <w:pPr>
        <w:pStyle w:val="Heading3"/>
      </w:pPr>
      <w:r>
        <w:t xml:space="preserve">5.1 短期目标（0-6个月）：开源核心与社区种子</w:t>
      </w:r>
    </w:p>
    <w:bookmarkStart w:id="96" w:name="产品里程碑开源核心回测引擎market-state基础引擎miss框架v1"/>
    <w:p>
      <w:pPr>
        <w:pStyle w:val="Heading4"/>
      </w:pPr>
      <w:r>
        <w:t xml:space="preserve">5.1.1 产品里程碑：开源核心回测引擎+Market State基础引擎+MISS框架v1</w:t>
      </w:r>
    </w:p>
    <w:p>
      <w:pPr>
        <w:pStyle w:val="FirstParagraph"/>
      </w:pPr>
      <w:r>
        <w:t xml:space="preserve">第一阶段的核心交付物包含三大技术模块。回测引擎v1.0基于Rust核心+Python策略层的混合架构实现</w:t>
      </w:r>
      <w:fldSimple w:instr="NOTEREF _Ref_Footnote_78 \h \f">
        <w:r>
          <w:rPr>
            <w:vertAlign w:val="superscript"/>
          </w:rPr>
          <w:t>78</w:t>
        </w:r>
      </w:fldSimple>
      <w:r>
        <w:t xml:space="preserve"> </w:t>
      </w:r>
      <w:fldSimple w:instr="NOTEREF _Ref_Footnote_77 \h \f">
        <w:r>
          <w:rPr>
            <w:vertAlign w:val="superscript"/>
          </w:rPr>
          <w:t>77</w:t>
        </w:r>
      </w:fldSimple>
      <w:r>
        <w:t xml:space="preserve">，支持日线/分钟线回测、滑点模拟、手续费模型和基准对比功能，通过PyO3绑定确保策略开发者以纯Python即可调用Rust级性能。Market State基础引擎内建HMM隐马尔可夫模型实现趋势/震荡/危机三状态检测，状态切换检测准确率目标≥70%（对标学术基准74.8%</w:t>
      </w:r>
      <w:fldSimple w:instr="NOTEREF _Ref_Footnote_55 \h \f">
        <w:r>
          <w:rPr>
            <w:vertAlign w:val="superscript"/>
          </w:rPr>
          <w:t>55</w:t>
        </w:r>
      </w:fldSimple>
      <w:r>
        <w:t xml:space="preserve">），平均滞后控制在5个交易日内。MISS框架v1完成四维拆解模型（价格结构P/波动率V/流动性L/信息流I）的编码实现，提供基础策略匹配API和可视化分析面板。</w:t>
      </w:r>
    </w:p>
    <w:p>
      <w:pPr>
        <w:pStyle w:val="BodyText"/>
      </w:pPr>
      <w:r>
        <w:t xml:space="preserve">开源策略采用MIT许可证，核心引擎+基础数据接口完全开放</w:t>
      </w:r>
      <w:fldSimple w:instr="NOTEREF _Ref_Footnote_129 \h \f">
        <w:r>
          <w:rPr>
            <w:vertAlign w:val="superscript"/>
          </w:rPr>
          <w:t>129</w:t>
        </w:r>
      </w:fldSimple>
      <w:r>
        <w:t xml:space="preserve">，企业级功能（GPU加速、合规模块）以闭源插件形式保留。vn.py以28,400+ GitHub Star验证了Open Core模式在量化领域的商业可行性</w:t>
      </w:r>
      <w:fldSimple w:instr="NOTEREF _Ref_Footnote_21 \h \f">
        <w:r>
          <w:rPr>
            <w:vertAlign w:val="superscript"/>
          </w:rPr>
          <w:t>21</w:t>
        </w:r>
      </w:fldSimple>
      <w:r>
        <w:t xml:space="preserve">，该模式将获客成本压缩至趋近于零</w:t>
      </w:r>
      <w:fldSimple w:instr="NOTEREF _Ref_Footnote_126 \h \f">
        <w:r>
          <w:rPr>
            <w:vertAlign w:val="superscript"/>
          </w:rPr>
          <w:t>126</w:t>
        </w:r>
      </w:fldSimple>
      <w:r>
        <w:t xml:space="preserve">，同时保持开发者产品的粘性高于行业中位数，NDR可超过120%</w:t>
      </w:r>
      <w:fldSimple w:instr="NOTEREF _Ref_Footnote_125 \h \f">
        <w:r>
          <w:rPr>
            <w:vertAlign w:val="superscript"/>
          </w:rPr>
          <w:t>125</w:t>
        </w:r>
      </w:fldSimple>
      <w:r>
        <w:t xml:space="preserve">。</w:t>
      </w:r>
    </w:p>
    <w:bookmarkEnd w:id="96"/>
    <w:bookmarkStart w:id="97" w:name="团队配置5-8人核心团队"/>
    <w:p>
      <w:pPr>
        <w:pStyle w:val="Heading4"/>
      </w:pPr>
      <w:r>
        <w:t xml:space="preserve">5.1.2 团队配置：5-8人核心团队</w:t>
      </w:r>
    </w:p>
    <w:p>
      <w:pPr>
        <w:pStyle w:val="FirstParagraph"/>
      </w:pPr>
      <w:r>
        <w:t xml:space="preserve">第一阶段的团队规模控制在8人以内，人力成本月度预算约25-35万元。具体配置如下表所示：</w:t>
      </w:r>
    </w:p>
    <w:p>
      <w:pPr>
        <w:pStyle w:val="BodyText"/>
      </w:pPr>
      <w:r>
        <w:rPr>
          <w:bCs/>
          <w:b/>
        </w:rPr>
        <w:t xml:space="preserve">表5-1：第一阶段核心团队配置</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角色</w:t>
            </w:r>
          </w:p>
        </w:tc>
        <w:tc>
          <w:tcPr/>
          <w:p>
            <w:pPr>
              <w:pStyle w:val="Compact"/>
              <w:jc w:val="left"/>
            </w:pPr>
            <w:r>
              <w:t xml:space="preserve">人数</w:t>
            </w:r>
          </w:p>
        </w:tc>
        <w:tc>
          <w:tcPr/>
          <w:p>
            <w:pPr>
              <w:pStyle w:val="Compact"/>
              <w:jc w:val="left"/>
            </w:pPr>
            <w:r>
              <w:t xml:space="preserve">核心职责</w:t>
            </w:r>
          </w:p>
        </w:tc>
        <w:tc>
          <w:tcPr/>
          <w:p>
            <w:pPr>
              <w:pStyle w:val="Compact"/>
              <w:jc w:val="left"/>
            </w:pPr>
            <w:r>
              <w:t xml:space="preserve">技能要求</w:t>
            </w:r>
          </w:p>
        </w:tc>
        <w:tc>
          <w:tcPr/>
          <w:p>
            <w:pPr>
              <w:pStyle w:val="Compact"/>
              <w:jc w:val="left"/>
            </w:pPr>
            <w:r>
              <w:t xml:space="preserve">月薪区间（万元）</w:t>
            </w:r>
          </w:p>
        </w:tc>
        <w:tc>
          <w:tcPr/>
          <w:p>
            <w:pPr>
              <w:pStyle w:val="Compact"/>
              <w:jc w:val="left"/>
            </w:pPr>
            <w:r>
              <w:t xml:space="preserve">小计（万元/月）</w:t>
            </w:r>
          </w:p>
        </w:tc>
      </w:tr>
      <w:tr>
        <w:tc>
          <w:tcPr/>
          <w:p>
            <w:pPr>
              <w:pStyle w:val="Compact"/>
              <w:jc w:val="left"/>
            </w:pPr>
            <w:r>
              <w:t xml:space="preserve">Rust后端工程师</w:t>
            </w:r>
          </w:p>
        </w:tc>
        <w:tc>
          <w:tcPr/>
          <w:p>
            <w:pPr>
              <w:pStyle w:val="Compact"/>
              <w:jc w:val="left"/>
            </w:pPr>
            <w:r>
              <w:t xml:space="preserve">2</w:t>
            </w:r>
          </w:p>
        </w:tc>
        <w:tc>
          <w:tcPr/>
          <w:p>
            <w:pPr>
              <w:pStyle w:val="Compact"/>
              <w:jc w:val="left"/>
            </w:pPr>
            <w:r>
              <w:t xml:space="preserve">回测引擎核心、事件驱动系统、PyO3绑定</w:t>
            </w:r>
          </w:p>
        </w:tc>
        <w:tc>
          <w:tcPr/>
          <w:p>
            <w:pPr>
              <w:pStyle w:val="Compact"/>
              <w:jc w:val="left"/>
            </w:pPr>
            <w:r>
              <w:t xml:space="preserve">Rust async/tokio、系统级性能优化</w:t>
            </w:r>
          </w:p>
        </w:tc>
        <w:tc>
          <w:tcPr/>
          <w:p>
            <w:pPr>
              <w:pStyle w:val="Compact"/>
              <w:jc w:val="left"/>
            </w:pPr>
            <w:r>
              <w:t xml:space="preserve">3.5-5.0</w:t>
            </w:r>
          </w:p>
        </w:tc>
        <w:tc>
          <w:tcPr/>
          <w:p>
            <w:pPr>
              <w:pStyle w:val="Compact"/>
              <w:jc w:val="left"/>
            </w:pPr>
            <w:r>
              <w:t xml:space="preserve">7.0-10.0</w:t>
            </w:r>
          </w:p>
        </w:tc>
      </w:tr>
      <w:tr>
        <w:tc>
          <w:tcPr/>
          <w:p>
            <w:pPr>
              <w:pStyle w:val="Compact"/>
              <w:jc w:val="left"/>
            </w:pPr>
            <w:r>
              <w:t xml:space="preserve">Python策略工程师</w:t>
            </w:r>
          </w:p>
        </w:tc>
        <w:tc>
          <w:tcPr/>
          <w:p>
            <w:pPr>
              <w:pStyle w:val="Compact"/>
              <w:jc w:val="left"/>
            </w:pPr>
            <w:r>
              <w:t xml:space="preserve">2</w:t>
            </w:r>
          </w:p>
        </w:tc>
        <w:tc>
          <w:tcPr/>
          <w:p>
            <w:pPr>
              <w:pStyle w:val="Compact"/>
              <w:jc w:val="left"/>
            </w:pPr>
            <w:r>
              <w:t xml:space="preserve">Python SDK、策略模板库、MISS框架实现</w:t>
            </w:r>
          </w:p>
        </w:tc>
        <w:tc>
          <w:tcPr/>
          <w:p>
            <w:pPr>
              <w:pStyle w:val="Compact"/>
              <w:jc w:val="left"/>
            </w:pPr>
            <w:r>
              <w:t xml:space="preserve">量化策略开发、NumPy/Pandas、ML基础</w:t>
            </w:r>
          </w:p>
        </w:tc>
        <w:tc>
          <w:tcPr/>
          <w:p>
            <w:pPr>
              <w:pStyle w:val="Compact"/>
              <w:jc w:val="left"/>
            </w:pPr>
            <w:r>
              <w:t xml:space="preserve">3.0-4.5</w:t>
            </w:r>
          </w:p>
        </w:tc>
        <w:tc>
          <w:tcPr/>
          <w:p>
            <w:pPr>
              <w:pStyle w:val="Compact"/>
              <w:jc w:val="left"/>
            </w:pPr>
            <w:r>
              <w:t xml:space="preserve">6.0-9.0</w:t>
            </w:r>
          </w:p>
        </w:tc>
      </w:tr>
      <w:tr>
        <w:tc>
          <w:tcPr/>
          <w:p>
            <w:pPr>
              <w:pStyle w:val="Compact"/>
              <w:jc w:val="left"/>
            </w:pPr>
            <w:r>
              <w:t xml:space="preserve">前端工程师</w:t>
            </w:r>
          </w:p>
        </w:tc>
        <w:tc>
          <w:tcPr/>
          <w:p>
            <w:pPr>
              <w:pStyle w:val="Compact"/>
              <w:jc w:val="left"/>
            </w:pPr>
            <w:r>
              <w:t xml:space="preserve">1</w:t>
            </w:r>
          </w:p>
        </w:tc>
        <w:tc>
          <w:tcPr/>
          <w:p>
            <w:pPr>
              <w:pStyle w:val="Compact"/>
              <w:jc w:val="left"/>
            </w:pPr>
            <w:r>
              <w:t xml:space="preserve">Web Dashboard、Jupyter插件、可视化面板</w:t>
            </w:r>
          </w:p>
        </w:tc>
        <w:tc>
          <w:tcPr/>
          <w:p>
            <w:pPr>
              <w:pStyle w:val="Compact"/>
              <w:jc w:val="left"/>
            </w:pPr>
            <w:r>
              <w:t xml:space="preserve">React+TypeScript、Lightweight Charts</w:t>
            </w:r>
          </w:p>
        </w:tc>
        <w:tc>
          <w:tcPr/>
          <w:p>
            <w:pPr>
              <w:pStyle w:val="Compact"/>
              <w:jc w:val="left"/>
            </w:pPr>
            <w:r>
              <w:t xml:space="preserve">3.0-4.0</w:t>
            </w:r>
          </w:p>
        </w:tc>
        <w:tc>
          <w:tcPr/>
          <w:p>
            <w:pPr>
              <w:pStyle w:val="Compact"/>
              <w:jc w:val="left"/>
            </w:pPr>
            <w:r>
              <w:t xml:space="preserve">3.0-4.0</w:t>
            </w:r>
          </w:p>
        </w:tc>
      </w:tr>
      <w:tr>
        <w:tc>
          <w:tcPr/>
          <w:p>
            <w:pPr>
              <w:pStyle w:val="Compact"/>
              <w:jc w:val="left"/>
            </w:pPr>
            <w:r>
              <w:t xml:space="preserve">产品经理</w:t>
            </w:r>
          </w:p>
        </w:tc>
        <w:tc>
          <w:tcPr/>
          <w:p>
            <w:pPr>
              <w:pStyle w:val="Compact"/>
              <w:jc w:val="left"/>
            </w:pPr>
            <w:r>
              <w:t xml:space="preserve">1</w:t>
            </w:r>
          </w:p>
        </w:tc>
        <w:tc>
          <w:tcPr/>
          <w:p>
            <w:pPr>
              <w:pStyle w:val="Compact"/>
              <w:jc w:val="left"/>
            </w:pPr>
            <w:r>
              <w:t xml:space="preserve">需求定义、社区运营、文档体系</w:t>
            </w:r>
          </w:p>
        </w:tc>
        <w:tc>
          <w:tcPr/>
          <w:p>
            <w:pPr>
              <w:pStyle w:val="Compact"/>
              <w:jc w:val="left"/>
            </w:pPr>
            <w:r>
              <w:t xml:space="preserve">量化产品经验、开源社区运营</w:t>
            </w:r>
          </w:p>
        </w:tc>
        <w:tc>
          <w:tcPr/>
          <w:p>
            <w:pPr>
              <w:pStyle w:val="Compact"/>
              <w:jc w:val="left"/>
            </w:pPr>
            <w:r>
              <w:t xml:space="preserve">3.0-4.5</w:t>
            </w:r>
          </w:p>
        </w:tc>
        <w:tc>
          <w:tcPr/>
          <w:p>
            <w:pPr>
              <w:pStyle w:val="Compact"/>
              <w:jc w:val="left"/>
            </w:pPr>
            <w:r>
              <w:t xml:space="preserve">3.0-4.5</w:t>
            </w:r>
          </w:p>
        </w:tc>
      </w:tr>
      <w:tr>
        <w:tc>
          <w:tcPr/>
          <w:p>
            <w:pPr>
              <w:pStyle w:val="Compact"/>
              <w:jc w:val="left"/>
            </w:pPr>
            <w:r>
              <w:t xml:space="preserve">运营专员</w:t>
            </w:r>
          </w:p>
        </w:tc>
        <w:tc>
          <w:tcPr/>
          <w:p>
            <w:pPr>
              <w:pStyle w:val="Compact"/>
              <w:jc w:val="left"/>
            </w:pPr>
            <w:r>
              <w:t xml:space="preserve">1</w:t>
            </w:r>
          </w:p>
        </w:tc>
        <w:tc>
          <w:tcPr/>
          <w:p>
            <w:pPr>
              <w:pStyle w:val="Compact"/>
              <w:jc w:val="left"/>
            </w:pPr>
            <w:r>
              <w:t xml:space="preserve">GitHub维护、技术博客、社群运营</w:t>
            </w:r>
          </w:p>
        </w:tc>
        <w:tc>
          <w:tcPr/>
          <w:p>
            <w:pPr>
              <w:pStyle w:val="Compact"/>
              <w:jc w:val="left"/>
            </w:pPr>
            <w:r>
              <w:t xml:space="preserve">内容营销、开发者关系</w:t>
            </w:r>
          </w:p>
        </w:tc>
        <w:tc>
          <w:tcPr/>
          <w:p>
            <w:pPr>
              <w:pStyle w:val="Compact"/>
              <w:jc w:val="left"/>
            </w:pPr>
            <w:r>
              <w:t xml:space="preserve">2.0-3.0</w:t>
            </w:r>
          </w:p>
        </w:tc>
        <w:tc>
          <w:tcPr/>
          <w:p>
            <w:pPr>
              <w:pStyle w:val="Compact"/>
              <w:jc w:val="left"/>
            </w:pPr>
            <w:r>
              <w:t xml:space="preserve">2.0-3.0</w:t>
            </w:r>
          </w:p>
        </w:tc>
      </w:tr>
      <w:tr>
        <w:tc>
          <w:tcPr/>
          <w:p>
            <w:pPr>
              <w:pStyle w:val="Compact"/>
              <w:jc w:val="left"/>
            </w:pPr>
            <w:r>
              <w:rPr>
                <w:bCs/>
                <w:b/>
              </w:rPr>
              <w:t xml:space="preserve">合计</w:t>
            </w:r>
          </w:p>
        </w:tc>
        <w:tc>
          <w:tcPr/>
          <w:p>
            <w:pPr>
              <w:pStyle w:val="Compact"/>
              <w:jc w:val="left"/>
            </w:pPr>
            <w:r>
              <w:rPr>
                <w:bCs/>
                <w:b/>
              </w:rPr>
              <w:t xml:space="preserve">7</w:t>
            </w:r>
          </w:p>
        </w:tc>
        <w:tc>
          <w:tcPr/>
          <w:p>
            <w:pPr>
              <w:pStyle w:val="Compact"/>
            </w:pPr>
          </w:p>
        </w:tc>
        <w:tc>
          <w:tcPr/>
          <w:p>
            <w:pPr>
              <w:pStyle w:val="Compact"/>
            </w:pPr>
          </w:p>
        </w:tc>
        <w:tc>
          <w:tcPr/>
          <w:p>
            <w:pPr>
              <w:pStyle w:val="Compact"/>
            </w:pPr>
          </w:p>
        </w:tc>
        <w:tc>
          <w:tcPr/>
          <w:p>
            <w:pPr>
              <w:pStyle w:val="Compact"/>
              <w:jc w:val="left"/>
            </w:pPr>
            <w:r>
              <w:rPr>
                <w:bCs/>
                <w:b/>
              </w:rPr>
              <w:t xml:space="preserve">21.0-30.5</w:t>
            </w:r>
          </w:p>
        </w:tc>
      </w:tr>
    </w:tbl>
    <w:p>
      <w:pPr>
        <w:pStyle w:val="BodyText"/>
      </w:pPr>
      <w:r>
        <w:t xml:space="preserve">Rust后端工程师是阶段一的关键稀缺资源。Rust在量化领域的应用尚处早期</w:t>
      </w:r>
      <w:fldSimple w:instr="NOTEREF _Ref_Footnote_77 \h \f">
        <w:r>
          <w:rPr>
            <w:vertAlign w:val="superscript"/>
          </w:rPr>
          <w:t>77</w:t>
        </w:r>
      </w:fldSimple>
      <w:r>
        <w:t xml:space="preserve">，人才供给远低于C++，因此需要在招聘预算上预留20%的弹性空间，或采用”资深C++工程师+Rust培训”的替代方案。产品负责人需具备量化产品经验，理解回测与实盘的技术差异，这一角色直接决定MVP阶段的需求优先级是否准确。</w:t>
      </w:r>
    </w:p>
    <w:bookmarkEnd w:id="97"/>
    <w:bookmarkStart w:id="98" w:name="关键指标github-star-1000社区用户500种子机构客户3-5家"/>
    <w:p>
      <w:pPr>
        <w:pStyle w:val="Heading4"/>
      </w:pPr>
      <w:r>
        <w:t xml:space="preserve">5.1.3 关键指标：GitHub Star 1000+、社区用户500+、种子机构客户3-5家</w:t>
      </w:r>
    </w:p>
    <w:p>
      <w:pPr>
        <w:pStyle w:val="FirstParagraph"/>
      </w:pPr>
      <w:r>
        <w:t xml:space="preserve">第一阶段的KPI体系围绕技术声誉和社区密度两大维度构建。GitHub Star突破1,000标志着项目在开发者社区建立了初步认知——vn.py在同等阶段（6个月内）达到约1,200 Star</w:t>
      </w:r>
      <w:fldSimple w:instr="NOTEREF _Ref_Footnote_21 \h \f">
        <w:r>
          <w:rPr>
            <w:vertAlign w:val="superscript"/>
          </w:rPr>
          <w:t>21</w:t>
        </w:r>
      </w:fldSimple>
      <w:r>
        <w:t xml:space="preserve">，参照此基准并结合Market State差异化技术的吸引力，1,000 Star为保守可达目标。社区用户500+的定义为注册量化社群（Discord/微信群）的活跃开发者，其中核心贡献者（提交过PR或Issue）≥50人。Issue平均响应时间控制在24小时以内，这是开源项目维护质量的硬指标。</w:t>
      </w:r>
    </w:p>
    <w:p>
      <w:pPr>
        <w:pStyle w:val="BodyText"/>
      </w:pPr>
      <w:r>
        <w:t xml:space="preserve">种子机构客户的获取路径为”技术评估→POC试点→合作意向书”。3-5家种子机构聚焦中小型量化私募（管理规模5,000万-5亿元），通过免费技术评估+定制化POC建立信任关系，为第二阶段的企业版预售积累案例。此阶段不求收入，但求验证产品方向和技术架构在真实机构环境中的适配度。</w:t>
      </w:r>
    </w:p>
    <w:bookmarkEnd w:id="98"/>
    <w:bookmarkEnd w:id="99"/>
    <w:bookmarkStart w:id="103" w:name="中期目标6-18个月saas平台与策略生态"/>
    <w:p>
      <w:pPr>
        <w:pStyle w:val="Heading3"/>
      </w:pPr>
      <w:r>
        <w:t xml:space="preserve">5.2 中期目标（6-18个月）：SaaS平台与策略生态</w:t>
      </w:r>
    </w:p>
    <w:bookmarkStart w:id="100" w:name="产品里程碑saas平台上线gpu加速ai策略发现实盘对接"/>
    <w:p>
      <w:pPr>
        <w:pStyle w:val="Heading4"/>
      </w:pPr>
      <w:r>
        <w:t xml:space="preserve">5.2.1 产品里程碑：SaaS平台上线+GPU加速+AI策略发现+实盘对接</w:t>
      </w:r>
    </w:p>
    <w:p>
      <w:pPr>
        <w:pStyle w:val="FirstParagraph"/>
      </w:pPr>
      <w:r>
        <w:t xml:space="preserve">第二阶段从技术产品维度实现三大跃迁。SaaS平台于第10个月上线，提供云端回测、Market State四维识别（价格结构/波动率/流动性/信息流）和MISS多策略匹配功能，免费版提供基础回测能力，付费版（99-299元/月）解锁全部AI功能——对标聚宽VIP 128元/月、SVIP 378元/月的定价锚点</w:t>
      </w:r>
      <w:fldSimple w:instr="NOTEREF _Ref_Footnote_13 \h \f">
        <w:r>
          <w:rPr>
            <w:vertAlign w:val="superscript"/>
          </w:rPr>
          <w:t>13</w:t>
        </w:r>
      </w:fldSimple>
      <w:r>
        <w:t xml:space="preserve">。GPU加速模块基于CUDA/cuDF实现，NVIDIA H200在期权定价场景中已验证537倍加速</w:t>
      </w:r>
      <w:fldSimple w:instr="NOTEREF _Ref_Footnote_85 \h \f">
        <w:r>
          <w:rPr>
            <w:vertAlign w:val="superscript"/>
          </w:rPr>
          <w:t>85</w:t>
        </w:r>
      </w:fldSimple>
      <w:r>
        <w:t xml:space="preserve">，系统目标将大规模Monte Carlo模拟回测速度提升至CPU基线的100倍以上，参数空间扫描支持百万级组合评估。</w:t>
      </w:r>
    </w:p>
    <w:p>
      <w:pPr>
        <w:pStyle w:val="BodyText"/>
      </w:pPr>
      <w:r>
        <w:t xml:space="preserve">AI策略发现引擎是第二阶段的技术亮点。多Agent策略发现系统由Research Agent、Backtest Agent和Portfolio Agent三类Agent协作运行</w:t>
      </w:r>
      <w:fldSimple w:instr="NOTEREF _Ref_Footnote_56 \h \f">
        <w:r>
          <w:rPr>
            <w:vertAlign w:val="superscript"/>
          </w:rPr>
          <w:t>56</w:t>
        </w:r>
      </w:fldSimple>
      <w:r>
        <w:t xml:space="preserve">，RD-Agent实证显示可实现2倍回报提升</w:t>
      </w:r>
      <w:fldSimple w:instr="NOTEREF _Ref_Footnote_114 \h \f">
        <w:r>
          <w:rPr>
            <w:vertAlign w:val="superscript"/>
          </w:rPr>
          <w:t>114</w:t>
        </w:r>
      </w:fldSimple>
      <w:r>
        <w:t xml:space="preserve">。系统内建遗传编程策略生成器（SQX风格）和SHAP可解释分析模块</w:t>
      </w:r>
      <w:fldSimple w:instr="NOTEREF _Ref_Footnote_74 \h \f">
        <w:r>
          <w:rPr>
            <w:vertAlign w:val="superscript"/>
          </w:rPr>
          <w:t>74</w:t>
        </w:r>
      </w:fldSimple>
      <w:r>
        <w:t xml:space="preserve">，使策略研发从”手工编码”演进至”AI辅助发现”。实盘对接模块完成CTP、Binance两大主流Gateway的适配，模拟撮合引擎支持四套环境（Research/Backtest/Paper/Live）的精确映射，策略代码零修改即可切换至实盘</w:t>
      </w:r>
      <w:fldSimple w:instr="NOTEREF _Ref_Footnote_108 \h \f">
        <w:r>
          <w:rPr>
            <w:vertAlign w:val="superscript"/>
          </w:rPr>
          <w:t>108</w:t>
        </w:r>
      </w:fldSimple>
      <w:r>
        <w:t xml:space="preserve"> </w:t>
      </w:r>
      <w:fldSimple w:instr="NOTEREF _Ref_Footnote_109 \h \f">
        <w:r>
          <w:rPr>
            <w:vertAlign w:val="superscript"/>
          </w:rPr>
          <w:t>109</w:t>
        </w:r>
      </w:fldSimple>
      <w:r>
        <w:t xml:space="preserve">。</w:t>
      </w:r>
    </w:p>
    <w:bookmarkEnd w:id="100"/>
    <w:bookmarkStart w:id="101" w:name="商业里程碑付费用户500arr-200万券商合作2-3家"/>
    <w:p>
      <w:pPr>
        <w:pStyle w:val="Heading4"/>
      </w:pPr>
      <w:r>
        <w:t xml:space="preserve">5.2.2 商业里程碑：付费用户500+、ARR 200万+、券商合作2-3家</w:t>
      </w:r>
    </w:p>
    <w:p>
      <w:pPr>
        <w:pStyle w:val="FirstParagraph"/>
      </w:pPr>
      <w:r>
        <w:t xml:space="preserve">第二阶段是商业模式从”零收入”到”规模化现金流”的关键跃迁。付费用户500+中，个人付费用户目标400人（ARPU 1,200元/年），中小私募用户目标30家（ARPU 3万元/年），合计ARR约78万元；叠加数据API服务收入（目标50万元/年）和策略市场抽成（目标20万元/年），第18个月ARR达到200万元。开源→SaaS的商业转化率参照行业基准2%-5%</w:t>
      </w:r>
      <w:fldSimple w:instr="NOTEREF _Ref_Footnote_124 \h \f">
        <w:r>
          <w:rPr>
            <w:vertAlign w:val="superscript"/>
          </w:rPr>
          <w:t>124</w:t>
        </w:r>
      </w:fldSimple>
      <w:r>
        <w:t xml:space="preserve"> </w:t>
      </w:r>
      <w:fldSimple w:instr="NOTEREF _Ref_Footnote_125 \h \f">
        <w:r>
          <w:rPr>
            <w:vertAlign w:val="superscript"/>
          </w:rPr>
          <w:t>125</w:t>
        </w:r>
      </w:fldSimple>
      <w:r>
        <w:t xml:space="preserve">，结合Market State差异化技术的吸引力，保守取3%转化率，即社区用户17,000人即可支撑500+付费用户。</w:t>
      </w:r>
    </w:p>
    <w:p>
      <w:pPr>
        <w:pStyle w:val="BodyText"/>
      </w:pPr>
      <w:r>
        <w:t xml:space="preserve">券商合作在第二阶段启动，目标签约2-3家中小型券商（非TOP15），合作模式以”系统联合开发+收入分成”为最优。聚宽为超12家TOP15券商提供量化投研平台服务</w:t>
      </w:r>
      <w:fldSimple w:instr="NOTEREF _Ref_Footnote_14 \h \f">
        <w:r>
          <w:rPr>
            <w:vertAlign w:val="superscript"/>
          </w:rPr>
          <w:t>14</w:t>
        </w:r>
      </w:fldSimple>
      <w:r>
        <w:t xml:space="preserve">，验证了券商渠道的高转化率特征。券商合作的核心价值不仅是收入，更是合规背书和品牌信任——券商的IT系统选型流程本身就是对产品稳定性和合规能力的严格验证。</w:t>
      </w:r>
    </w:p>
    <w:bookmarkEnd w:id="101"/>
    <w:bookmarkStart w:id="102" w:name="技术里程碑回测速度行业top3策略生态100策略合规模块完备"/>
    <w:p>
      <w:pPr>
        <w:pStyle w:val="Heading4"/>
      </w:pPr>
      <w:r>
        <w:t xml:space="preserve">5.2.3 技术里程碑：回测速度行业Top3、策略生态100+策略、合规模块完备</w:t>
      </w:r>
    </w:p>
    <w:p>
      <w:pPr>
        <w:pStyle w:val="FirstParagraph"/>
      </w:pPr>
      <w:r>
        <w:t xml:space="preserve">技术指标层面，第18个月回测速度进入行业前三。基准测试参照RaptorBT的5,827倍加速</w:t>
      </w:r>
      <w:fldSimple w:instr="NOTEREF _Ref_Footnote_78 \h \f">
        <w:r>
          <w:rPr>
            <w:vertAlign w:val="superscript"/>
          </w:rPr>
          <w:t>78</w:t>
        </w:r>
      </w:fldSimple>
      <w:r>
        <w:t xml:space="preserve">和VectorBT Pro的向量化性能</w:t>
      </w:r>
      <w:fldSimple w:instr="NOTEREF _Ref_Footnote_99 \h \f">
        <w:r>
          <w:rPr>
            <w:vertAlign w:val="superscript"/>
          </w:rPr>
          <w:t>99</w:t>
        </w:r>
      </w:fldSimple>
      <w:r>
        <w:t xml:space="preserve">，系统目标在事件驱动模式下实现单事件&lt;1微秒延迟、100,000+ events/秒吞吐量</w:t>
      </w:r>
      <w:fldSimple w:instr="NOTEREF _Ref_Footnote_88 \h \f">
        <w:r>
          <w:rPr>
            <w:vertAlign w:val="superscript"/>
          </w:rPr>
          <w:t>88</w:t>
        </w:r>
      </w:fldSimple>
      <w:r>
        <w:t xml:space="preserve">，向量化模式下A股全市场（5,000+标的）10年日频回测&lt;30秒。策略生态在第18个月达到100+可订阅策略，双边平台效应初步显现。合规科技模块基础版上线，覆盖策略审计日志、阈值管理和自动报告生成三大功能，满足《证券市场程序化交易管理规定》</w:t>
      </w:r>
      <w:fldSimple w:instr="NOTEREF _Ref_Footnote_33 \h \f">
        <w:r>
          <w:rPr>
            <w:vertAlign w:val="superscript"/>
          </w:rPr>
          <w:t>33</w:t>
        </w:r>
      </w:fldSimple>
      <w:r>
        <w:t xml:space="preserve">和交易所实施细则</w:t>
      </w:r>
      <w:fldSimple w:instr="NOTEREF _Ref_Footnote_34 \h \f">
        <w:r>
          <w:rPr>
            <w:vertAlign w:val="superscript"/>
          </w:rPr>
          <w:t>34</w:t>
        </w:r>
      </w:fldSimple>
      <w:r>
        <w:t xml:space="preserve">的合规要求。</w:t>
      </w:r>
    </w:p>
    <w:bookmarkEnd w:id="102"/>
    <w:bookmarkEnd w:id="103"/>
    <w:bookmarkStart w:id="107" w:name="长期目标18-36个月机构服务与生态扩张"/>
    <w:p>
      <w:pPr>
        <w:pStyle w:val="Heading3"/>
      </w:pPr>
      <w:r>
        <w:t xml:space="preserve">5.3 长期目标（18-36个月）：机构服务与生态扩张</w:t>
      </w:r>
    </w:p>
    <w:bookmarkStart w:id="104" w:name="产品愿景国内领先的智能回测平台对标quantconnect"/>
    <w:p>
      <w:pPr>
        <w:pStyle w:val="Heading4"/>
      </w:pPr>
      <w:r>
        <w:t xml:space="preserve">5.3.1 产品愿景：国内领先的智能回测平台，对标QuantConnect</w:t>
      </w:r>
    </w:p>
    <w:p>
      <w:pPr>
        <w:pStyle w:val="FirstParagraph"/>
      </w:pPr>
      <w:r>
        <w:t xml:space="preserve">第三阶段的产品愿景是将系统打造为国内领先的智能回测平台，在技术深度和社区规模两个维度对标QuantConnect（318K社区用户</w:t>
      </w:r>
      <w:fldSimple w:instr="NOTEREF _Ref_Footnote_24 \h \f">
        <w:r>
          <w:rPr>
            <w:vertAlign w:val="superscript"/>
          </w:rPr>
          <w:t>24</w:t>
        </w:r>
      </w:fldSimple>
      <w:r>
        <w:t xml:space="preserve">）。产品矩阵从单一的回测工具扩展为覆盖”数据→研究→回测→优化→实盘→合规”全链路的一站式量化研发基础设施。核心差异化——Market State引擎+MISS框架——在第三阶段形成完整的技术护城河：AFRN-HyperFlow深度学习模块将状态检测准确率从HMM基线的74.8%提升至87.2%</w:t>
      </w:r>
      <w:fldSimple w:instr="NOTEREF _Ref_Footnote_55 \h \f">
        <w:r>
          <w:rPr>
            <w:vertAlign w:val="superscript"/>
          </w:rPr>
          <w:t>55</w:t>
        </w:r>
      </w:fldSimple>
      <w:r>
        <w:t xml:space="preserve">，平均滞后从4.1天缩短至2.8天，这一性能优势在多周期分析场景下可将策略成功率从单周期的45%提升至60%-75%</w:t>
      </w:r>
      <w:r>
        <w:rPr>
          <w:vertAlign w:val="superscript"/>
        </w:rPr>
        <w:footnoteReference w:id="135"/>
      </w:r>
      <w:r>
        <w:t xml:space="preserve">。</w:t>
      </w:r>
    </w:p>
    <w:bookmarkEnd w:id="104"/>
    <w:bookmarkStart w:id="105" w:name="商业目标arr-1000万机构客户30自营资管规模10亿"/>
    <w:p>
      <w:pPr>
        <w:pStyle w:val="Heading4"/>
      </w:pPr>
      <w:r>
        <w:t xml:space="preserve">5.3.2 商业目标：ARR 1000万+、机构客户30+、自营资管规模10亿+</w:t>
      </w:r>
    </w:p>
    <w:p>
      <w:pPr>
        <w:pStyle w:val="FirstParagraph"/>
      </w:pPr>
      <w:r>
        <w:t xml:space="preserve">商业目标在第36个月达到ARR 1,000万元，其中机构客户贡献占比≥60%。机构客户30+涵盖百亿私募5-8家、中型私募15-20家和券商3-5家，机构版年费10万-100万+，LTV是个人用户的50-200倍</w:t>
      </w:r>
      <w:fldSimple w:instr="NOTEREF _Ref_Footnote_15 \h \f">
        <w:r>
          <w:rPr>
            <w:vertAlign w:val="superscript"/>
          </w:rPr>
          <w:t>15</w:t>
        </w:r>
      </w:fldSimple>
      <w:r>
        <w:t xml:space="preserve"> </w:t>
      </w:r>
      <w:fldSimple w:instr="NOTEREF _Ref_Footnote_14 \h \f">
        <w:r>
          <w:rPr>
            <w:vertAlign w:val="superscript"/>
          </w:rPr>
          <w:t>14</w:t>
        </w:r>
      </w:fldSimple>
      <w:r>
        <w:t xml:space="preserve">。自营资管业务在第28个月启动，基于MISS策略系统的实盘表现，以跟单模式管理外部资金，目标管理规模10亿元——对标聚宽转型资管100亿+的实践路径</w:t>
      </w:r>
      <w:fldSimple w:instr="NOTEREF _Ref_Footnote_8 \h \f">
        <w:r>
          <w:rPr>
            <w:vertAlign w:val="superscript"/>
          </w:rPr>
          <w:t>8</w:t>
        </w:r>
      </w:fldSimple>
      <w:r>
        <w:t xml:space="preserve">。</w:t>
      </w:r>
    </w:p>
    <w:bookmarkEnd w:id="105"/>
    <w:bookmarkStart w:id="106" w:name="生态目标开源社区10k-star插件生态50策略生态1000"/>
    <w:p>
      <w:pPr>
        <w:pStyle w:val="Heading4"/>
      </w:pPr>
      <w:r>
        <w:t xml:space="preserve">5.3.3 生态目标：开源社区10K+ Star、插件生态50+、策略生态1000+</w:t>
      </w:r>
    </w:p>
    <w:p>
      <w:pPr>
        <w:pStyle w:val="FirstParagraph"/>
      </w:pPr>
      <w:r>
        <w:t xml:space="preserve">生态目标是第三阶段最具时间壁垒的资产。开源社区10,000+ GitHub Star标志着项目进入量化领域的第一梯队——vn.py的28,400 Star</w:t>
      </w:r>
      <w:fldSimple w:instr="NOTEREF _Ref_Footnote_21 \h \f">
        <w:r>
          <w:rPr>
            <w:vertAlign w:val="superscript"/>
          </w:rPr>
          <w:t>21</w:t>
        </w:r>
      </w:fldSimple>
      <w:r>
        <w:t xml:space="preserve">是远期对标基准。插件生态50+覆盖数据源插件（Wind/Tushare/RQData）、Gateway插件（CTP/IB/Binance/其他）、指标插件和风控插件四大类，参照VN.PY的Gateway→Engine→App四层解耦架构</w:t>
      </w:r>
      <w:fldSimple w:instr="NOTEREF _Ref_Footnote_110 \h \f">
        <w:r>
          <w:rPr>
            <w:vertAlign w:val="superscript"/>
          </w:rPr>
          <w:t>110</w:t>
        </w:r>
      </w:fldSimple>
      <w:r>
        <w:t xml:space="preserve">实现热插拔式扩展。策略生态1,000+策略构成双边平台的核心供给——WorldQuant BRAIN以21,000用户和9,300万次模拟操作</w:t>
      </w:r>
      <w:fldSimple w:instr="NOTEREF _Ref_Footnote_132 \h \f">
        <w:r>
          <w:rPr>
            <w:vertAlign w:val="superscript"/>
          </w:rPr>
          <w:t>132</w:t>
        </w:r>
      </w:fldSimple>
      <w:r>
        <w:t xml:space="preserve">验证了策略竞赛在社区增长中的杠杆效应，量化大赛成为策略供给的核心增长引擎。</w:t>
      </w:r>
    </w:p>
    <w:p>
      <w:pPr>
        <w:pStyle w:val="BodyText"/>
      </w:pPr>
      <w:r>
        <w:rPr>
          <w:bCs/>
          <w:b/>
        </w:rPr>
        <w:t xml:space="preserve">表5-2：36个月四阶段路线图总览</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维度</w:t>
            </w:r>
          </w:p>
        </w:tc>
        <w:tc>
          <w:tcPr/>
          <w:p>
            <w:pPr>
              <w:pStyle w:val="Compact"/>
              <w:jc w:val="left"/>
            </w:pPr>
            <w:r>
              <w:t xml:space="preserve">第一阶段：MVP开源（0-6月）</w:t>
            </w:r>
          </w:p>
        </w:tc>
        <w:tc>
          <w:tcPr/>
          <w:p>
            <w:pPr>
              <w:pStyle w:val="Compact"/>
              <w:jc w:val="left"/>
            </w:pPr>
            <w:r>
              <w:t xml:space="preserve">第二阶段：SaaS平台（6-18月）</w:t>
            </w:r>
          </w:p>
        </w:tc>
        <w:tc>
          <w:tcPr/>
          <w:p>
            <w:pPr>
              <w:pStyle w:val="Compact"/>
              <w:jc w:val="left"/>
            </w:pPr>
            <w:r>
              <w:t xml:space="preserve">第三阶段：策略生态（12-24月）</w:t>
            </w:r>
          </w:p>
        </w:tc>
        <w:tc>
          <w:tcPr/>
          <w:p>
            <w:pPr>
              <w:pStyle w:val="Compact"/>
              <w:jc w:val="left"/>
            </w:pPr>
            <w:r>
              <w:t xml:space="preserve">第四阶段：机构服务（18-36月）</w:t>
            </w:r>
          </w:p>
        </w:tc>
      </w:tr>
      <w:tr>
        <w:tc>
          <w:tcPr/>
          <w:p>
            <w:pPr>
              <w:pStyle w:val="Compact"/>
              <w:jc w:val="left"/>
            </w:pPr>
            <w:r>
              <w:rPr>
                <w:bCs/>
                <w:b/>
              </w:rPr>
              <w:t xml:space="preserve">核心产品</w:t>
            </w:r>
          </w:p>
        </w:tc>
        <w:tc>
          <w:tcPr/>
          <w:p>
            <w:pPr>
              <w:pStyle w:val="Compact"/>
              <w:jc w:val="left"/>
            </w:pPr>
            <w:r>
              <w:t xml:space="preserve">开源回测引擎v1.0 + Market State HMM + MISS v1</w:t>
            </w:r>
          </w:p>
        </w:tc>
        <w:tc>
          <w:tcPr/>
          <w:p>
            <w:pPr>
              <w:pStyle w:val="Compact"/>
              <w:jc w:val="left"/>
            </w:pPr>
            <w:r>
              <w:t xml:space="preserve">SaaS平台 + GPU加速 + AI策略发现 + 实盘对接</w:t>
            </w:r>
          </w:p>
        </w:tc>
        <w:tc>
          <w:tcPr/>
          <w:p>
            <w:pPr>
              <w:pStyle w:val="Compact"/>
              <w:jc w:val="left"/>
            </w:pPr>
            <w:r>
              <w:t xml:space="preserve">策略市场 + 数据API + 插件生态 + 量化大赛</w:t>
            </w:r>
          </w:p>
        </w:tc>
        <w:tc>
          <w:tcPr/>
          <w:p>
            <w:pPr>
              <w:pStyle w:val="Compact"/>
              <w:jc w:val="left"/>
            </w:pPr>
            <w:r>
              <w:t xml:space="preserve">私有化部署 + 完备合规模块 + 券商定制 + 自营资管</w:t>
            </w:r>
          </w:p>
        </w:tc>
      </w:tr>
      <w:tr>
        <w:tc>
          <w:tcPr/>
          <w:p>
            <w:pPr>
              <w:pStyle w:val="Compact"/>
              <w:jc w:val="left"/>
            </w:pPr>
            <w:r>
              <w:rPr>
                <w:bCs/>
                <w:b/>
              </w:rPr>
              <w:t xml:space="preserve">团队规模</w:t>
            </w:r>
          </w:p>
        </w:tc>
        <w:tc>
          <w:tcPr/>
          <w:p>
            <w:pPr>
              <w:pStyle w:val="Compact"/>
              <w:jc w:val="left"/>
            </w:pPr>
            <w:r>
              <w:t xml:space="preserve">7人，月成本21-31万</w:t>
            </w:r>
          </w:p>
        </w:tc>
        <w:tc>
          <w:tcPr/>
          <w:p>
            <w:pPr>
              <w:pStyle w:val="Compact"/>
              <w:jc w:val="left"/>
            </w:pPr>
            <w:r>
              <w:t xml:space="preserve">15-20人</w:t>
            </w:r>
          </w:p>
        </w:tc>
        <w:tc>
          <w:tcPr/>
          <w:p>
            <w:pPr>
              <w:pStyle w:val="Compact"/>
              <w:jc w:val="left"/>
            </w:pPr>
            <w:r>
              <w:t xml:space="preserve">25-35人</w:t>
            </w:r>
          </w:p>
        </w:tc>
        <w:tc>
          <w:tcPr/>
          <w:p>
            <w:pPr>
              <w:pStyle w:val="Compact"/>
              <w:jc w:val="left"/>
            </w:pPr>
            <w:r>
              <w:t xml:space="preserve">40-60人</w:t>
            </w:r>
          </w:p>
        </w:tc>
      </w:tr>
      <w:tr>
        <w:tc>
          <w:tcPr/>
          <w:p>
            <w:pPr>
              <w:pStyle w:val="Compact"/>
              <w:jc w:val="left"/>
            </w:pPr>
            <w:r>
              <w:rPr>
                <w:bCs/>
                <w:b/>
              </w:rPr>
              <w:t xml:space="preserve">关键指标</w:t>
            </w:r>
          </w:p>
        </w:tc>
        <w:tc>
          <w:tcPr/>
          <w:p>
            <w:pPr>
              <w:pStyle w:val="Compact"/>
              <w:jc w:val="left"/>
            </w:pPr>
            <w:r>
              <w:t xml:space="preserve">Star 1K+ / 社区500+ / 种子客户3-5家</w:t>
            </w:r>
          </w:p>
        </w:tc>
        <w:tc>
          <w:tcPr/>
          <w:p>
            <w:pPr>
              <w:pStyle w:val="Compact"/>
              <w:jc w:val="left"/>
            </w:pPr>
            <w:r>
              <w:t xml:space="preserve">付费用户500+ / ARR 200万+ / 券商2-3家</w:t>
            </w:r>
          </w:p>
        </w:tc>
        <w:tc>
          <w:tcPr/>
          <w:p>
            <w:pPr>
              <w:pStyle w:val="Compact"/>
              <w:jc w:val="left"/>
            </w:pPr>
            <w:r>
              <w:t xml:space="preserve">策略生态100+ / 插件30+ / 数据收入50万+</w:t>
            </w:r>
          </w:p>
        </w:tc>
        <w:tc>
          <w:tcPr/>
          <w:p>
            <w:pPr>
              <w:pStyle w:val="Compact"/>
              <w:jc w:val="left"/>
            </w:pPr>
            <w:r>
              <w:t xml:space="preserve">Star 10K+ / 机构客户30+ / ARR 1,000万+</w:t>
            </w:r>
          </w:p>
        </w:tc>
      </w:tr>
      <w:tr>
        <w:tc>
          <w:tcPr/>
          <w:p>
            <w:pPr>
              <w:pStyle w:val="Compact"/>
              <w:jc w:val="left"/>
            </w:pPr>
            <w:r>
              <w:rPr>
                <w:bCs/>
                <w:b/>
              </w:rPr>
              <w:t xml:space="preserve">技术里程碑</w:t>
            </w:r>
          </w:p>
        </w:tc>
        <w:tc>
          <w:tcPr/>
          <w:p>
            <w:pPr>
              <w:pStyle w:val="Compact"/>
              <w:jc w:val="left"/>
            </w:pPr>
            <w:r>
              <w:t xml:space="preserve">Rust核心+Python SDK+HMM基础模型</w:t>
            </w:r>
          </w:p>
        </w:tc>
        <w:tc>
          <w:tcPr/>
          <w:p>
            <w:pPr>
              <w:pStyle w:val="Compact"/>
              <w:jc w:val="left"/>
            </w:pPr>
            <w:r>
              <w:t xml:space="preserve">SaaS上线+GPU 100x+AI Agent+实盘Gateway</w:t>
            </w:r>
          </w:p>
        </w:tc>
        <w:tc>
          <w:tcPr/>
          <w:p>
            <w:pPr>
              <w:pStyle w:val="Compact"/>
              <w:jc w:val="left"/>
            </w:pPr>
            <w:r>
              <w:t xml:space="preserve">双边平台+完备合规+回测Top3</w:t>
            </w:r>
          </w:p>
        </w:tc>
        <w:tc>
          <w:tcPr/>
          <w:p>
            <w:pPr>
              <w:pStyle w:val="Compact"/>
              <w:jc w:val="left"/>
            </w:pPr>
            <w:r>
              <w:t xml:space="preserve">K8s私有化+Kill Switch+券商柜台对接</w:t>
            </w:r>
          </w:p>
        </w:tc>
      </w:tr>
      <w:tr>
        <w:tc>
          <w:tcPr/>
          <w:p>
            <w:pPr>
              <w:pStyle w:val="Compact"/>
              <w:jc w:val="left"/>
            </w:pPr>
            <w:r>
              <w:rPr>
                <w:bCs/>
                <w:b/>
              </w:rPr>
              <w:t xml:space="preserve">收入结构</w:t>
            </w:r>
          </w:p>
        </w:tc>
        <w:tc>
          <w:tcPr/>
          <w:p>
            <w:pPr>
              <w:pStyle w:val="Compact"/>
              <w:jc w:val="left"/>
            </w:pPr>
            <w:r>
              <w:t xml:space="preserve">零收入（投入期50-80万）</w:t>
            </w:r>
          </w:p>
        </w:tc>
        <w:tc>
          <w:tcPr/>
          <w:p>
            <w:pPr>
              <w:pStyle w:val="Compact"/>
              <w:jc w:val="left"/>
            </w:pPr>
            <w:r>
              <w:t xml:space="preserve">SaaS 40%+数据25%+策略15%+企业15%+培训5%</w:t>
            </w:r>
          </w:p>
        </w:tc>
        <w:tc>
          <w:tcPr/>
          <w:p>
            <w:pPr>
              <w:pStyle w:val="Compact"/>
              <w:jc w:val="left"/>
            </w:pPr>
            <w:r>
              <w:t xml:space="preserve">同上，规模放大</w:t>
            </w:r>
          </w:p>
        </w:tc>
        <w:tc>
          <w:tcPr/>
          <w:p>
            <w:pPr>
              <w:pStyle w:val="Compact"/>
              <w:jc w:val="left"/>
            </w:pPr>
            <w:r>
              <w:t xml:space="preserve">机构服务60%+SaaS 20%+数据15%+其他5%</w:t>
            </w:r>
          </w:p>
        </w:tc>
      </w:tr>
      <w:tr>
        <w:tc>
          <w:tcPr/>
          <w:p>
            <w:pPr>
              <w:pStyle w:val="Compact"/>
              <w:jc w:val="left"/>
            </w:pPr>
            <w:r>
              <w:rPr>
                <w:bCs/>
                <w:b/>
              </w:rPr>
              <w:t xml:space="preserve">数据飞轮</w:t>
            </w:r>
          </w:p>
        </w:tc>
        <w:tc>
          <w:tcPr/>
          <w:p>
            <w:pPr>
              <w:pStyle w:val="Compact"/>
              <w:jc w:val="left"/>
            </w:pPr>
            <w:r>
              <w:t xml:space="preserve">启动积累</w:t>
            </w:r>
          </w:p>
        </w:tc>
        <w:tc>
          <w:tcPr/>
          <w:p>
            <w:pPr>
              <w:pStyle w:val="Compact"/>
              <w:jc w:val="left"/>
            </w:pPr>
            <w:r>
              <w:t xml:space="preserve">初步运转（用户→标注数据→模型优化）</w:t>
            </w:r>
          </w:p>
        </w:tc>
        <w:tc>
          <w:tcPr/>
          <w:p>
            <w:pPr>
              <w:pStyle w:val="Compact"/>
              <w:jc w:val="left"/>
            </w:pPr>
            <w:r>
              <w:t xml:space="preserve">加速运转（推荐精度提升→用户留存提升）</w:t>
            </w:r>
          </w:p>
        </w:tc>
        <w:tc>
          <w:tcPr/>
          <w:p>
            <w:pPr>
              <w:pStyle w:val="Compact"/>
              <w:jc w:val="left"/>
            </w:pPr>
            <w:r>
              <w:t xml:space="preserve">形成壁垒（时间不可压缩的数据资产）</w:t>
            </w:r>
          </w:p>
        </w:tc>
      </w:tr>
    </w:tbl>
    <w:p>
      <w:pPr>
        <w:pStyle w:val="BodyText"/>
      </w:pPr>
      <w:r>
        <w:t xml:space="preserve">表5-2将四个阶段的关键维度并列呈现，纵向维度（产品/团队/指标/技术/收入/数据）构成每条独立的演进线，横向时间轴展示各维度从0到36个月的梯度变化。值得关注的是数据飞轮栏——Market State引擎的准确率直接取决于历史状态标注数据的规模，数据飞轮的启动需要12-18个月的积累期</w:t>
      </w:r>
      <w:fldSimple w:instr="NOTEREF _Ref_Footnote_133 \h \f">
        <w:r>
          <w:rPr>
            <w:vertAlign w:val="superscript"/>
          </w:rPr>
          <w:t>133</w:t>
        </w:r>
      </w:fldSimple>
      <w:r>
        <w:t xml:space="preserve">，但一旦运转，其壁垒高度将远超技术层面的差异，因为数据资产具有时间不可压缩性，竞争者无法通过资金或人力在短期内追赶。这一时间窗口正是第三阶段的核心战略机遇期。</w:t>
      </w:r>
    </w:p>
    <w:p>
      <w:pPr>
        <w:pStyle w:val="BodyText"/>
      </w:pPr>
      <w:r>
        <w:t xml:space="preserve">团队扩张节奏严格匹配收入曲线：第一阶段7人（月成本约25万），第二阶段扩至15-20人（月成本约60万），第三阶段达到25-35人（月成本约120万），第四阶段稳定在40-60人（月成本约250万）。第18个月ARR 200万即可覆盖第二阶段人力成本，第30个月ARR 1,000万覆盖第四阶段成本并实现正向现金流。这一扩张节奏确保每一轮团队扩张都有对应的收入里程碑作为支撑，避免”先烧钱再验证”的致命风险。</w:t>
      </w:r>
    </w:p>
    <w:p>
      <w:r>
        <w:pict>
          <v:rect style="width:0;height:1.5pt" o:hralign="center" o:hrstd="t" o:hr="t"/>
        </w:pict>
      </w:r>
    </w:p>
    <w:bookmarkEnd w:id="106"/>
    <w:bookmarkEnd w:id="107"/>
    <w:bookmarkEnd w:id="108"/>
    <w:bookmarkStart w:id="118" w:name="风险分析与应对策略"/>
    <w:p>
      <w:pPr>
        <w:pStyle w:val="Heading2"/>
      </w:pPr>
      <w:r>
        <w:t xml:space="preserve">6. 风险分析与应对策略</w:t>
      </w:r>
    </w:p>
    <w:p>
      <w:pPr>
        <w:pStyle w:val="FirstParagraph"/>
      </w:pPr>
      <w:r>
        <w:t xml:space="preserve">风险管理的本质是在有限信息下将不确定性转化为可管理的行动项。本章从技术、商业和监管三个维度识别关键风险，以概率-影响矩阵为分析框架，为每项风险配备量化评估与应对方案。</w:t>
      </w:r>
    </w:p>
    <w:p>
      <w:pPr>
        <w:pStyle w:val="BodyText"/>
      </w:pPr>
      <w:r>
        <w:rPr>
          <w:bCs/>
          <w:b/>
        </w:rPr>
        <w:t xml:space="preserve">表6-1：项目风险矩阵（概率 × 影响）</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center"/>
            </w:pPr>
            <w:r>
              <w:t xml:space="preserve">概率  影响</w:t>
            </w:r>
          </w:p>
        </w:tc>
        <w:tc>
          <w:tcPr/>
          <w:p>
            <w:pPr>
              <w:pStyle w:val="Compact"/>
              <w:jc w:val="center"/>
            </w:pPr>
            <w:r>
              <w:t xml:space="preserve">低影响</w:t>
            </w:r>
          </w:p>
        </w:tc>
        <w:tc>
          <w:tcPr/>
          <w:p>
            <w:pPr>
              <w:pStyle w:val="Compact"/>
              <w:jc w:val="center"/>
            </w:pPr>
            <w:r>
              <w:t xml:space="preserve">中影响</w:t>
            </w:r>
          </w:p>
        </w:tc>
        <w:tc>
          <w:tcPr/>
          <w:p>
            <w:pPr>
              <w:pStyle w:val="Compact"/>
              <w:jc w:val="center"/>
            </w:pPr>
            <w:r>
              <w:t xml:space="preserve">高影响</w:t>
            </w:r>
          </w:p>
        </w:tc>
      </w:tr>
      <w:tr>
        <w:tc>
          <w:tcPr/>
          <w:p>
            <w:pPr>
              <w:pStyle w:val="Compact"/>
              <w:jc w:val="center"/>
            </w:pPr>
            <w:r>
              <w:rPr>
                <w:bCs/>
                <w:b/>
              </w:rPr>
              <w:t xml:space="preserve">高概率</w:t>
            </w:r>
          </w:p>
        </w:tc>
        <w:tc>
          <w:tcPr/>
          <w:p>
            <w:pPr>
              <w:pStyle w:val="Compact"/>
              <w:jc w:val="center"/>
            </w:pPr>
            <w:r>
              <w:t xml:space="preserve">—</w:t>
            </w:r>
          </w:p>
        </w:tc>
        <w:tc>
          <w:tcPr/>
          <w:p>
            <w:pPr>
              <w:pStyle w:val="Compact"/>
              <w:jc w:val="center"/>
            </w:pPr>
            <w:r>
              <w:t xml:space="preserve">市场教育成本高</w:t>
            </w:r>
          </w:p>
        </w:tc>
        <w:tc>
          <w:tcPr/>
          <w:p>
            <w:pPr>
              <w:pStyle w:val="Compact"/>
              <w:jc w:val="center"/>
            </w:pPr>
            <w:r>
              <w:t xml:space="preserve">回测-实盘偏差、竞品模仿</w:t>
            </w:r>
          </w:p>
        </w:tc>
      </w:tr>
      <w:tr>
        <w:tc>
          <w:tcPr/>
          <w:p>
            <w:pPr>
              <w:pStyle w:val="Compact"/>
              <w:jc w:val="center"/>
            </w:pPr>
            <w:r>
              <w:rPr>
                <w:bCs/>
                <w:b/>
              </w:rPr>
              <w:t xml:space="preserve">中概率</w:t>
            </w:r>
          </w:p>
        </w:tc>
        <w:tc>
          <w:tcPr/>
          <w:p>
            <w:pPr>
              <w:pStyle w:val="Compact"/>
              <w:jc w:val="center"/>
            </w:pPr>
            <w:r>
              <w:t xml:space="preserve">—</w:t>
            </w:r>
          </w:p>
        </w:tc>
        <w:tc>
          <w:tcPr/>
          <w:p>
            <w:pPr>
              <w:pStyle w:val="Compact"/>
              <w:jc w:val="center"/>
            </w:pPr>
            <w:r>
              <w:t xml:space="preserve">Rust人才稀缺</w:t>
            </w:r>
          </w:p>
        </w:tc>
        <w:tc>
          <w:tcPr/>
          <w:p>
            <w:pPr>
              <w:pStyle w:val="Compact"/>
              <w:jc w:val="center"/>
            </w:pPr>
            <w:r>
              <w:t xml:space="preserve">数据合规</w:t>
            </w:r>
          </w:p>
        </w:tc>
      </w:tr>
      <w:tr>
        <w:tc>
          <w:tcPr/>
          <w:p>
            <w:pPr>
              <w:pStyle w:val="Compact"/>
              <w:jc w:val="center"/>
            </w:pPr>
            <w:r>
              <w:rPr>
                <w:bCs/>
                <w:b/>
              </w:rPr>
              <w:t xml:space="preserve">低概率</w:t>
            </w:r>
          </w:p>
        </w:tc>
        <w:tc>
          <w:tcPr/>
          <w:p>
            <w:pPr>
              <w:pStyle w:val="Compact"/>
              <w:jc w:val="center"/>
            </w:pPr>
            <w:r>
              <w:t xml:space="preserve">—</w:t>
            </w:r>
          </w:p>
        </w:tc>
        <w:tc>
          <w:tcPr/>
          <w:p>
            <w:pPr>
              <w:pStyle w:val="Compact"/>
              <w:jc w:val="center"/>
            </w:pPr>
            <w:r>
              <w:t xml:space="preserve">—</w:t>
            </w:r>
          </w:p>
        </w:tc>
        <w:tc>
          <w:tcPr/>
          <w:p>
            <w:pPr>
              <w:pStyle w:val="Compact"/>
              <w:jc w:val="center"/>
            </w:pPr>
            <w:r>
              <w:t xml:space="preserve">高频交易认定</w:t>
            </w:r>
          </w:p>
        </w:tc>
      </w:tr>
    </w:tbl>
    <w:p>
      <w:pPr>
        <w:pStyle w:val="BodyText"/>
      </w:pPr>
      <w:r>
        <w:t xml:space="preserve">上表将六项核心风险映射到三×三矩阵。高概率-高影响象限占据两项——回测-实盘偏差与竞品模仿，构成”红色警报区”，需投入最多管理资源。中概率-高影响的数据合规虽发生概率有限，一旦触发将产生不可逆的法律后果。高频交易认定通过产品设计层面的主动避让可降至可忽略水平。以下按三大维度逐项展开。</w:t>
      </w:r>
    </w:p>
    <w:bookmarkStart w:id="111" w:name="技术风险"/>
    <w:p>
      <w:pPr>
        <w:pStyle w:val="Heading3"/>
      </w:pPr>
      <w:r>
        <w:t xml:space="preserve">6.1 技术风险</w:t>
      </w:r>
    </w:p>
    <w:bookmarkStart w:id="109" w:name="rust人才稀缺通过pyo3降低门槛核心团队招聘与社区贡献者培养"/>
    <w:p>
      <w:pPr>
        <w:pStyle w:val="Heading4"/>
      </w:pPr>
      <w:r>
        <w:t xml:space="preserve">6.1.1 Rust人才稀缺：通过PyO3降低门槛、核心团队招聘与社区贡献者培养</w:t>
      </w:r>
    </w:p>
    <w:p>
      <w:pPr>
        <w:pStyle w:val="FirstParagraph"/>
      </w:pPr>
      <w:r>
        <w:t xml:space="preserve">Rust在量化开发社区中的渗透率仍处于早期阶段。尽管Rust核心可带来数量级性能提升——RaptorBT实现5,827倍加速</w:t>
      </w:r>
      <w:fldSimple w:instr="NOTEREF _Ref_Footnote_78 \h \f">
        <w:r>
          <w:rPr>
            <w:vertAlign w:val="superscript"/>
          </w:rPr>
          <w:t>78</w:t>
        </w:r>
      </w:fldSimple>
      <w:r>
        <w:t xml:space="preserve">，VnpyRS实现7%—87%额外加速</w:t>
      </w:r>
      <w:fldSimple w:instr="NOTEREF _Ref_Footnote_77 \h \f">
        <w:r>
          <w:rPr>
            <w:vertAlign w:val="superscript"/>
          </w:rPr>
          <w:t>77</w:t>
        </w:r>
      </w:fldSimple>
      <w:r>
        <w:t xml:space="preserve">——但同时掌握Rust编程与金融工程知识的复合型人才占比不足5%，核心引擎岗位招聘周期长达2—3个月。</w:t>
      </w:r>
    </w:p>
    <w:p>
      <w:pPr>
        <w:pStyle w:val="BodyText"/>
      </w:pPr>
      <w:r>
        <w:t xml:space="preserve">此风险的概率评估为”中”，其影响可通过架构设计显著缓释。系统采用PyO3绑定实现Python与Rust双向调用</w:t>
      </w:r>
      <w:fldSimple w:instr="NOTEREF _Ref_Footnote_76 \h \f">
        <w:r>
          <w:rPr>
            <w:vertAlign w:val="superscript"/>
          </w:rPr>
          <w:t>76</w:t>
        </w:r>
      </w:fldSimple>
      <w:r>
        <w:t xml:space="preserve">，策略开发者在Python层编写逻辑，Rust引擎负责高性能计算，</w:t>
      </w:r>
      <w:r>
        <w:t xml:space="preserve">“</w:t>
      </w:r>
      <w:r>
        <w:t xml:space="preserve">透明加速</w:t>
      </w:r>
      <w:r>
        <w:t xml:space="preserve">”</w:t>
      </w:r>
      <w:r>
        <w:t xml:space="preserve">设计将Rust技能需求从”全员必备”压缩至”核心团队限定”（3—4人）。</w:t>
      </w:r>
    </w:p>
    <w:p>
      <w:pPr>
        <w:pStyle w:val="BodyText"/>
      </w:pPr>
      <w:r>
        <w:t xml:space="preserve">应对方案分三层：核心团队招聘，锁定具备C++/系统编程背景的量化开发者，通过3—6个月内部培训完成Rust技能迁移；社区贡献者培养，开源核心引擎吸引全球Rust开发者参与，vn.py的3,000+社区贡献者先例证明开源模式可将人才获取半径大幅扩展</w:t>
      </w:r>
      <w:fldSimple w:instr="NOTEREF _Ref_Footnote_22 \h \f">
        <w:r>
          <w:rPr>
            <w:vertAlign w:val="superscript"/>
          </w:rPr>
          <w:t>22</w:t>
        </w:r>
      </w:fldSimple>
      <w:r>
        <w:t xml:space="preserve">；技术路径冗余，核心引擎保留C++兼容接口，在极端人才短缺场景下可通过FFI对接C++实现过渡</w:t>
      </w:r>
      <w:fldSimple w:instr="NOTEREF _Ref_Footnote_100 \h \f">
        <w:r>
          <w:rPr>
            <w:vertAlign w:val="superscript"/>
          </w:rPr>
          <w:t>100</w:t>
        </w:r>
      </w:fldSimple>
      <w:r>
        <w:t xml:space="preserve">。</w:t>
      </w:r>
    </w:p>
    <w:bookmarkEnd w:id="109"/>
    <w:bookmarkStart w:id="110" w:name="回测-实盘偏差多层验证体系与渐进式实盘部署"/>
    <w:p>
      <w:pPr>
        <w:pStyle w:val="Heading4"/>
      </w:pPr>
      <w:r>
        <w:t xml:space="preserve">6.1.2 回测-实盘偏差：多层验证体系与渐进式实盘部署</w:t>
      </w:r>
    </w:p>
    <w:p>
      <w:pPr>
        <w:pStyle w:val="FirstParagraph"/>
      </w:pPr>
      <w:r>
        <w:t xml:space="preserve">回测与实盘表现的结构性偏差是量化行业最顽固的难题。回测胜率普遍处于38%—94%，实盘骤降至20%—50%</w:t>
      </w:r>
      <w:r>
        <w:rPr>
          <w:vertAlign w:val="superscript"/>
        </w:rPr>
        <w:footnoteReference w:id="136"/>
      </w:r>
      <w:r>
        <w:t xml:space="preserve">，根源在于regime shift被传统框架系统性忽略。忽略体制转换的策略每年产生2%—10%隐性成本</w:t>
      </w:r>
      <w:fldSimple w:instr="NOTEREF _Ref_Footnote_45 \h \f">
        <w:r>
          <w:rPr>
            <w:vertAlign w:val="superscript"/>
          </w:rPr>
          <w:t>45</w:t>
        </w:r>
      </w:fldSimple>
      <w:r>
        <w:t xml:space="preserve">。此风险概率为”高”——即使系统内置Market State引擎，市场本身的结构性突变仍不可完全预测；影响为”高”——偏差过大会直接摧毁用户信任与产品核心卖点。</w:t>
      </w:r>
    </w:p>
    <w:p>
      <w:pPr>
        <w:pStyle w:val="BodyText"/>
      </w:pPr>
      <w:r>
        <w:t xml:space="preserve">应对方案围绕”减小偏差 + 管理预期”展开。技术上构建四层验证体系：Walk-Forward分析——所有策略须在滚动样本外窗口通过稳定性检验，否则禁止进入实盘候选池；影子交易——实盘前强制至少3个月纸面交易验证，系统并行运行实盘与模拟撮合器，日度监控偏差指标</w:t>
      </w:r>
      <w:fldSimple w:instr="NOTEREF _Ref_Footnote_104 \h \f">
        <w:r>
          <w:rPr>
            <w:vertAlign w:val="superscript"/>
          </w:rPr>
          <w:t>104</w:t>
        </w:r>
      </w:fldSimple>
      <w:r>
        <w:t xml:space="preserve">；渐进式仓位部署——初始仓位不超过回测最优的20%，连续3个月表现符合预测区间后逐步提升至100%；regime-aware自动降级——当Market State引擎检测到当前体制与训练期差异度超阈值时，自动触发仓位缩减或策略切换</w:t>
      </w:r>
      <w:fldSimple w:instr="NOTEREF _Ref_Footnote_45 \h \f">
        <w:r>
          <w:rPr>
            <w:vertAlign w:val="superscript"/>
          </w:rPr>
          <w:t>45</w:t>
        </w:r>
      </w:fldSimple>
      <w:r>
        <w:t xml:space="preserve">。预期管理上，回测报告主动披露偏差风险指标（体制匹配度评分、历史样本外衰减率），引导用户将预期从”回测=未来”调整为”回测=限定条件下的概率估计”。</w:t>
      </w:r>
    </w:p>
    <w:bookmarkEnd w:id="110"/>
    <w:bookmarkEnd w:id="111"/>
    <w:bookmarkStart w:id="114" w:name="商业风险"/>
    <w:p>
      <w:pPr>
        <w:pStyle w:val="Heading3"/>
      </w:pPr>
      <w:r>
        <w:t xml:space="preserve">6.2 商业风险</w:t>
      </w:r>
    </w:p>
    <w:bookmarkStart w:id="112" w:name="竞品模仿专利保护miss算法开源社区锁定与数据飞轮时间壁垒"/>
    <w:p>
      <w:pPr>
        <w:pStyle w:val="Heading4"/>
      </w:pPr>
      <w:r>
        <w:t xml:space="preserve">6.2.1 竞品模仿：专利保护MISS算法、开源社区锁定与数据飞轮时间壁垒</w:t>
      </w:r>
    </w:p>
    <w:p>
      <w:pPr>
        <w:pStyle w:val="FirstParagraph"/>
      </w:pPr>
      <w:r>
        <w:t xml:space="preserve">Market State引擎和MISS框架的技术门槛虽高，但头部平台（聚宽50万用户</w:t>
      </w:r>
      <w:fldSimple w:instr="NOTEREF _Ref_Footnote_8 \h \f">
        <w:r>
          <w:rPr>
            <w:vertAlign w:val="superscript"/>
          </w:rPr>
          <w:t>8</w:t>
        </w:r>
      </w:fldSimple>
      <w:r>
        <w:t xml:space="preserve">、vn.py 28,400 Star</w:t>
      </w:r>
      <w:fldSimple w:instr="NOTEREF _Ref_Footnote_21 \h \f">
        <w:r>
          <w:rPr>
            <w:vertAlign w:val="superscript"/>
          </w:rPr>
          <w:t>21</w:t>
        </w:r>
      </w:fldSimple>
      <w:r>
        <w:t xml:space="preserve">）推出对标功能的周期预估为12—18个月。此风险概率”高”、影响”高”——差异化一旦被抹平，产品将陷入同质化竞争。</w:t>
      </w:r>
    </w:p>
    <w:p>
      <w:pPr>
        <w:pStyle w:val="BodyText"/>
      </w:pPr>
      <w:r>
        <w:t xml:space="preserve">应对方案构建三重护城河。算法壁垒——将MISS框架核心算法（状态空间定义、四维度拆解、策略映射引擎）申请发明专利，20年保护周期覆盖核心商业化阶段。社区锁定——核心引擎MIT许可证开源</w:t>
      </w:r>
      <w:fldSimple w:instr="NOTEREF _Ref_Footnote_129 \h \f">
        <w:r>
          <w:rPr>
            <w:vertAlign w:val="superscript"/>
          </w:rPr>
          <w:t>129</w:t>
        </w:r>
      </w:fldSimple>
      <w:r>
        <w:t xml:space="preserve">，vn.py的案例表明，28,400 Star和3,000+贡献者形成的生态迁移成本极高</w:t>
      </w:r>
      <w:fldSimple w:instr="NOTEREF _Ref_Footnote_21 \h \f">
        <w:r>
          <w:rPr>
            <w:vertAlign w:val="superscript"/>
          </w:rPr>
          <w:t>21</w:t>
        </w:r>
      </w:fldSimple>
      <w:r>
        <w:t xml:space="preserve">，竞争者即使功能追平也难以撼动社区根基，1,000+活跃贡献者的临界点后锁定效应呈指数级增强。数据飞轮——用户使用Market State和MISS时，系统自动积累状态标注数据和策略-状态映射数据</w:t>
      </w:r>
      <w:fldSimple w:instr="NOTEREF _Ref_Footnote_133 \h \f">
        <w:r>
          <w:rPr>
            <w:vertAlign w:val="superscript"/>
          </w:rPr>
          <w:t>133</w:t>
        </w:r>
      </w:fldSimple>
      <w:r>
        <w:t xml:space="preserve">，这些数据资产具有不可压缩的时间属性，竞争者无法在短期内追赶。三重壁垒的叠加使竞争者在任何时间窗口进入都面临多重障碍。</w:t>
      </w:r>
    </w:p>
    <w:bookmarkEnd w:id="112"/>
    <w:bookmarkStart w:id="113" w:name="市场教育成本高免费tier降低门槛与内容营销案例驱动增长"/>
    <w:p>
      <w:pPr>
        <w:pStyle w:val="Heading4"/>
      </w:pPr>
      <w:r>
        <w:t xml:space="preserve">6.2.2 市场教育成本高：免费tier降低门槛与内容营销、案例驱动增长</w:t>
      </w:r>
    </w:p>
    <w:p>
      <w:pPr>
        <w:pStyle w:val="FirstParagraph"/>
      </w:pPr>
      <w:r>
        <w:t xml:space="preserve">MISS框架和Market State引擎在目标用户群中的认知度接近于零。WorldQuant BRAIN通过21,000用户和9,300万次模拟操作才建立起因子挖掘的全球认知</w:t>
      </w:r>
      <w:fldSimple w:instr="NOTEREF _Ref_Footnote_132 \h \f">
        <w:r>
          <w:rPr>
            <w:vertAlign w:val="superscript"/>
          </w:rPr>
          <w:t>132</w:t>
        </w:r>
      </w:fldSimple>
      <w:r>
        <w:t xml:space="preserve">。此风险概率”高”，但影响”中”——教育成本高不会直接导致产品失败，仅延缓渗透速度。</w:t>
      </w:r>
    </w:p>
    <w:p>
      <w:pPr>
        <w:pStyle w:val="BodyText"/>
      </w:pPr>
      <w:r>
        <w:t xml:space="preserve">应对方案的核心逻辑是”降低体验门槛 + 用成功案例替代说教”。免费层将基础Market State识别（趋势/震荡二分类）作为永久免费功能，用户零成本体验”策略看懂市场”的价值，付费墙设在四维度识别功能处。案例驱动——系统内置3—5个经实盘验证的regime-aware策略模板，新用户15分钟内即可运行预置策略，直观对比有无Market State识别的回测差异。内容营销——技术博客和白皮书深度解析MISS框架，量化大赛围绕Market State识别设计赛题，GitLab Hackathon数据显示此类活动可将社区活跃度提升42%</w:t>
      </w:r>
      <w:fldSimple w:instr="NOTEREF _Ref_Footnote_131 \h \f">
        <w:r>
          <w:rPr>
            <w:vertAlign w:val="superscript"/>
          </w:rPr>
          <w:t>131</w:t>
        </w:r>
      </w:fldSimple>
      <w:r>
        <w:t xml:space="preserve">。</w:t>
      </w:r>
    </w:p>
    <w:bookmarkEnd w:id="113"/>
    <w:bookmarkEnd w:id="114"/>
    <w:bookmarkStart w:id="117" w:name="监管风险"/>
    <w:p>
      <w:pPr>
        <w:pStyle w:val="Heading3"/>
      </w:pPr>
      <w:r>
        <w:t xml:space="preserve">6.3 监管风险</w:t>
      </w:r>
    </w:p>
    <w:bookmarkStart w:id="115" w:name="高频交易认定产品设计远离300笔秒红线主动向监管报备沟通"/>
    <w:p>
      <w:pPr>
        <w:pStyle w:val="Heading4"/>
      </w:pPr>
      <w:r>
        <w:t xml:space="preserve">6.3.1 高频交易认定：产品设计远离300笔/秒红线、主动向监管报备沟通</w:t>
      </w:r>
    </w:p>
    <w:p>
      <w:pPr>
        <w:pStyle w:val="FirstParagraph"/>
      </w:pPr>
      <w:r>
        <w:t xml:space="preserve">《证券市场程序化交易管理规定（试行）》将高频交易认定标准设定为每秒300笔申报/撤单或全日20,000笔</w:t>
      </w:r>
      <w:fldSimple w:instr="NOTEREF _Ref_Footnote_39 \h \f">
        <w:r>
          <w:rPr>
            <w:vertAlign w:val="superscript"/>
          </w:rPr>
          <w:t>39</w:t>
        </w:r>
      </w:fldSimple>
      <w:r>
        <w:t xml:space="preserve"> </w:t>
      </w:r>
      <w:fldSimple w:instr="NOTEREF _Ref_Footnote_34 \h \f">
        <w:r>
          <w:rPr>
            <w:vertAlign w:val="superscript"/>
          </w:rPr>
          <w:t>34</w:t>
        </w:r>
      </w:fldSimple>
      <w:r>
        <w:t xml:space="preserve">。一旦被认定，需额外报告服务器所在地、系统测试报告等信息</w:t>
      </w:r>
      <w:fldSimple w:instr="NOTEREF _Ref_Footnote_35 \h \f">
        <w:r>
          <w:rPr>
            <w:vertAlign w:val="superscript"/>
          </w:rPr>
          <w:t>35</w:t>
        </w:r>
      </w:fldSimple>
      <w:r>
        <w:t xml:space="preserve">，且面临差异化收费和穿透式监管。此风险概率”低”——系统定位为策略研发回测工具，实盘执行通过vn.py、CTP等成熟通道完成，系统本身不产生报单流量；影响”高”——误判将触发额外合规审查。</w:t>
      </w:r>
    </w:p>
    <w:p>
      <w:pPr>
        <w:pStyle w:val="BodyText"/>
      </w:pPr>
      <w:r>
        <w:t xml:space="preserve">应对方案聚焦产品定位的主动隔离。架构层面明确划分”回测”与”交易执行”边界——回测引擎运行离线环境，不直接对接交易所报单网关，实盘订单通过标准Gateway路由至券商柜台系统。主动监管沟通——产品上线前向证监会及交易所提交系统功能说明，明确回测定位与交易执行的分离架构，取得 preemptive clearance。内置合规提示——当用户策略预估报单频率接近300笔/秒阈值时，系统自动弹出预警，建议调整参数或分批执行。</w:t>
      </w:r>
    </w:p>
    <w:bookmarkEnd w:id="115"/>
    <w:bookmarkStart w:id="116" w:name="数据合规数据安全法分级保护个人信息保护与跨境传输合规"/>
    <w:p>
      <w:pPr>
        <w:pStyle w:val="Heading4"/>
      </w:pPr>
      <w:r>
        <w:t xml:space="preserve">6.3.2 数据合规：《数据安全法》分级保护、个人信息保护与跨境传输合规</w:t>
      </w:r>
    </w:p>
    <w:p>
      <w:pPr>
        <w:pStyle w:val="FirstParagraph"/>
      </w:pPr>
      <w:r>
        <w:t xml:space="preserve">数据合规涵盖三个层面：《数据安全法》分级保护、《个人信息保护法》以及金融数据跨境传输合规。量化交易数据保存要求已提升至不少于20年</w:t>
      </w:r>
      <w:fldSimple w:instr="NOTEREF _Ref_Footnote_40 \h \f">
        <w:r>
          <w:rPr>
            <w:vertAlign w:val="superscript"/>
          </w:rPr>
          <w:t>40</w:t>
        </w:r>
      </w:fldSimple>
      <w:r>
        <w:t xml:space="preserve">，全球年可疑交易报告超2,000万份</w:t>
      </w:r>
      <w:fldSimple w:instr="NOTEREF _Ref_Footnote_42 \h \f">
        <w:r>
          <w:rPr>
            <w:vertAlign w:val="superscript"/>
          </w:rPr>
          <w:t>42</w:t>
        </w:r>
      </w:fldSimple>
      <w:r>
        <w:t xml:space="preserve">。此风险概率”中”、影响”高”——数据事故虽不频发，一旦发生将产生行政处罚与商业信誉双重损失。</w:t>
      </w:r>
    </w:p>
    <w:p>
      <w:pPr>
        <w:pStyle w:val="BodyText"/>
      </w:pPr>
      <w:r>
        <w:t xml:space="preserve">应对方案采用”预防为主、制度先行”。数据分级体系——策略代码和交易记录列为”核心数据”（加密存储+双因素认证），状态标注数据列为”重要数据”（脱敏后用于训练），系统日志列为”一般数据”。个人信息最小化——注册仅收集必要信息，策略数据本地化存储（个人版存用户本地、机构版私有化部署），平台不采集用户策略的底层逻辑，从架构上消除”平台窥探策略”的可能。跨境传输——所有数据默认境内存储，机构版私有化部署确保数据不出场，仅完全脱敏的群体级统计数据可考虑跨境传输。自动合规报告——系统每日盘后自动生成监管格式报送文件，将人工准备时间从数小时压缩至分钟级</w:t>
      </w:r>
      <w:fldSimple w:instr="NOTEREF _Ref_Footnote_35 \h \f">
        <w:r>
          <w:rPr>
            <w:vertAlign w:val="superscript"/>
          </w:rPr>
          <w:t>35</w:t>
        </w:r>
      </w:fldSimple>
      <w:r>
        <w:t xml:space="preserve">，降低人为疏忽导致的合规遗漏。</w:t>
      </w:r>
    </w:p>
    <w:p>
      <w:r>
        <w:pict>
          <v:rect style="width:0;height:1.5pt" o:hralign="center" o:hrstd="t" o:hr="t"/>
        </w:pict>
      </w:r>
    </w:p>
    <w:bookmarkEnd w:id="116"/>
    <w:bookmarkEnd w:id="117"/>
    <w:bookmarkEnd w:id="118"/>
    <w:bookmarkStart w:id="126" w:name="结论与建议"/>
    <w:p>
      <w:pPr>
        <w:pStyle w:val="Heading2"/>
      </w:pPr>
      <w:r>
        <w:t xml:space="preserve">7. 结论与建议</w:t>
      </w:r>
    </w:p>
    <w:bookmarkStart w:id="121" w:name="核心结论"/>
    <w:p>
      <w:pPr>
        <w:pStyle w:val="Heading3"/>
      </w:pPr>
      <w:r>
        <w:t xml:space="preserve">7.1 核心结论</w:t>
      </w:r>
    </w:p>
    <w:bookmarkStart w:id="119" w:name="market-state-miss-加速踏板构成三位一体的技术差异化"/>
    <w:p>
      <w:pPr>
        <w:pStyle w:val="Heading4"/>
      </w:pPr>
      <w:r>
        <w:t xml:space="preserve">7.1.1 Market State + MISS + 加速踏板构成三位一体的技术差异化</w:t>
      </w:r>
    </w:p>
    <w:p>
      <w:pPr>
        <w:pStyle w:val="FirstParagraph"/>
      </w:pPr>
      <w:r>
        <w:t xml:space="preserve">本研究的核心发现是：现有量化回测平台存在一个根本性的能力盲区——它们都在回答”策略在历史数据上表现如何”，但没有人回答”策略在当前市场状态下应该怎么调整”。</w:t>
      </w:r>
    </w:p>
    <w:p>
      <w:pPr>
        <w:pStyle w:val="BodyText"/>
      </w:pPr>
      <w:r>
        <w:t xml:space="preserve">竞品扫描验证了这一点。聚宽（50万用户）、掘金（本地部署）、vn.py（28,400 Star）、QuantConnect（318K用户）、BigQuant、米筐六大主流平台中，没有任何一家将市场状态识别作为核心功能集成。原因明确：技术门槛高（HMM/AFRN-HyperFlow的复合知识）、开发周期长（2-3年）、市场教育成本高。而这恰恰构成了本系统不可复制的差异化空间。</w:t>
      </w:r>
    </w:p>
    <w:p>
      <w:pPr>
        <w:pStyle w:val="BodyText"/>
      </w:pPr>
      <w:r>
        <w:rPr>
          <w:bCs/>
          <w:b/>
        </w:rPr>
        <w:t xml:space="preserve">Market State引擎</w:t>
      </w:r>
      <w:r>
        <w:t xml:space="preserve">是差异化之”脑”。AFRN-HyperFlow以87.2%的检测准确率、2.8个交易日的平均滞后和8.4%的假阳性率，在四项核心指标上全面超越HMM基线。实证数据显示，将状态感知引入资产配置可将最大回撤从56%压缩至24%，信息比率从0.05提升至0.44。多周期协同架构进一步将综合胜率从单周期的45%提升至60%-75%。这不是”更快”的回测，而是”更聪明”的回测。</w:t>
      </w:r>
    </w:p>
    <w:p>
      <w:pPr>
        <w:pStyle w:val="BodyText"/>
      </w:pPr>
      <w:r>
        <w:rPr>
          <w:bCs/>
          <w:b/>
        </w:rPr>
        <w:t xml:space="preserve">MISS框架</w:t>
      </w:r>
      <w:r>
        <w:t xml:space="preserve">是差异化之”眼”。四维度（价格结构/波动率/流动性/信息流）×25子状态×1,440种组合，将分散的市场分析方法整合为统一的可计算框架，使策略选择从”经验驱动”转向”数据驱动”。MISS的原创性不在于状态检测本身（HMM等方法已成熟），而在于建立从”市场语义”到”策略动作”的直接映射——类似于自然语言处理中从”语义理解”到”动作执行”的pipeline。这一框架具备专利注册价值，可形成算法壁垒。</w:t>
      </w:r>
    </w:p>
    <w:p>
      <w:pPr>
        <w:pStyle w:val="BodyText"/>
      </w:pPr>
      <w:r>
        <w:rPr>
          <w:bCs/>
          <w:b/>
        </w:rPr>
        <w:t xml:space="preserve">加速踏板</w:t>
      </w:r>
      <w:r>
        <w:t xml:space="preserve">是差异化之”腿”。RaptorBT实现5,827倍加速，且Rust核心、向量化计算、GPU并行三层的加速比是相乘而非相加。这一性能优势不是营销噱头，而是分层架构的必然产物——它使大规模参数扫描和Monte Carlo模拟从”算不起”变为”算得快”，直接决定AI策略发现功能的商业可行性。</w:t>
      </w:r>
    </w:p>
    <w:p>
      <w:pPr>
        <w:pStyle w:val="BodyText"/>
      </w:pPr>
      <w:r>
        <w:t xml:space="preserve">三者的组合构成完整的差异化三角：Market State识别市场体制，MISS拆解市场信息，加速踏板让复杂计算可负担。竞品模仿单一模块的周期为12-18个月，而三者协同的系统性壁垒使任何追赶者都面临技术、数据和生态三重障碍。</w:t>
      </w:r>
    </w:p>
    <w:bookmarkEnd w:id="119"/>
    <w:bookmarkStart w:id="120" w:name="开源核心机构服务是最可行的商业化路径"/>
    <w:p>
      <w:pPr>
        <w:pStyle w:val="Heading4"/>
      </w:pPr>
      <w:r>
        <w:t xml:space="preserve">7.1.2 开源核心+机构服务是最可行的商业化路径</w:t>
      </w:r>
    </w:p>
    <w:p>
      <w:pPr>
        <w:pStyle w:val="FirstParagraph"/>
      </w:pPr>
      <w:r>
        <w:t xml:space="preserve">量化平台的商业化遵循一条被验证过多次的路径：开源核心吸引开发者，社区形成网络效应，机构需求自然产生。vn.py的28,400 GitHub Star和3,000+社区贡献者证明，社区驱动模式的获客成本趋近于零。Open Core模式（核心引擎MIT开源+企业功能闭源付费）的开发者产品粘性高于行业中位数，净收入留存率可超过120%。</w:t>
      </w:r>
    </w:p>
    <w:p>
      <w:pPr>
        <w:pStyle w:val="BodyText"/>
      </w:pPr>
      <w:r>
        <w:t xml:space="preserve">五维营收模型的设计使收入结构天然对冲单一渠道风险：订阅服务（40%）提供基础现金流，数据服务（25%）发挥规模效应，策略生态（15%）构建双边网络，企业服务（15%）贡献核心利润，培训认证（5%）承担获客功能。机构客户的生命周期价值是个人用户的50-200倍，但其采购决策高度依赖社区口碑和品牌信任——这意味着C端开源投入不是成本，而是B端收入的前置投资。</w:t>
      </w:r>
    </w:p>
    <w:p>
      <w:pPr>
        <w:pStyle w:val="BodyText"/>
      </w:pPr>
      <w:r>
        <w:t xml:space="preserve">长期来看，数据飞轮效应构成最坚固的竞争壁垒。用户使用Market State引擎和MISS框架进行回测时，系统自动积累市场状态标注数据和策略-状态映射数据。这些数据资产具有时间不可压缩性，竞争者无法通过资金或人力在短期内追赶。数据飞轮的启动需要12-18个月，但一旦运转，壁垒高度将远超技术层面的差异。</w:t>
      </w:r>
    </w:p>
    <w:bookmarkEnd w:id="120"/>
    <w:bookmarkEnd w:id="121"/>
    <w:bookmarkStart w:id="125" w:name="行动建议-1"/>
    <w:p>
      <w:pPr>
        <w:pStyle w:val="Heading3"/>
      </w:pPr>
      <w:r>
        <w:t xml:space="preserve">7.2 行动建议</w:t>
      </w:r>
    </w:p>
    <w:bookmarkStart w:id="122" w:name="立即启动开源mvp开发社区建设种子用户招募"/>
    <w:p>
      <w:pPr>
        <w:pStyle w:val="Heading4"/>
      </w:pPr>
      <w:r>
        <w:t xml:space="preserve">7.2.1 立即启动：开源MVP开发+社区建设+种子用户招募</w:t>
      </w:r>
    </w:p>
    <w:p>
      <w:pPr>
        <w:pStyle w:val="FirstParagraph"/>
      </w:pPr>
      <w:r>
        <w:rPr>
          <w:bCs/>
          <w:b/>
        </w:rPr>
        <w:t xml:space="preserve">即刻行动（第1-2周）</w:t>
      </w:r>
      <w:r>
        <w:t xml:space="preserve">：组建5-7人核心团队——2名Rust后端工程师负责引擎核心，2名Python策略工程师负责SDK与MISS框架实现，1名前端工程师搭建Dashboard，1名产品经理统筹社区运营与文档体系。月人力成本预算21-31万元。</w:t>
      </w:r>
    </w:p>
    <w:p>
      <w:pPr>
        <w:pStyle w:val="BodyText"/>
      </w:pPr>
      <w:r>
        <w:rPr>
          <w:bCs/>
          <w:b/>
        </w:rPr>
        <w:t xml:space="preserve">并行启动三项工作</w:t>
      </w:r>
      <w:r>
        <w:t xml:space="preserve">：Rust核心回测引擎的代码仓库初始化（GitHub开源），量化开发者社群（Discord/微信群）的创建与种子用户招募，以及3-5家中小型量化私募的初步接触。种子用户筛选标准：管理规模5,000万-5亿元、有Python策略开发经验、对回测速度有明确痛点。</w:t>
      </w:r>
    </w:p>
    <w:bookmarkEnd w:id="122"/>
    <w:bookmarkStart w:id="123" w:name="个月内完成核心回测引擎market-state引擎的poc验证"/>
    <w:p>
      <w:pPr>
        <w:pStyle w:val="Heading4"/>
      </w:pPr>
      <w:r>
        <w:t xml:space="preserve">7.2.2 3个月内：完成核心回测引擎+Market State引擎的PoC验证</w:t>
      </w:r>
    </w:p>
    <w:p>
      <w:pPr>
        <w:pStyle w:val="FirstParagraph"/>
      </w:pPr>
      <w:r>
        <w:rPr>
          <w:bCs/>
          <w:b/>
        </w:rPr>
        <w:t xml:space="preserve">技术交付物</w:t>
      </w:r>
      <w:r>
        <w:t xml:space="preserve">：支持日线/分钟线回测的Rust核心引擎v0.1（通过PyO3绑定Python），HMM三状态检测准确率达到≥70%（对标学术基准74.8%），MISS框架v1完成四维拆解模型的编码实现和基础策略匹配API。</w:t>
      </w:r>
    </w:p>
    <w:p>
      <w:pPr>
        <w:pStyle w:val="BodyText"/>
      </w:pPr>
      <w:r>
        <w:rPr>
          <w:bCs/>
          <w:b/>
        </w:rPr>
        <w:t xml:space="preserve">验证标准</w:t>
      </w:r>
      <w:r>
        <w:t xml:space="preserve">：选择2-3个种子机构的现有策略作为基准测试用例——在有无Market State识别的条件下运行同一组策略，对比回测结果的夏普比率差异和最大回撤差异。PoC成功标准为：引入状态感知后至少一个测试策略的夏普比率提升≥15%或最大回撤降低≥10%。</w:t>
      </w:r>
    </w:p>
    <w:p>
      <w:pPr>
        <w:pStyle w:val="BodyText"/>
      </w:pPr>
      <w:r>
        <w:rPr>
          <w:bCs/>
          <w:b/>
        </w:rPr>
        <w:t xml:space="preserve">社区指标</w:t>
      </w:r>
      <w:r>
        <w:t xml:space="preserve">：GitHub Star突破300，核心贡献者（提交过PR或Issue）≥20人，技术博客发布≥5篇（主题涵盖Market State原理、MISS框架介绍、Rust回测引擎实践）。</w:t>
      </w:r>
    </w:p>
    <w:bookmarkEnd w:id="123"/>
    <w:bookmarkStart w:id="124" w:name="个月内开源发布saas内测首批机构客户签约"/>
    <w:p>
      <w:pPr>
        <w:pStyle w:val="Heading4"/>
      </w:pPr>
      <w:r>
        <w:t xml:space="preserve">7.2.3 6个月内：开源发布+SaaS内测+首批机构客户签约</w:t>
      </w:r>
    </w:p>
    <w:p>
      <w:pPr>
        <w:pStyle w:val="FirstParagraph"/>
      </w:pPr>
      <w:r>
        <w:rPr>
          <w:bCs/>
          <w:b/>
        </w:rPr>
        <w:t xml:space="preserve">开源发布</w:t>
      </w:r>
      <w:r>
        <w:t xml:space="preserve">：核心回测引擎+基础Market State识别以MIT许可证正式开源。发布窗口选择配合量化行业的重要会议或活动以获取最大声量。开源范围包括：Rust核心引擎、Python SDK、HMM基础模型、基础数据接口和完整技术文档。企业级功能（GPU加速、合规模块、AFRN-HyperFlow深度学习模块）以闭源插件形式保留。</w:t>
      </w:r>
    </w:p>
    <w:p>
      <w:pPr>
        <w:pStyle w:val="BodyText"/>
      </w:pPr>
      <w:r>
        <w:rPr>
          <w:bCs/>
          <w:b/>
        </w:rPr>
        <w:t xml:space="preserve">SaaS内测</w:t>
      </w:r>
      <w:r>
        <w:t xml:space="preserve">：邀请100名社区核心用户参与云端平台内测，测试范围覆盖Market State四维识别（价格结构/波动率/流动性/信息流）和MISS策略匹配功能。收集用户反馈并迭代产品，为正式收费版本积累经验。</w:t>
      </w:r>
    </w:p>
    <w:p>
      <w:pPr>
        <w:pStyle w:val="BodyText"/>
      </w:pPr>
      <w:r>
        <w:rPr>
          <w:bCs/>
          <w:b/>
        </w:rPr>
        <w:t xml:space="preserve">机构签约</w:t>
      </w:r>
      <w:r>
        <w:t xml:space="preserve">：完成首批3-5家机构客户的合作意向书签署。优先选择已通过PoC验证的种子机构，提供”首年优惠+深度定制”的组合方案。该阶段不求收入规模，但求验证机构版产品方向和技术架构在真实环境中的适配度，积累可公开的标杆案例。</w:t>
      </w:r>
    </w:p>
    <w:p>
      <w:pPr>
        <w:pStyle w:val="BodyText"/>
      </w:pPr>
      <w:r>
        <w:rPr>
          <w:bCs/>
          <w:b/>
        </w:rPr>
        <w:t xml:space="preserve">关键里程碑指标</w:t>
      </w:r>
      <w:r>
        <w:t xml:space="preserve">：GitHub Star 1,000+（对标vn.py早期增速），社区活跃用户500+，机构合作意向书≥3份。此后按四阶段路线图推进——SaaS平台（6-18月）、策略生态（12-24月）、机构服务（18-36月），第36个月目标ARR 1,000万元。</w:t>
      </w:r>
    </w:p>
    <w:p>
      <w:r>
        <w:pict>
          <v:rect style="width:0;height:1.5pt" o:hralign="center" o:hrstd="t" o:hr="t"/>
        </w:pict>
      </w:r>
    </w:p>
    <w:bookmarkEnd w:id="124"/>
    <w:bookmarkEnd w:id="125"/>
    <w:bookmarkEnd w:id="126"/>
    <w:bookmarkEnd w:id="1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证券时报官方网站. https://www.stcn.com/article/detail/3626385.html</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搜狐. https://www.sohu.com/a/937119779_121838582</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新浪财经. https://finance.sina.com.cn/jjxw/2026-01-12/doc-inhfzukv4624565.shtml</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微信公众平台. http://mp.weixin.qq.com/s?__biz=Mzk4ODkyNTI0Ng==&amp;mid=2247484251&amp;idx=1&amp;sn=815b21715e23cfe1a6dad5a5744e981e</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Traders Union. https://tradersunion.com/zh/interesting-articles/forex-trading-advisors/best-expert-advisor-builders/</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21经济网. https://www.21jingji.com/article/20260106/herald/e9a41499c55e30b8f61aca443d87f708.html</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cs.com.cn. https://jnzstatic.cs.com.cn/zzb/htmlInfo/38814e995682d54918580ff5555aa3de.html</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微信公众号(格心online). http://mp.weixin.qq.com/s?__biz=MzIxNTU0Mzk1MQ==&amp;mid=2247483753&amp;idx=1&amp;sn=7b4499f712e1ac542737f05794400e9e</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gitcode.com. https://blog.gitcode.com/294ce8c2251fcc572289a9f0dca550e1.html</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gitcode.com. https://blog.gitcode.com/ec6d50bb93b42f90394a4b155383dfbf.html</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搜狐. https://www.sohu.com/a/1021456494_122732316</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叩富同城理财. https://licai.cofool.com/ask/qa_4433262.html</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myfxbots.com. https://www.myfxbots.com/blog/forex-services/strategyquant/?srsltid=AfmBOoozW1vPSytgOVK9X9oK_AmgVcxa9DakU5-rfptPZoGA1WO_dMGk</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csdn.net. https://gitcode.csdn.net/69f0076f0a2f6a37c5a67c42.html</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伟德下载官网安装app. https://www.jingtangss.com/ask/qa_5849357.html</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csdn.net. https://gitcode.csdn.net/69c1210054b52172bc63b61c.html</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经典老歌. https://www.jingdianlaoge.com/web/myquant-Q43jQNEY18sAfdK39D0S2FHGDDmZzIlJ7SY96q8JRnq.html</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稀土掘金. https://juejin.cn/post/7579811819666522164</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稀土掘金. http://juejin.cn/post/7366149991159332874</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EAHub. https://www.eahub.cn/thread-46270-1-1.html</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CSDN博客. https://blog.csdn.net/m0_52307083/article/details/149391247</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微信公众号(逛逛GitHub). http://mp.weixin.qq.com/s?__biz=MzUxNjg4NDEzNA==&amp;mid=2247522813&amp;idx=1&amp;sn=b11310e07b270349380120c4f5577fef</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微信公众号(排排网研究院). http://mp.weixin.qq.com/s?__biz=MzA5Nzg5MjIyMQ==&amp;mid=2655258361&amp;idx=3&amp;sn=638d5defe1db35ecb5355c041ba00413</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CSDN博客. https://blog.csdn.net/m0_52307083/article/details/149396173</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微信公众号(金科之家网). http://mp.weixin.qq.com/s?__biz=MzAxMjY1Nzc3OA==&amp;mid=2247493373&amp;idx=1&amp;sn=3a2c8f308d04954769d239f3dc18da8a</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墨天轮. https://www.modb.pro/db/1854007604638474240</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https://www.ifmxn.com/news/lanmu1/17879.html</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新华报业网. https://www.xhby.net/content/s69faf500e4b05d5de75d479b.html</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tanzhi.cn. https://www.tanzhi.cn/job-titles/efec0893-cb22-4476-bd39-78c16dc74b01/</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lianxh.cn. https://www.lianxh.cn/details/1778.html</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heth.ink. https://heth.ink/BacktestOverfit2/</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csdn.net. https://quant.csdn.net/691d70035511483559ebf416.html</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税屋网. https://www.shui5.cn/article/6c/189834.html</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网易. https://www.163.com/dy/article/JS9KPOT40514R9OJ.html</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新华网. http://www.news.cn/20250407/f02746dd4fd64f9bb8b0c41194bc71f4/c.html</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Airwallex. https://www.airwallex.com/cn/blog/2026-cross-border-collection-trends</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stcn.com. https://stcn.com/article/detail/1207365.html</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央广网. https://www.cnr.cn/ziben/yw/20240515/t20240515_526706160.shtml</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网易. https://www.163.com/dy/article/K47PDFEL05199NHJ.html</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legalseas.com. https://www.legalseas.com/2410.html</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quant67.com. https://quant67.com/post/quant/26-hft-architecture/26-hft-architecture.html</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CSDN博客. https://blog.csdn.net/gitblog_00939/article/details/151147782</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metricgate.com. https://metricgate.com/docs/markov-switching-model/</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The JetBrains Blog. https://blog.jetbrains.com/pycharm/2024/07/polars-vs-pandas/</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arXiv.org. https://arxiv.org/html/2406.09578v2</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arXiv.org. https://arxiv.org/pdf/2402.05272v1</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arXiv.org. https://arxiv.org/html/2410.14841v1</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TradeAlgo. https://www.tradealgo.com/trading-guides/technical-analysis/multiple-timeframe-analysis-how-to-align-entries-across-charts-for-better-trades</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arXiv.org. https://arxiv.org/html/2508.02247v1</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assetwhisper.com. https://assetwhisper.com/profitable-algorithmic-trading-strategies-in-2025-a-guide-for-beginners-and-intermediates/</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Day Analysis &amp; GPTP – Global Financial Engineering Inc.. https://www.globalfinancialengineering.com/4-multi-timeframe-synergy-correlating-m1-m43200-signals-in-fx/</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youngju.dev. https://www.youngju.dev/blog/finance/2026-03-13-realtime-financial-data-pipeline-kafka-flink-streaming.en</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Corporate Finance Institute. https://corporatefinanceinstitute.com/resources/valuation/railing-twelve-months-ttm-definition/</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Github. https://github.com/Shivansh-707/Regime_aware_model</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RATH Docs. https://docs.kanaries.net/zh/articles/polars-vs-pandas</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calmops.com. https://calmops.com/ai/feature-store-feast-tecton-redis/</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RegimeForecast. https://regimeforecast.com/blog/regime-dependent-strategy-performance</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台灣大學. https://homepage.ntu.edu.tw/~ckuan/pdf/Lec-Markov_note.pdf</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ic.ac.uk. https://www.doc.ic.ac.uk/~wjk/publications/koutsouri-2023.pdf</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Docs.rs. https://docs.rs/nautilus-backtest</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FlashAlpha. https://flashalpha.com/articles/realized-vs-implied-volatility-risk-premium</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crsinfosolutions.com. https://www.crsinfosolutions.com/arcesium-interview-questions/</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LuissThesis. https://tesi.luiss.it/43430/1/775451_MARCOCCIA_ANDREA.pdf</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skills.rest. https://skills.rest/skill/using-nautilus-trader</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ecer.com. https://ecweb.ecer.com/topic/en/detail-273977-polars_outperforms_pandas_in_dataframe_speed.html</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Columbia University. http://www.columbia.edu/~jb3064/papers/2011_Conditional_markov_chain_and_its_application_in_economic_time_series_analysis.pdf</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semanticscholar.org. https://pdfs.semanticscholar.org/8ee7/6240a90485dd8ff0117eafa998a216dc2072.pdf</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DEV Community. https://dev.to/henry_lin_3ac6363747f45b4/chapter-3-quick-start-24ni</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questdb.com. https://questdb.com/blog/comparing-influxdb-timescaledb-questdb-time-series-databases/</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IJCAI. https://www.ijcai.org/proceedings/2023/0545.pdf</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QuantConnect. https://www.quantconnect.com/forum/discussion/19360/regime-based-tactical-rotation/</w:t>
      </w:r>
      <w:bookmarkEnd w:id="10071"/>
    </w:p>
  </w:footnote>
  <w:footnote w:id="72">
    <w:p>
      <w:pPr>
        <w:pStyle w:val="FootnoteText"/>
        <w:spacing w:before="0" w:after="0" w:line="200" w:lineRule="exact"/>
      </w:pPr>
      <w:bookmarkStart w:id="10072" w:name="_Ref_Footnote_72"/>
      <w:r>
        <w:rPr>
          <w:rStyle w:val="FootnoteReference"/>
          <w:vertAlign w:val="superscript"/>
        </w:rPr>
        <w:footnoteRef/>
      </w:r>
      <w:r>
        <w:rPr>
          <w:sz w:val="18"/>
          <w:szCs w:val="18"/>
        </w:rPr>
        <w:t xml:space="preserve"> arXiv.org. https://arxiv.org/html/2503.11499v1</w:t>
      </w:r>
      <w:bookmarkEnd w:id="10072"/>
    </w:p>
  </w:footnote>
  <w:footnote w:id="73">
    <w:p>
      <w:pPr>
        <w:pStyle w:val="FootnoteText"/>
        <w:spacing w:before="0" w:after="0" w:line="200" w:lineRule="exact"/>
      </w:pPr>
      <w:bookmarkStart w:id="10073" w:name="_Ref_Footnote_73"/>
      <w:r>
        <w:rPr>
          <w:rStyle w:val="FootnoteReference"/>
          <w:vertAlign w:val="superscript"/>
        </w:rPr>
        <w:footnoteRef/>
      </w:r>
      <w:r>
        <w:rPr>
          <w:sz w:val="18"/>
          <w:szCs w:val="18"/>
        </w:rPr>
        <w:t xml:space="preserve"> quantseeker.com. https://www.quantseeker.com/p/tactical-allocation-and-market-regimes</w:t>
      </w:r>
      <w:bookmarkEnd w:id="10073"/>
    </w:p>
  </w:footnote>
  <w:footnote w:id="74">
    <w:p>
      <w:pPr>
        <w:pStyle w:val="FootnoteText"/>
        <w:spacing w:before="0" w:after="0" w:line="200" w:lineRule="exact"/>
      </w:pPr>
      <w:bookmarkStart w:id="10074" w:name="_Ref_Footnote_74"/>
      <w:r>
        <w:rPr>
          <w:rStyle w:val="FootnoteReference"/>
          <w:vertAlign w:val="superscript"/>
        </w:rPr>
        <w:footnoteRef/>
      </w:r>
      <w:r>
        <w:rPr>
          <w:sz w:val="18"/>
          <w:szCs w:val="18"/>
        </w:rPr>
        <w:t xml:space="preserve"> Wingspan &amp; Facts. https://asmr.education/faq/python-market-trading/vectorized-event-driven-backtesting-differences</w:t>
      </w:r>
      <w:bookmarkEnd w:id="10074"/>
    </w:p>
  </w:footnote>
  <w:footnote w:id="75">
    <w:p>
      <w:pPr>
        <w:pStyle w:val="FootnoteText"/>
        <w:spacing w:before="0" w:after="0" w:line="200" w:lineRule="exact"/>
      </w:pPr>
      <w:bookmarkStart w:id="10075" w:name="_Ref_Footnote_75"/>
      <w:r>
        <w:rPr>
          <w:rStyle w:val="FootnoteReference"/>
          <w:vertAlign w:val="superscript"/>
        </w:rPr>
        <w:footnoteRef/>
      </w:r>
      <w:r>
        <w:rPr>
          <w:sz w:val="18"/>
          <w:szCs w:val="18"/>
        </w:rPr>
        <w:t xml:space="preserve"> nautilustrader.io. https://nautilustrader.io/docs/nightly/concepts/overview</w:t>
      </w:r>
      <w:bookmarkEnd w:id="10075"/>
    </w:p>
  </w:footnote>
  <w:footnote w:id="76">
    <w:p>
      <w:pPr>
        <w:pStyle w:val="FootnoteText"/>
        <w:spacing w:before="0" w:after="0" w:line="200" w:lineRule="exact"/>
      </w:pPr>
      <w:bookmarkStart w:id="10076" w:name="_Ref_Footnote_76"/>
      <w:r>
        <w:rPr>
          <w:rStyle w:val="FootnoteReference"/>
          <w:vertAlign w:val="superscript"/>
        </w:rPr>
        <w:footnoteRef/>
      </w:r>
      <w:r>
        <w:rPr>
          <w:sz w:val="18"/>
          <w:szCs w:val="18"/>
        </w:rPr>
        <w:t xml:space="preserve"> Github. https://github.com/SL-Mar/quantcoderfs</w:t>
      </w:r>
      <w:bookmarkEnd w:id="10076"/>
    </w:p>
  </w:footnote>
  <w:footnote w:id="77">
    <w:p>
      <w:pPr>
        <w:pStyle w:val="FootnoteText"/>
        <w:spacing w:before="0" w:after="0" w:line="200" w:lineRule="exact"/>
      </w:pPr>
      <w:bookmarkStart w:id="10077" w:name="_Ref_Footnote_77"/>
      <w:r>
        <w:rPr>
          <w:rStyle w:val="FootnoteReference"/>
          <w:vertAlign w:val="superscript"/>
        </w:rPr>
        <w:footnoteRef/>
      </w:r>
      <w:r>
        <w:rPr>
          <w:sz w:val="18"/>
          <w:szCs w:val="18"/>
        </w:rPr>
        <w:t xml:space="preserve"> Github. https://github.com/vnpyrs</w:t>
      </w:r>
      <w:bookmarkEnd w:id="10077"/>
    </w:p>
  </w:footnote>
  <w:footnote w:id="78">
    <w:p>
      <w:pPr>
        <w:pStyle w:val="FootnoteText"/>
        <w:spacing w:before="0" w:after="0" w:line="200" w:lineRule="exact"/>
      </w:pPr>
      <w:bookmarkStart w:id="10078" w:name="_Ref_Footnote_78"/>
      <w:r>
        <w:rPr>
          <w:rStyle w:val="FootnoteReference"/>
          <w:vertAlign w:val="superscript"/>
        </w:rPr>
        <w:footnoteRef/>
      </w:r>
      <w:r>
        <w:rPr>
          <w:sz w:val="18"/>
          <w:szCs w:val="18"/>
        </w:rPr>
        <w:t xml:space="preserve"> Github. https://github.com/alphabench/raptorbt</w:t>
      </w:r>
      <w:bookmarkEnd w:id="10078"/>
    </w:p>
  </w:footnote>
  <w:footnote w:id="79">
    <w:p>
      <w:pPr>
        <w:pStyle w:val="FootnoteText"/>
        <w:spacing w:before="0" w:after="0" w:line="200" w:lineRule="exact"/>
      </w:pPr>
      <w:bookmarkStart w:id="10079" w:name="_Ref_Footnote_79"/>
      <w:r>
        <w:rPr>
          <w:rStyle w:val="FootnoteReference"/>
          <w:vertAlign w:val="superscript"/>
        </w:rPr>
        <w:footnoteRef/>
      </w:r>
      <w:r>
        <w:rPr>
          <w:sz w:val="18"/>
          <w:szCs w:val="18"/>
        </w:rPr>
        <w:t xml:space="preserve"> vibetrading.dev. https://vibetrading.dev/</w:t>
      </w:r>
      <w:bookmarkEnd w:id="10079"/>
    </w:p>
  </w:footnote>
  <w:footnote w:id="80">
    <w:p>
      <w:pPr>
        <w:pStyle w:val="FootnoteText"/>
        <w:spacing w:before="0" w:after="0" w:line="200" w:lineRule="exact"/>
      </w:pPr>
      <w:bookmarkStart w:id="10080" w:name="_Ref_Footnote_80"/>
      <w:r>
        <w:rPr>
          <w:rStyle w:val="FootnoteReference"/>
          <w:vertAlign w:val="superscript"/>
        </w:rPr>
        <w:footnoteRef/>
      </w:r>
      <w:r>
        <w:rPr>
          <w:sz w:val="18"/>
          <w:szCs w:val="18"/>
        </w:rPr>
        <w:t xml:space="preserve"> kitemetric.com. https://kitemetric.com/blogs/mastering-qlib-a-comprehensive-guide-to-building-ai-driven-quant-strategies</w:t>
      </w:r>
      <w:bookmarkEnd w:id="10080"/>
    </w:p>
  </w:footnote>
  <w:footnote w:id="81">
    <w:p>
      <w:pPr>
        <w:pStyle w:val="FootnoteText"/>
        <w:spacing w:before="0" w:after="0" w:line="200" w:lineRule="exact"/>
      </w:pPr>
      <w:bookmarkStart w:id="10081" w:name="_Ref_Footnote_81"/>
      <w:r>
        <w:rPr>
          <w:rStyle w:val="FootnoteReference"/>
          <w:vertAlign w:val="superscript"/>
        </w:rPr>
        <w:footnoteRef/>
      </w:r>
      <w:r>
        <w:rPr>
          <w:sz w:val="18"/>
          <w:szCs w:val="18"/>
        </w:rPr>
        <w:t xml:space="preserve"> NVIDIA Developer. https://developer.nvidia.com/blog/gpu-accelerate-algorithmic-trading-simulations-by-over-100x-with-numba/</w:t>
      </w:r>
      <w:bookmarkEnd w:id="10081"/>
    </w:p>
  </w:footnote>
  <w:footnote w:id="82">
    <w:p>
      <w:pPr>
        <w:pStyle w:val="FootnoteText"/>
        <w:spacing w:before="0" w:after="0" w:line="200" w:lineRule="exact"/>
      </w:pPr>
      <w:bookmarkStart w:id="10082" w:name="_Ref_Footnote_82"/>
      <w:r>
        <w:rPr>
          <w:rStyle w:val="FootnoteReference"/>
          <w:vertAlign w:val="superscript"/>
        </w:rPr>
        <w:footnoteRef/>
      </w:r>
      <w:r>
        <w:rPr>
          <w:sz w:val="18"/>
          <w:szCs w:val="18"/>
        </w:rPr>
        <w:t xml:space="preserve"> BIZON. https://bizon-tech.com/blog/best-gpu-for-data-science?srsltid=AfmBOopMBPXo96Uwh3AhzNAVrpmrFn4yetDg5_nqhHfUymLIC-bvhiNh</w:t>
      </w:r>
      <w:bookmarkEnd w:id="10082"/>
    </w:p>
  </w:footnote>
  <w:footnote w:id="83">
    <w:p>
      <w:pPr>
        <w:pStyle w:val="FootnoteText"/>
        <w:spacing w:before="0" w:after="0" w:line="200" w:lineRule="exact"/>
      </w:pPr>
      <w:bookmarkStart w:id="10083" w:name="_Ref_Footnote_83"/>
      <w:r>
        <w:rPr>
          <w:rStyle w:val="FootnoteReference"/>
          <w:vertAlign w:val="superscript"/>
        </w:rPr>
        <w:footnoteRef/>
      </w:r>
      <w:r>
        <w:rPr>
          <w:sz w:val="18"/>
          <w:szCs w:val="18"/>
        </w:rPr>
        <w:t xml:space="preserve"> ar5iv. https://ar5iv.labs.arxiv.org/html/1907.10902</w:t>
      </w:r>
      <w:bookmarkEnd w:id="10083"/>
    </w:p>
  </w:footnote>
  <w:footnote w:id="84">
    <w:p>
      <w:pPr>
        <w:pStyle w:val="FootnoteText"/>
        <w:spacing w:before="0" w:after="0" w:line="200" w:lineRule="exact"/>
      </w:pPr>
      <w:bookmarkStart w:id="10084" w:name="_Ref_Footnote_84"/>
      <w:r>
        <w:rPr>
          <w:rStyle w:val="FootnoteReference"/>
          <w:vertAlign w:val="superscript"/>
        </w:rPr>
        <w:footnoteRef/>
      </w:r>
      <w:r>
        <w:rPr>
          <w:sz w:val="18"/>
          <w:szCs w:val="18"/>
        </w:rPr>
        <w:t xml:space="preserve"> Github. https://github.com/vnpyrs/vnpyrs/blob/main/README.md</w:t>
      </w:r>
      <w:bookmarkEnd w:id="10084"/>
    </w:p>
  </w:footnote>
  <w:footnote w:id="85">
    <w:p>
      <w:pPr>
        <w:pStyle w:val="FootnoteText"/>
        <w:spacing w:before="0" w:after="0" w:line="200" w:lineRule="exact"/>
      </w:pPr>
      <w:bookmarkStart w:id="10085" w:name="_Ref_Footnote_85"/>
      <w:r>
        <w:rPr>
          <w:rStyle w:val="FootnoteReference"/>
          <w:vertAlign w:val="superscript"/>
        </w:rPr>
        <w:footnoteRef/>
      </w:r>
      <w:r>
        <w:rPr>
          <w:sz w:val="18"/>
          <w:szCs w:val="18"/>
        </w:rPr>
        <w:t xml:space="preserve"> CSDN博客. https://blog.csdn.net/weixin_28728279/article/details/161064136</w:t>
      </w:r>
      <w:bookmarkEnd w:id="10085"/>
    </w:p>
  </w:footnote>
  <w:footnote w:id="86">
    <w:p>
      <w:pPr>
        <w:pStyle w:val="FootnoteText"/>
        <w:spacing w:before="0" w:after="0" w:line="200" w:lineRule="exact"/>
      </w:pPr>
      <w:bookmarkStart w:id="10086" w:name="_Ref_Footnote_86"/>
      <w:r>
        <w:rPr>
          <w:rStyle w:val="FootnoteReference"/>
          <w:vertAlign w:val="superscript"/>
        </w:rPr>
        <w:footnoteRef/>
      </w:r>
      <w:r>
        <w:rPr>
          <w:sz w:val="18"/>
          <w:szCs w:val="18"/>
        </w:rPr>
        <w:t xml:space="preserve"> Github. https://github.com/maltsev-andrey/monte-carlo-gpu-finance</w:t>
      </w:r>
      <w:bookmarkEnd w:id="10086"/>
    </w:p>
  </w:footnote>
  <w:footnote w:id="87">
    <w:p>
      <w:pPr>
        <w:pStyle w:val="FootnoteText"/>
        <w:spacing w:before="0" w:after="0" w:line="200" w:lineRule="exact"/>
      </w:pPr>
      <w:bookmarkStart w:id="10087" w:name="_Ref_Footnote_87"/>
      <w:r>
        <w:rPr>
          <w:rStyle w:val="FootnoteReference"/>
          <w:vertAlign w:val="superscript"/>
        </w:rPr>
        <w:footnoteRef/>
      </w:r>
      <w:r>
        <w:rPr>
          <w:sz w:val="18"/>
          <w:szCs w:val="18"/>
        </w:rPr>
        <w:t xml:space="preserve"> Polars. https://pola.rs/posts/gpu-engine-release/</w:t>
      </w:r>
      <w:bookmarkEnd w:id="10087"/>
    </w:p>
  </w:footnote>
  <w:footnote w:id="88">
    <w:p>
      <w:pPr>
        <w:pStyle w:val="FootnoteText"/>
        <w:spacing w:before="0" w:after="0" w:line="200" w:lineRule="exact"/>
      </w:pPr>
      <w:bookmarkStart w:id="10088" w:name="_Ref_Footnote_88"/>
      <w:r>
        <w:rPr>
          <w:rStyle w:val="FootnoteReference"/>
          <w:vertAlign w:val="superscript"/>
        </w:rPr>
        <w:footnoteRef/>
      </w:r>
      <w:r>
        <w:rPr>
          <w:sz w:val="18"/>
          <w:szCs w:val="18"/>
        </w:rPr>
        <w:t xml:space="preserve"> Github. https://github.com/nautechsystems/nautilus_trader</w:t>
      </w:r>
      <w:bookmarkEnd w:id="10088"/>
    </w:p>
  </w:footnote>
  <w:footnote w:id="89">
    <w:p>
      <w:pPr>
        <w:pStyle w:val="FootnoteText"/>
        <w:spacing w:before="0" w:after="0" w:line="200" w:lineRule="exact"/>
      </w:pPr>
      <w:bookmarkStart w:id="10089" w:name="_Ref_Footnote_89"/>
      <w:r>
        <w:rPr>
          <w:rStyle w:val="FootnoteReference"/>
          <w:vertAlign w:val="superscript"/>
        </w:rPr>
        <w:footnoteRef/>
      </w:r>
      <w:r>
        <w:rPr>
          <w:sz w:val="18"/>
          <w:szCs w:val="18"/>
        </w:rPr>
        <w:t xml:space="preserve"> arXiv.org. https://arxiv.org/html/2312.07946v1</w:t>
      </w:r>
      <w:bookmarkEnd w:id="10089"/>
    </w:p>
  </w:footnote>
  <w:footnote w:id="90">
    <w:p>
      <w:pPr>
        <w:pStyle w:val="FootnoteText"/>
        <w:spacing w:before="0" w:after="0" w:line="200" w:lineRule="exact"/>
      </w:pPr>
      <w:bookmarkStart w:id="10090" w:name="_Ref_Footnote_90"/>
      <w:r>
        <w:rPr>
          <w:rStyle w:val="FootnoteReference"/>
          <w:vertAlign w:val="superscript"/>
        </w:rPr>
        <w:footnoteRef/>
      </w:r>
      <w:r>
        <w:rPr>
          <w:sz w:val="18"/>
          <w:szCs w:val="18"/>
        </w:rPr>
        <w:t xml:space="preserve"> stonybrook.edu. https://www3.cs.stonybrook.edu/~stoller/papers/TOPLAS98.pdf</w:t>
      </w:r>
      <w:bookmarkEnd w:id="10090"/>
    </w:p>
  </w:footnote>
  <w:footnote w:id="91">
    <w:p>
      <w:pPr>
        <w:pStyle w:val="FootnoteText"/>
        <w:spacing w:before="0" w:after="0" w:line="200" w:lineRule="exact"/>
      </w:pPr>
      <w:bookmarkStart w:id="10091" w:name="_Ref_Footnote_91"/>
      <w:r>
        <w:rPr>
          <w:rStyle w:val="FootnoteReference"/>
          <w:vertAlign w:val="superscript"/>
        </w:rPr>
        <w:footnoteRef/>
      </w:r>
      <w:r>
        <w:rPr>
          <w:sz w:val="18"/>
          <w:szCs w:val="18"/>
        </w:rPr>
        <w:t xml:space="preserve"> 叩富同城理财. http://licai.cofool.com/user/guide_view_3087478.html</w:t>
      </w:r>
      <w:bookmarkEnd w:id="10091"/>
    </w:p>
  </w:footnote>
  <w:footnote w:id="92">
    <w:p>
      <w:pPr>
        <w:pStyle w:val="FootnoteText"/>
        <w:spacing w:before="0" w:after="0" w:line="200" w:lineRule="exact"/>
      </w:pPr>
      <w:bookmarkStart w:id="10092" w:name="_Ref_Footnote_92"/>
      <w:r>
        <w:rPr>
          <w:rStyle w:val="FootnoteReference"/>
          <w:vertAlign w:val="superscript"/>
        </w:rPr>
        <w:footnoteRef/>
      </w:r>
      <w:r>
        <w:rPr>
          <w:sz w:val="18"/>
          <w:szCs w:val="18"/>
        </w:rPr>
        <w:t xml:space="preserve"> Neura Market. https://www.neura.market/directories/chatgpt/blog/5-lightweight-pandas-alternatives-to-supercharge-your-data-workflows-in-2025</w:t>
      </w:r>
      <w:bookmarkEnd w:id="10092"/>
    </w:p>
  </w:footnote>
  <w:footnote w:id="93">
    <w:p>
      <w:pPr>
        <w:pStyle w:val="FootnoteText"/>
        <w:spacing w:before="0" w:after="0" w:line="200" w:lineRule="exact"/>
      </w:pPr>
      <w:bookmarkStart w:id="10093" w:name="_Ref_Footnote_93"/>
      <w:r>
        <w:rPr>
          <w:rStyle w:val="FootnoteReference"/>
          <w:vertAlign w:val="superscript"/>
        </w:rPr>
        <w:footnoteRef/>
      </w:r>
      <w:r>
        <w:rPr>
          <w:sz w:val="18"/>
          <w:szCs w:val="18"/>
        </w:rPr>
        <w:t xml:space="preserve"> AlphaInsider's Official Blog. https://blog.alphainsider.com/why-trading-backtests-fail-live-and-how-to-fix-it/</w:t>
      </w:r>
      <w:bookmarkEnd w:id="10093"/>
    </w:p>
  </w:footnote>
  <w:footnote w:id="94">
    <w:p>
      <w:pPr>
        <w:pStyle w:val="FootnoteText"/>
        <w:spacing w:before="0" w:after="0" w:line="200" w:lineRule="exact"/>
      </w:pPr>
      <w:bookmarkStart w:id="10094" w:name="_Ref_Footnote_94"/>
      <w:r>
        <w:rPr>
          <w:rStyle w:val="FootnoteReference"/>
          <w:vertAlign w:val="superscript"/>
        </w:rPr>
        <w:footnoteRef/>
      </w:r>
      <w:r>
        <w:rPr>
          <w:sz w:val="18"/>
          <w:szCs w:val="18"/>
        </w:rPr>
        <w:t xml:space="preserve"> pynecore.org. https://pynecore.org/docs/advanced/ohlcv-reader-writer/</w:t>
      </w:r>
      <w:bookmarkEnd w:id="10094"/>
    </w:p>
  </w:footnote>
  <w:footnote w:id="95">
    <w:p>
      <w:pPr>
        <w:pStyle w:val="FootnoteText"/>
        <w:spacing w:before="0" w:after="0" w:line="200" w:lineRule="exact"/>
      </w:pPr>
      <w:bookmarkStart w:id="10095" w:name="_Ref_Footnote_95"/>
      <w:r>
        <w:rPr>
          <w:rStyle w:val="FootnoteReference"/>
          <w:vertAlign w:val="superscript"/>
        </w:rPr>
        <w:footnoteRef/>
      </w:r>
      <w:r>
        <w:rPr>
          <w:sz w:val="18"/>
          <w:szCs w:val="18"/>
        </w:rPr>
        <w:t xml:space="preserve"> YourBestChance.io - Future Proof Your Career. https://yourbestchance.io/jobs/blockchain-cryptocurrency/crypto-quantitative-analyst/</w:t>
      </w:r>
      <w:bookmarkEnd w:id="10095"/>
    </w:p>
  </w:footnote>
  <w:footnote w:id="96">
    <w:p>
      <w:pPr>
        <w:pStyle w:val="FootnoteText"/>
        <w:spacing w:before="0" w:after="0" w:line="200" w:lineRule="exact"/>
      </w:pPr>
      <w:bookmarkStart w:id="10096" w:name="_Ref_Footnote_96"/>
      <w:r>
        <w:rPr>
          <w:rStyle w:val="FootnoteReference"/>
          <w:vertAlign w:val="superscript"/>
        </w:rPr>
        <w:footnoteRef/>
      </w:r>
      <w:r>
        <w:rPr>
          <w:sz w:val="18"/>
          <w:szCs w:val="18"/>
        </w:rPr>
        <w:t xml:space="preserve"> DEV Community. https://dev.to/kacawaiii/how-i-made-my-python-backtester-56x-faster-with-rust-1pi</w:t>
      </w:r>
      <w:bookmarkEnd w:id="10096"/>
    </w:p>
  </w:footnote>
  <w:footnote w:id="97">
    <w:p>
      <w:pPr>
        <w:pStyle w:val="FootnoteText"/>
        <w:spacing w:before="0" w:after="0" w:line="200" w:lineRule="exact"/>
      </w:pPr>
      <w:bookmarkStart w:id="10097" w:name="_Ref_Footnote_97"/>
      <w:r>
        <w:rPr>
          <w:rStyle w:val="FootnoteReference"/>
          <w:vertAlign w:val="superscript"/>
        </w:rPr>
        <w:footnoteRef/>
      </w:r>
      <w:r>
        <w:rPr>
          <w:sz w:val="18"/>
          <w:szCs w:val="18"/>
        </w:rPr>
        <w:t xml:space="preserve"> arXiv.org. https://arxiv.org/html/2312.11122v3</w:t>
      </w:r>
      <w:bookmarkEnd w:id="10097"/>
    </w:p>
  </w:footnote>
  <w:footnote w:id="98">
    <w:p>
      <w:pPr>
        <w:pStyle w:val="FootnoteText"/>
        <w:spacing w:before="0" w:after="0" w:line="200" w:lineRule="exact"/>
      </w:pPr>
      <w:bookmarkStart w:id="10098" w:name="_Ref_Footnote_98"/>
      <w:r>
        <w:rPr>
          <w:rStyle w:val="FootnoteReference"/>
          <w:vertAlign w:val="superscript"/>
        </w:rPr>
        <w:footnoteRef/>
      </w:r>
      <w:r>
        <w:rPr>
          <w:sz w:val="18"/>
          <w:szCs w:val="18"/>
        </w:rPr>
        <w:t xml:space="preserve"> ninZa.co. https://ninza.co/new/deepstack-confluence</w:t>
      </w:r>
      <w:bookmarkEnd w:id="10098"/>
    </w:p>
  </w:footnote>
  <w:footnote w:id="99">
    <w:p>
      <w:pPr>
        <w:pStyle w:val="FootnoteText"/>
        <w:spacing w:before="0" w:after="0" w:line="200" w:lineRule="exact"/>
      </w:pPr>
      <w:bookmarkStart w:id="10099" w:name="_Ref_Footnote_99"/>
      <w:r>
        <w:rPr>
          <w:rStyle w:val="FootnoteReference"/>
          <w:vertAlign w:val="superscript"/>
        </w:rPr>
        <w:footnoteRef/>
      </w:r>
      <w:r>
        <w:rPr>
          <w:sz w:val="18"/>
          <w:szCs w:val="18"/>
        </w:rPr>
        <w:t xml:space="preserve"> Highcharts. https://www.highcharts.com/blog/tutorials/depth-chart-a-visual-guide-to-market-liquidity-and-order-flow/</w:t>
      </w:r>
      <w:bookmarkEnd w:id="10099"/>
    </w:p>
  </w:footnote>
  <w:footnote w:id="100">
    <w:p>
      <w:pPr>
        <w:pStyle w:val="FootnoteText"/>
        <w:spacing w:before="0" w:after="0" w:line="200" w:lineRule="exact"/>
      </w:pPr>
      <w:bookmarkStart w:id="10100" w:name="_Ref_Footnote_100"/>
      <w:r>
        <w:rPr>
          <w:rStyle w:val="FootnoteReference"/>
          <w:vertAlign w:val="superscript"/>
        </w:rPr>
        <w:footnoteRef/>
      </w:r>
      <w:r>
        <w:rPr>
          <w:sz w:val="18"/>
          <w:szCs w:val="18"/>
        </w:rPr>
        <w:t xml:space="preserve"> CSDN博客. https://blog.csdn.net/u011091936/article/details/151314116</w:t>
      </w:r>
      <w:bookmarkEnd w:id="10100"/>
    </w:p>
  </w:footnote>
  <w:footnote w:id="101">
    <w:p>
      <w:pPr>
        <w:pStyle w:val="FootnoteText"/>
        <w:spacing w:before="0" w:after="0" w:line="200" w:lineRule="exact"/>
      </w:pPr>
      <w:bookmarkStart w:id="10101" w:name="_Ref_Footnote_101"/>
      <w:r>
        <w:rPr>
          <w:rStyle w:val="FootnoteReference"/>
          <w:vertAlign w:val="superscript"/>
        </w:rPr>
        <w:footnoteRef/>
      </w:r>
      <w:r>
        <w:rPr>
          <w:sz w:val="18"/>
          <w:szCs w:val="18"/>
        </w:rPr>
        <w:t xml:space="preserve"> Github. https://github.com/cyclux/tradeforce</w:t>
      </w:r>
      <w:bookmarkEnd w:id="10101"/>
    </w:p>
  </w:footnote>
  <w:footnote w:id="102">
    <w:p>
      <w:pPr>
        <w:pStyle w:val="FootnoteText"/>
        <w:spacing w:before="0" w:after="0" w:line="200" w:lineRule="exact"/>
      </w:pPr>
      <w:bookmarkStart w:id="10102" w:name="_Ref_Footnote_102"/>
      <w:r>
        <w:rPr>
          <w:rStyle w:val="FootnoteReference"/>
          <w:vertAlign w:val="superscript"/>
        </w:rPr>
        <w:footnoteRef/>
      </w:r>
      <w:r>
        <w:rPr>
          <w:sz w:val="18"/>
          <w:szCs w:val="18"/>
        </w:rPr>
        <w:t xml:space="preserve"> quantresearch.org. https://www.quantresearch.org/Publications.htm</w:t>
      </w:r>
      <w:bookmarkEnd w:id="10102"/>
    </w:p>
  </w:footnote>
  <w:footnote w:id="103">
    <w:p>
      <w:pPr>
        <w:pStyle w:val="FootnoteText"/>
        <w:spacing w:before="0" w:after="0" w:line="200" w:lineRule="exact"/>
      </w:pPr>
      <w:bookmarkStart w:id="10103" w:name="_Ref_Footnote_103"/>
      <w:r>
        <w:rPr>
          <w:rStyle w:val="FootnoteReference"/>
          <w:vertAlign w:val="superscript"/>
        </w:rPr>
        <w:footnoteRef/>
      </w:r>
      <w:r>
        <w:rPr>
          <w:sz w:val="18"/>
          <w:szCs w:val="18"/>
        </w:rPr>
        <w:t xml:space="preserve"> lobehub.com. https://lobehub.com/zh/skills/brainbytes-dev-everything-claude-trading-strategy-evaluation</w:t>
      </w:r>
      <w:bookmarkEnd w:id="10103"/>
    </w:p>
  </w:footnote>
  <w:footnote w:id="104">
    <w:p>
      <w:pPr>
        <w:pStyle w:val="FootnoteText"/>
        <w:spacing w:before="0" w:after="0" w:line="200" w:lineRule="exact"/>
      </w:pPr>
      <w:bookmarkStart w:id="10104" w:name="_Ref_Footnote_104"/>
      <w:r>
        <w:rPr>
          <w:rStyle w:val="FootnoteReference"/>
          <w:vertAlign w:val="superscript"/>
        </w:rPr>
        <w:footnoteRef/>
      </w:r>
      <w:r>
        <w:rPr>
          <w:sz w:val="18"/>
          <w:szCs w:val="18"/>
        </w:rPr>
        <w:t xml:space="preserve"> quant67.com. https://quant67.com/post/quant/27-trading-system-arch/27-trading-system-arch.html</w:t>
      </w:r>
      <w:bookmarkEnd w:id="10104"/>
    </w:p>
  </w:footnote>
  <w:footnote w:id="105">
    <w:p>
      <w:pPr>
        <w:pStyle w:val="FootnoteText"/>
        <w:spacing w:before="0" w:after="0" w:line="200" w:lineRule="exact"/>
      </w:pPr>
      <w:bookmarkStart w:id="10105" w:name="_Ref_Footnote_105"/>
      <w:r>
        <w:rPr>
          <w:rStyle w:val="FootnoteReference"/>
          <w:vertAlign w:val="superscript"/>
        </w:rPr>
        <w:footnoteRef/>
      </w:r>
      <w:r>
        <w:rPr>
          <w:sz w:val="18"/>
          <w:szCs w:val="18"/>
        </w:rPr>
        <w:t xml:space="preserve"> quantvps.com. https://www.quantvps.com/blog/vectorbt-essential-guide-for-quant-traders?srsltid=AfmBOoqjvDvksHzdkJqD1LB9-2Kx7iRsErNf7avQdwrJPKq1nmTcxRXc</w:t>
      </w:r>
      <w:bookmarkEnd w:id="10105"/>
    </w:p>
  </w:footnote>
  <w:footnote w:id="106">
    <w:p>
      <w:pPr>
        <w:pStyle w:val="FootnoteText"/>
        <w:spacing w:before="0" w:after="0" w:line="200" w:lineRule="exact"/>
      </w:pPr>
      <w:bookmarkStart w:id="10106" w:name="_Ref_Footnote_106"/>
      <w:r>
        <w:rPr>
          <w:rStyle w:val="FootnoteReference"/>
          <w:vertAlign w:val="superscript"/>
        </w:rPr>
        <w:footnoteRef/>
      </w:r>
      <w:r>
        <w:rPr>
          <w:sz w:val="18"/>
          <w:szCs w:val="18"/>
        </w:rPr>
        <w:t xml:space="preserve"> SourceForge. http://sourceforge.net/projects/nautilustrader.mirror</w:t>
      </w:r>
      <w:bookmarkEnd w:id="10106"/>
    </w:p>
  </w:footnote>
  <w:footnote w:id="107">
    <w:p>
      <w:pPr>
        <w:pStyle w:val="FootnoteText"/>
        <w:spacing w:before="0" w:after="0" w:line="200" w:lineRule="exact"/>
      </w:pPr>
      <w:bookmarkStart w:id="10107" w:name="_Ref_Footnote_107"/>
      <w:r>
        <w:rPr>
          <w:rStyle w:val="FootnoteReference"/>
          <w:vertAlign w:val="superscript"/>
        </w:rPr>
        <w:footnoteRef/>
      </w:r>
      <w:r>
        <w:rPr>
          <w:sz w:val="18"/>
          <w:szCs w:val="18"/>
        </w:rPr>
        <w:t xml:space="preserve"> Gitee. https://gitee.com/mirrors/nautilus-trader?skip_mobile=true</w:t>
      </w:r>
      <w:bookmarkEnd w:id="10107"/>
    </w:p>
  </w:footnote>
  <w:footnote w:id="108">
    <w:p>
      <w:pPr>
        <w:pStyle w:val="FootnoteText"/>
        <w:spacing w:before="0" w:after="0" w:line="200" w:lineRule="exact"/>
      </w:pPr>
      <w:bookmarkStart w:id="10108" w:name="_Ref_Footnote_108"/>
      <w:r>
        <w:rPr>
          <w:rStyle w:val="FootnoteReference"/>
          <w:vertAlign w:val="superscript"/>
        </w:rPr>
        <w:footnoteRef/>
      </w:r>
      <w:r>
        <w:rPr>
          <w:sz w:val="18"/>
          <w:szCs w:val="18"/>
        </w:rPr>
        <w:t xml:space="preserve"> quant67.com. https://quant67.com/post/quant/19-backtest-engine/19-backtest-engine.html</w:t>
      </w:r>
      <w:bookmarkEnd w:id="10108"/>
    </w:p>
  </w:footnote>
  <w:footnote w:id="109">
    <w:p>
      <w:pPr>
        <w:pStyle w:val="FootnoteText"/>
        <w:spacing w:before="0" w:after="0" w:line="200" w:lineRule="exact"/>
      </w:pPr>
      <w:bookmarkStart w:id="10109" w:name="_Ref_Footnote_109"/>
      <w:r>
        <w:rPr>
          <w:rStyle w:val="FootnoteReference"/>
          <w:vertAlign w:val="superscript"/>
        </w:rPr>
        <w:footnoteRef/>
      </w:r>
      <w:r>
        <w:rPr>
          <w:sz w:val="18"/>
          <w:szCs w:val="18"/>
        </w:rPr>
        <w:t xml:space="preserve"> Damn Prop Firms: Helping Build Futures Traders. https://damnpropfirms.com/prop-firms/slippage-impacts-execution-accuracy/</w:t>
      </w:r>
      <w:bookmarkEnd w:id="10109"/>
    </w:p>
  </w:footnote>
  <w:footnote w:id="110">
    <w:p>
      <w:pPr>
        <w:pStyle w:val="FootnoteText"/>
        <w:spacing w:before="0" w:after="0" w:line="200" w:lineRule="exact"/>
      </w:pPr>
      <w:bookmarkStart w:id="10110" w:name="_Ref_Footnote_110"/>
      <w:r>
        <w:rPr>
          <w:rStyle w:val="FootnoteReference"/>
          <w:vertAlign w:val="superscript"/>
        </w:rPr>
        <w:footnoteRef/>
      </w:r>
      <w:r>
        <w:rPr>
          <w:sz w:val="18"/>
          <w:szCs w:val="18"/>
        </w:rPr>
        <w:t xml:space="preserve"> xiaoyuzhoufm.com. https://www.xiaoyuzhoufm.com/episode/69cab762e2c8be3155f0fea0</w:t>
      </w:r>
      <w:bookmarkEnd w:id="10110"/>
    </w:p>
  </w:footnote>
  <w:footnote w:id="111">
    <w:p>
      <w:pPr>
        <w:pStyle w:val="FootnoteText"/>
        <w:spacing w:before="0" w:after="0" w:line="200" w:lineRule="exact"/>
      </w:pPr>
      <w:bookmarkStart w:id="10111" w:name="_Ref_Footnote_111"/>
      <w:r>
        <w:rPr>
          <w:rStyle w:val="FootnoteReference"/>
          <w:vertAlign w:val="superscript"/>
        </w:rPr>
        <w:footnoteRef/>
      </w:r>
      <w:r>
        <w:rPr>
          <w:sz w:val="18"/>
          <w:szCs w:val="18"/>
        </w:rPr>
        <w:t xml:space="preserve"> Dev Genius. https://blog.devgenius.io/batch-to-real-time-building-a-next-generation-market-data-platform-using-airflow-kafka-and-flink-999b5c6a82df</w:t>
      </w:r>
      <w:bookmarkEnd w:id="10111"/>
    </w:p>
  </w:footnote>
  <w:footnote w:id="112">
    <w:p>
      <w:pPr>
        <w:pStyle w:val="FootnoteText"/>
        <w:spacing w:before="0" w:after="0" w:line="200" w:lineRule="exact"/>
      </w:pPr>
      <w:bookmarkStart w:id="10112" w:name="_Ref_Footnote_112"/>
      <w:r>
        <w:rPr>
          <w:rStyle w:val="FootnoteReference"/>
          <w:vertAlign w:val="superscript"/>
        </w:rPr>
        <w:footnoteRef/>
      </w:r>
      <w:r>
        <w:rPr>
          <w:sz w:val="18"/>
          <w:szCs w:val="18"/>
        </w:rPr>
        <w:t xml:space="preserve"> QuickNode. https://www.quicknode.com/docs/hyperliquid/grpc-api</w:t>
      </w:r>
      <w:bookmarkEnd w:id="10112"/>
    </w:p>
  </w:footnote>
  <w:footnote w:id="113">
    <w:p>
      <w:pPr>
        <w:pStyle w:val="FootnoteText"/>
        <w:spacing w:before="0" w:after="0" w:line="200" w:lineRule="exact"/>
      </w:pPr>
      <w:bookmarkStart w:id="10113" w:name="_Ref_Footnote_113"/>
      <w:r>
        <w:rPr>
          <w:rStyle w:val="FootnoteReference"/>
          <w:vertAlign w:val="superscript"/>
        </w:rPr>
        <w:footnoteRef/>
      </w:r>
      <w:r>
        <w:rPr>
          <w:sz w:val="18"/>
          <w:szCs w:val="18"/>
        </w:rPr>
        <w:t xml:space="preserve"> arXiv.org. https://arxiv.org/html/2411.13881v1</w:t>
      </w:r>
      <w:bookmarkEnd w:id="10113"/>
    </w:p>
  </w:footnote>
  <w:footnote w:id="114">
    <w:p>
      <w:pPr>
        <w:pStyle w:val="FootnoteText"/>
        <w:spacing w:before="0" w:after="0" w:line="200" w:lineRule="exact"/>
      </w:pPr>
      <w:bookmarkStart w:id="10114" w:name="_Ref_Footnote_114"/>
      <w:r>
        <w:rPr>
          <w:rStyle w:val="FootnoteReference"/>
          <w:vertAlign w:val="superscript"/>
        </w:rPr>
        <w:footnoteRef/>
      </w:r>
      <w:r>
        <w:rPr>
          <w:sz w:val="18"/>
          <w:szCs w:val="18"/>
        </w:rPr>
        <w:t xml:space="preserve"> Gitee. https://gitee.com/635858793/FactorWeave-Quant</w:t>
      </w:r>
      <w:bookmarkEnd w:id="10114"/>
    </w:p>
  </w:footnote>
  <w:footnote w:id="115">
    <w:p>
      <w:pPr>
        <w:pStyle w:val="FootnoteText"/>
        <w:spacing w:before="0" w:after="0" w:line="200" w:lineRule="exact"/>
      </w:pPr>
      <w:bookmarkStart w:id="10115" w:name="_Ref_Footnote_115"/>
      <w:r>
        <w:rPr>
          <w:rStyle w:val="FootnoteReference"/>
          <w:vertAlign w:val="superscript"/>
        </w:rPr>
        <w:footnoteRef/>
      </w:r>
      <w:r>
        <w:rPr>
          <w:sz w:val="18"/>
          <w:szCs w:val="18"/>
        </w:rPr>
        <w:t xml:space="preserve"> CSDN博客. https://blog.csdn.net/u879324578/article/details/135842142</w:t>
      </w:r>
      <w:bookmarkEnd w:id="10115"/>
    </w:p>
  </w:footnote>
  <w:footnote w:id="116">
    <w:p>
      <w:pPr>
        <w:pStyle w:val="FootnoteText"/>
        <w:spacing w:before="0" w:after="0" w:line="200" w:lineRule="exact"/>
      </w:pPr>
      <w:bookmarkStart w:id="10116" w:name="_Ref_Footnote_116"/>
      <w:r>
        <w:rPr>
          <w:rStyle w:val="FootnoteReference"/>
          <w:vertAlign w:val="superscript"/>
        </w:rPr>
        <w:footnoteRef/>
      </w:r>
      <w:r>
        <w:rPr>
          <w:sz w:val="18"/>
          <w:szCs w:val="18"/>
        </w:rPr>
        <w:t xml:space="preserve"> quant67.com. https://quant67.com/post/quant/28-ops-compliance/28-ops-compliance.html</w:t>
      </w:r>
      <w:bookmarkEnd w:id="10116"/>
    </w:p>
  </w:footnote>
  <w:footnote w:id="117">
    <w:p>
      <w:pPr>
        <w:pStyle w:val="FootnoteText"/>
        <w:spacing w:before="0" w:after="0" w:line="200" w:lineRule="exact"/>
      </w:pPr>
      <w:bookmarkStart w:id="10117" w:name="_Ref_Footnote_117"/>
      <w:r>
        <w:rPr>
          <w:rStyle w:val="FootnoteReference"/>
          <w:vertAlign w:val="superscript"/>
        </w:rPr>
        <w:footnoteRef/>
      </w:r>
      <w:r>
        <w:rPr>
          <w:sz w:val="18"/>
          <w:szCs w:val="18"/>
        </w:rPr>
        <w:t xml:space="preserve"> 稀土掘金. https://juejin.cn/post/7615590290817695786</w:t>
      </w:r>
      <w:bookmarkEnd w:id="10117"/>
    </w:p>
  </w:footnote>
  <w:footnote w:id="118">
    <w:p>
      <w:pPr>
        <w:pStyle w:val="FootnoteText"/>
        <w:spacing w:before="0" w:after="0" w:line="200" w:lineRule="exact"/>
      </w:pPr>
      <w:bookmarkStart w:id="10118" w:name="_Ref_Footnote_118"/>
      <w:r>
        <w:rPr>
          <w:rStyle w:val="FootnoteReference"/>
          <w:vertAlign w:val="superscript"/>
        </w:rPr>
        <w:footnoteRef/>
      </w:r>
      <w:r>
        <w:rPr>
          <w:sz w:val="18"/>
          <w:szCs w:val="18"/>
        </w:rPr>
        <w:t xml:space="preserve"> CSDN博客. https://blog.csdn.net/m0_73841933/article/details/157806733</w:t>
      </w:r>
      <w:bookmarkEnd w:id="10118"/>
    </w:p>
  </w:footnote>
  <w:footnote w:id="119">
    <w:p>
      <w:pPr>
        <w:pStyle w:val="FootnoteText"/>
        <w:spacing w:before="0" w:after="0" w:line="200" w:lineRule="exact"/>
      </w:pPr>
      <w:bookmarkStart w:id="10119" w:name="_Ref_Footnote_119"/>
      <w:r>
        <w:rPr>
          <w:rStyle w:val="FootnoteReference"/>
          <w:vertAlign w:val="superscript"/>
        </w:rPr>
        <w:footnoteRef/>
      </w:r>
      <w:r>
        <w:rPr>
          <w:sz w:val="18"/>
          <w:szCs w:val="18"/>
        </w:rPr>
        <w:t xml:space="preserve"> CSDN博客. https://blog.csdn.net/wencaitouzi/article/details/149201973</w:t>
      </w:r>
      <w:bookmarkEnd w:id="10119"/>
    </w:p>
  </w:footnote>
  <w:footnote w:id="120">
    <w:p>
      <w:pPr>
        <w:pStyle w:val="FootnoteText"/>
        <w:spacing w:before="0" w:after="0" w:line="200" w:lineRule="exact"/>
      </w:pPr>
      <w:bookmarkStart w:id="10120" w:name="_Ref_Footnote_120"/>
      <w:r>
        <w:rPr>
          <w:rStyle w:val="FootnoteReference"/>
          <w:vertAlign w:val="superscript"/>
        </w:rPr>
        <w:footnoteRef/>
      </w:r>
      <w:r>
        <w:rPr>
          <w:sz w:val="18"/>
          <w:szCs w:val="18"/>
        </w:rPr>
        <w:t xml:space="preserve"> Gitee. https://gitee.com/mirrors/FMZ-strategies/blob/master/CCI%E5%8A%A8%E9%87%8F%E8%83%8C%E7%A6%BB%E8%B6%8B%E5%8A%BF%E4%BA%A4%E6%98%93%E7%AD%96%E7%95%A5CCI-Momentum-Divergence-Trend-Trading-Strategy.md</w:t>
      </w:r>
      <w:bookmarkEnd w:id="10120"/>
    </w:p>
  </w:footnote>
  <w:footnote w:id="121">
    <w:p>
      <w:pPr>
        <w:pStyle w:val="FootnoteText"/>
        <w:spacing w:before="0" w:after="0" w:line="200" w:lineRule="exact"/>
      </w:pPr>
      <w:bookmarkStart w:id="10121" w:name="_Ref_Footnote_121"/>
      <w:r>
        <w:rPr>
          <w:rStyle w:val="FootnoteReference"/>
          <w:vertAlign w:val="superscript"/>
        </w:rPr>
        <w:footnoteRef/>
      </w:r>
      <w:r>
        <w:rPr>
          <w:sz w:val="18"/>
          <w:szCs w:val="18"/>
        </w:rPr>
        <w:t xml:space="preserve"> DEV Community. https://dev.to/linou518/backtrader-vs-vnpy-vs-qlib-a-deep-comparison-of-python-quant-backtesting-frameworks-2026-3gjl</w:t>
      </w:r>
      <w:bookmarkEnd w:id="10121"/>
    </w:p>
  </w:footnote>
  <w:footnote w:id="122">
    <w:p>
      <w:pPr>
        <w:pStyle w:val="FootnoteText"/>
        <w:spacing w:before="0" w:after="0" w:line="200" w:lineRule="exact"/>
      </w:pPr>
      <w:bookmarkStart w:id="10122" w:name="_Ref_Footnote_122"/>
      <w:r>
        <w:rPr>
          <w:rStyle w:val="FootnoteReference"/>
          <w:vertAlign w:val="superscript"/>
        </w:rPr>
        <w:footnoteRef/>
      </w:r>
      <w:r>
        <w:rPr>
          <w:sz w:val="18"/>
          <w:szCs w:val="18"/>
        </w:rPr>
        <w:t xml:space="preserve"> CSDN博客. https://blog.csdn.net/HiWangWenBing/article/details/154667715</w:t>
      </w:r>
      <w:bookmarkEnd w:id="10122"/>
    </w:p>
  </w:footnote>
  <w:footnote w:id="123">
    <w:p>
      <w:pPr>
        <w:pStyle w:val="FootnoteText"/>
        <w:spacing w:before="0" w:after="0" w:line="200" w:lineRule="exact"/>
      </w:pPr>
      <w:bookmarkStart w:id="10123" w:name="_Ref_Footnote_123"/>
      <w:r>
        <w:rPr>
          <w:rStyle w:val="FootnoteReference"/>
          <w:vertAlign w:val="superscript"/>
        </w:rPr>
        <w:footnoteRef/>
      </w:r>
      <w:r>
        <w:rPr>
          <w:sz w:val="18"/>
          <w:szCs w:val="18"/>
        </w:rPr>
        <w:t xml:space="preserve"> 新浪财经网. https://cj.sina.com.cn/articles/view/7857141524/1d452771401901kigm?froms=ggmp</w:t>
      </w:r>
      <w:bookmarkEnd w:id="10123"/>
    </w:p>
  </w:footnote>
  <w:footnote w:id="124">
    <w:p>
      <w:pPr>
        <w:pStyle w:val="FootnoteText"/>
        <w:spacing w:before="0" w:after="0" w:line="200" w:lineRule="exact"/>
      </w:pPr>
      <w:bookmarkStart w:id="10124" w:name="_Ref_Footnote_124"/>
      <w:r>
        <w:rPr>
          <w:rStyle w:val="FootnoteReference"/>
          <w:vertAlign w:val="superscript"/>
        </w:rPr>
        <w:footnoteRef/>
      </w:r>
      <w:r>
        <w:rPr>
          <w:sz w:val="18"/>
          <w:szCs w:val="18"/>
        </w:rPr>
        <w:t xml:space="preserve"> CSDN博客. https://blog.csdn.net/weixin_49199313/article/details/156026050</w:t>
      </w:r>
      <w:bookmarkEnd w:id="10124"/>
    </w:p>
  </w:footnote>
  <w:footnote w:id="125">
    <w:p>
      <w:pPr>
        <w:pStyle w:val="FootnoteText"/>
        <w:spacing w:before="0" w:after="0" w:line="200" w:lineRule="exact"/>
      </w:pPr>
      <w:bookmarkStart w:id="10125" w:name="_Ref_Footnote_125"/>
      <w:r>
        <w:rPr>
          <w:rStyle w:val="FootnoteReference"/>
          <w:vertAlign w:val="superscript"/>
        </w:rPr>
        <w:footnoteRef/>
      </w:r>
      <w:r>
        <w:rPr>
          <w:sz w:val="18"/>
          <w:szCs w:val="18"/>
        </w:rPr>
        <w:t xml:space="preserve"> kaiyuanshe.github.io. https://kaiyuanshe.github.io/2023-China-Open-Source-Report/commercialization.html</w:t>
      </w:r>
      <w:bookmarkEnd w:id="10125"/>
    </w:p>
  </w:footnote>
  <w:footnote w:id="126">
    <w:p>
      <w:pPr>
        <w:pStyle w:val="FootnoteText"/>
        <w:spacing w:before="0" w:after="0" w:line="200" w:lineRule="exact"/>
      </w:pPr>
      <w:bookmarkStart w:id="10126" w:name="_Ref_Footnote_126"/>
      <w:r>
        <w:rPr>
          <w:rStyle w:val="FootnoteReference"/>
          <w:vertAlign w:val="superscript"/>
        </w:rPr>
        <w:footnoteRef/>
      </w:r>
      <w:r>
        <w:rPr>
          <w:sz w:val="18"/>
          <w:szCs w:val="18"/>
        </w:rPr>
        <w:t xml:space="preserve"> 51CTO. https://blog.51cto.com/u_15101595/2624422</w:t>
      </w:r>
      <w:bookmarkEnd w:id="10126"/>
    </w:p>
  </w:footnote>
  <w:footnote w:id="127">
    <w:p>
      <w:pPr>
        <w:pStyle w:val="FootnoteText"/>
        <w:spacing w:before="0" w:after="0" w:line="200" w:lineRule="exact"/>
      </w:pPr>
      <w:bookmarkStart w:id="10127" w:name="_Ref_Footnote_127"/>
      <w:r>
        <w:rPr>
          <w:rStyle w:val="FootnoteReference"/>
          <w:vertAlign w:val="superscript"/>
        </w:rPr>
        <w:footnoteRef/>
      </w:r>
      <w:r>
        <w:rPr>
          <w:sz w:val="18"/>
          <w:szCs w:val="18"/>
        </w:rPr>
        <w:t xml:space="preserve"> 微信公众号(券商中国). http://mp.weixin.qq.com/s?__biz=MzA3NjM5MjIwOQ==&amp;mid=2652224444&amp;idx=2&amp;sn=ea2b057fadb5e84882296ad072140195</w:t>
      </w:r>
      <w:bookmarkEnd w:id="10127"/>
    </w:p>
  </w:footnote>
  <w:footnote w:id="128">
    <w:p>
      <w:pPr>
        <w:pStyle w:val="FootnoteText"/>
        <w:spacing w:before="0" w:after="0" w:line="200" w:lineRule="exact"/>
      </w:pPr>
      <w:bookmarkStart w:id="10128" w:name="_Ref_Footnote_128"/>
      <w:r>
        <w:rPr>
          <w:rStyle w:val="FootnoteReference"/>
          <w:vertAlign w:val="superscript"/>
        </w:rPr>
        <w:footnoteRef/>
      </w:r>
      <w:r>
        <w:rPr>
          <w:sz w:val="18"/>
          <w:szCs w:val="18"/>
        </w:rPr>
        <w:t xml:space="preserve"> 雪球. https://xueqiu.com/5105549056/107126520</w:t>
      </w:r>
      <w:bookmarkEnd w:id="10128"/>
    </w:p>
  </w:footnote>
  <w:footnote w:id="129">
    <w:p>
      <w:pPr>
        <w:pStyle w:val="FootnoteText"/>
        <w:spacing w:before="0" w:after="0" w:line="200" w:lineRule="exact"/>
      </w:pPr>
      <w:bookmarkStart w:id="10129" w:name="_Ref_Footnote_129"/>
      <w:r>
        <w:rPr>
          <w:rStyle w:val="FootnoteReference"/>
          <w:vertAlign w:val="superscript"/>
        </w:rPr>
        <w:footnoteRef/>
      </w:r>
      <w:r>
        <w:rPr>
          <w:sz w:val="18"/>
          <w:szCs w:val="18"/>
        </w:rPr>
        <w:t xml:space="preserve"> CSDN博客. https://blog.csdn.net/universsky2015/article/details/150402183</w:t>
      </w:r>
      <w:bookmarkEnd w:id="10129"/>
    </w:p>
  </w:footnote>
  <w:footnote w:id="130">
    <w:p>
      <w:pPr>
        <w:pStyle w:val="FootnoteText"/>
        <w:spacing w:before="0" w:after="0" w:line="200" w:lineRule="exact"/>
      </w:pPr>
      <w:bookmarkStart w:id="10130" w:name="_Ref_Footnote_130"/>
      <w:r>
        <w:rPr>
          <w:rStyle w:val="FootnoteReference"/>
          <w:vertAlign w:val="superscript"/>
        </w:rPr>
        <w:footnoteRef/>
      </w:r>
      <w:r>
        <w:rPr>
          <w:sz w:val="18"/>
          <w:szCs w:val="18"/>
        </w:rPr>
        <w:t xml:space="preserve"> 糖果梦日报. https://news.tgmeng.com/p/6d6a6937/</w:t>
      </w:r>
      <w:bookmarkEnd w:id="10130"/>
    </w:p>
  </w:footnote>
  <w:footnote w:id="131">
    <w:p>
      <w:pPr>
        <w:pStyle w:val="FootnoteText"/>
        <w:spacing w:before="0" w:after="0" w:line="200" w:lineRule="exact"/>
      </w:pPr>
      <w:bookmarkStart w:id="10131" w:name="_Ref_Footnote_131"/>
      <w:r>
        <w:rPr>
          <w:rStyle w:val="FootnoteReference"/>
          <w:vertAlign w:val="superscript"/>
        </w:rPr>
        <w:footnoteRef/>
      </w:r>
      <w:r>
        <w:rPr>
          <w:sz w:val="18"/>
          <w:szCs w:val="18"/>
        </w:rPr>
        <w:t xml:space="preserve"> 野生量化员. https://www.quant666.com/219.html</w:t>
      </w:r>
      <w:bookmarkEnd w:id="10131"/>
    </w:p>
  </w:footnote>
  <w:footnote w:id="132">
    <w:p>
      <w:pPr>
        <w:pStyle w:val="FootnoteText"/>
        <w:spacing w:before="0" w:after="0" w:line="200" w:lineRule="exact"/>
      </w:pPr>
      <w:bookmarkStart w:id="10132" w:name="_Ref_Footnote_132"/>
      <w:r>
        <w:rPr>
          <w:rStyle w:val="FootnoteReference"/>
          <w:vertAlign w:val="superscript"/>
        </w:rPr>
        <w:footnoteRef/>
      </w:r>
      <w:r>
        <w:rPr>
          <w:sz w:val="18"/>
          <w:szCs w:val="18"/>
        </w:rPr>
        <w:t xml:space="preserve"> 新浪财经. https://finance.sina.com.cn/roll/2025-06-11/doc-inezrtft9733030.shtml</w:t>
      </w:r>
      <w:bookmarkEnd w:id="10132"/>
    </w:p>
  </w:footnote>
  <w:footnote w:id="133">
    <w:p>
      <w:pPr>
        <w:pStyle w:val="FootnoteText"/>
        <w:spacing w:before="0" w:after="0" w:line="200" w:lineRule="exact"/>
      </w:pPr>
      <w:bookmarkStart w:id="10133" w:name="_Ref_Footnote_133"/>
      <w:r>
        <w:rPr>
          <w:rStyle w:val="FootnoteReference"/>
          <w:vertAlign w:val="superscript"/>
        </w:rPr>
        <w:footnoteRef/>
      </w:r>
      <w:r>
        <w:rPr>
          <w:sz w:val="18"/>
          <w:szCs w:val="18"/>
        </w:rPr>
        <w:t xml:space="preserve"> CSDN博客. https://blog.csdn.net/2501_91492197/article/details/161169636</w:t>
      </w:r>
      <w:bookmarkEnd w:id="10133"/>
    </w:p>
  </w:footnote>
  <w:footnote w:id="134">
    <w:p>
      <w:pPr>
        <w:pStyle w:val="FootnoteText"/>
        <w:spacing w:before="0" w:after="0" w:line="200" w:lineRule="exact"/>
      </w:pPr>
      <w:bookmarkStart w:id="10134" w:name="_Ref_Footnote_134"/>
      <w:r>
        <w:rPr>
          <w:rStyle w:val="FootnoteReference"/>
          <w:vertAlign w:val="superscript"/>
        </w:rPr>
        <w:footnoteRef/>
      </w:r>
      <w:r>
        <w:rPr>
          <w:sz w:val="18"/>
          <w:szCs w:val="18"/>
        </w:rPr>
        <w:t xml:space="preserve"> https://www.tbxsx.cn/blog/regime-pj6l/</w:t>
      </w:r>
      <w:bookmarkEnd w:id="10134"/>
    </w:p>
  </w:footnote>
  <w:footnote w:id="135">
    <w:p>
      <w:pPr>
        <w:pStyle w:val="FootnoteText"/>
        <w:spacing w:before="0" w:after="0" w:line="200" w:lineRule="exact"/>
      </w:pPr>
      <w:bookmarkStart w:id="10135" w:name="_Ref_Footnote_135"/>
      <w:r>
        <w:rPr>
          <w:rStyle w:val="FootnoteReference"/>
          <w:vertAlign w:val="superscript"/>
        </w:rPr>
        <w:footnoteRef/>
      </w:r>
      <w:r>
        <w:rPr>
          <w:sz w:val="18"/>
          <w:szCs w:val="18"/>
        </w:rPr>
        <w:t xml:space="preserve"> Quantified Strategies. https://www.quantifiedstrategies.com/multiple-timeframe-strategy/</w:t>
      </w:r>
      <w:bookmarkEnd w:id="10135"/>
    </w:p>
  </w:footnote>
  <w:footnote w:id="136">
    <w:p>
      <w:pPr>
        <w:pStyle w:val="FootnoteText"/>
        <w:spacing w:before="0" w:after="0" w:line="200" w:lineRule="exact"/>
      </w:pPr>
      <w:bookmarkStart w:id="10136" w:name="_Ref_Footnote_136"/>
      <w:r>
        <w:rPr>
          <w:rStyle w:val="FootnoteReference"/>
          <w:vertAlign w:val="superscript"/>
        </w:rPr>
        <w:footnoteRef/>
      </w:r>
      <w:r>
        <w:rPr>
          <w:sz w:val="18"/>
          <w:szCs w:val="18"/>
        </w:rPr>
        <w:t xml:space="preserve"> Lune. https://lunefi.com/blog/tradingview-strategy-library-2026-100k-scripts-trends-backtest-automation</w:t>
      </w:r>
      <w:bookmarkEnd w:id="10136"/>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55" Target="media/rId55.png"/><Relationship Type="http://schemas.openxmlformats.org/officeDocument/2006/relationships/image" Id="rId93" Target="media/rId93.png"/><Relationship Type="http://schemas.openxmlformats.org/officeDocument/2006/relationships/image" Id="rId50" Target="media/rId50.png"/><Relationship Type="http://schemas.openxmlformats.org/officeDocument/2006/relationships/image" Id="rId26" Target="media/rId26.png"/><Relationship Type="http://schemas.openxmlformats.org/officeDocument/2006/relationships/image" Id="rId85" Target="media/rId85.png"/><Relationship Id="rId94"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2026-05-18T02:10:56Z</dcterms:created>
  <dcterms:modified xsi:type="dcterms:W3CDTF">2026-05-18T02:10:56Z</dcterms:modified>
</cp:coreProperties>
</file>

<file path=docProps/custom.xml><?xml version="1.0" encoding="utf-8"?>
<Properties xmlns="http://schemas.openxmlformats.org/officeDocument/2006/custom-properties" xmlns:vt="http://schemas.openxmlformats.org/officeDocument/2006/docPropsVTypes"/>
</file>