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test_076_02_add_18_testNegativeBottomHeavyZeroAdd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addition of a negative bottom-heavy fraction and</w:t>
            </w:r>
          </w:p>
          <w:p w14:paraId="267AF9B5" w14:textId="3E9FA8A0" w:rsidR="00712DE8" w:rsidRDefault="00A7167C" w:rsidP="00A7167C">
            <w:pPr>
              <w:widowControl w:val="0"/>
              <w:ind w:left="120"/>
            </w:pPr>
            <w:r>
              <w:t xml:space="preserve">zero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7167C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A7167C" w:rsidRDefault="00A7167C" w:rsidP="00A7167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F461FCB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</w:t>
            </w:r>
            <w:r>
              <w:rPr>
                <w:sz w:val="22"/>
                <w:szCs w:val="22"/>
              </w:rPr>
              <w:t>zero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134FF8B3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6A0BA977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A7167C" w:rsidRDefault="00A7167C" w:rsidP="00A7167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E1B5B"/>
    <w:rsid w:val="003952A3"/>
    <w:rsid w:val="00490CAF"/>
    <w:rsid w:val="005A1452"/>
    <w:rsid w:val="00601A11"/>
    <w:rsid w:val="006325A0"/>
    <w:rsid w:val="00712DE8"/>
    <w:rsid w:val="00A22FA8"/>
    <w:rsid w:val="00A7167C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2021-03-15T01:43:00Z</dcterms:modified>
</cp:coreProperties>
</file>