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F5F" w:rsidRDefault="00725F5F" w:rsidP="00725F5F">
      <w:pPr>
        <w:spacing w:after="0" w:line="240" w:lineRule="auto"/>
        <w:jc w:val="center"/>
        <w:rPr>
          <w:rFonts w:ascii="Verdana" w:hAnsi="Verdana"/>
          <w:b/>
          <w:sz w:val="20"/>
          <w:szCs w:val="20"/>
        </w:rPr>
      </w:pPr>
    </w:p>
    <w:p w:rsidR="005D72FB" w:rsidRPr="00685892" w:rsidRDefault="00303676" w:rsidP="00725F5F">
      <w:pPr>
        <w:spacing w:after="0" w:line="240" w:lineRule="auto"/>
        <w:jc w:val="center"/>
        <w:rPr>
          <w:rFonts w:ascii="Verdana" w:hAnsi="Verdana"/>
          <w:b/>
          <w:sz w:val="20"/>
          <w:szCs w:val="20"/>
        </w:rPr>
      </w:pPr>
      <w:r w:rsidRPr="00685892">
        <w:rPr>
          <w:rFonts w:ascii="Verdana" w:hAnsi="Verdana"/>
          <w:b/>
          <w:sz w:val="20"/>
          <w:szCs w:val="20"/>
        </w:rPr>
        <w:t>RESERVE BANK OF INDIA</w:t>
      </w:r>
    </w:p>
    <w:p w:rsidR="00303676" w:rsidRPr="00685892" w:rsidRDefault="00303676" w:rsidP="00725F5F">
      <w:pPr>
        <w:spacing w:after="0" w:line="240" w:lineRule="auto"/>
        <w:ind w:left="360"/>
        <w:rPr>
          <w:rFonts w:ascii="Verdana" w:hAnsi="Verdana"/>
          <w:b/>
          <w:sz w:val="20"/>
          <w:szCs w:val="20"/>
        </w:rPr>
      </w:pPr>
    </w:p>
    <w:p w:rsidR="00685892" w:rsidRDefault="00C2438E" w:rsidP="00685892">
      <w:pPr>
        <w:pStyle w:val="NormalWeb"/>
        <w:shd w:val="clear" w:color="auto" w:fill="FFFFFF"/>
        <w:spacing w:before="0" w:beforeAutospacing="0" w:after="390" w:afterAutospacing="0"/>
        <w:jc w:val="both"/>
        <w:rPr>
          <w:rFonts w:ascii="Verdana" w:hAnsi="Verdana" w:cs="Arial"/>
          <w:color w:val="222222"/>
          <w:sz w:val="20"/>
          <w:szCs w:val="20"/>
        </w:rPr>
      </w:pPr>
      <w:r w:rsidRPr="00685892">
        <w:rPr>
          <w:rFonts w:ascii="Verdana" w:hAnsi="Verdana" w:cs="Arial"/>
          <w:color w:val="222222"/>
          <w:sz w:val="20"/>
          <w:szCs w:val="20"/>
        </w:rPr>
        <w:t xml:space="preserve">The Reserve Bank of India (RBI) began its operations as the India’s Central bank in April, 1935. </w:t>
      </w:r>
      <w:r w:rsidR="00685892" w:rsidRPr="00685892">
        <w:rPr>
          <w:rFonts w:ascii="Verdana" w:hAnsi="Verdana" w:cs="Arial"/>
          <w:color w:val="222222"/>
          <w:sz w:val="20"/>
          <w:szCs w:val="20"/>
        </w:rPr>
        <w:t>Originally, it was a private shareholders’ bank, but since January 1949 it has been functioning as the nationalized Central Bank.</w:t>
      </w:r>
    </w:p>
    <w:p w:rsidR="00C2438E" w:rsidRPr="00685892" w:rsidRDefault="00C2438E" w:rsidP="00685892">
      <w:pPr>
        <w:pStyle w:val="NormalWeb"/>
        <w:shd w:val="clear" w:color="auto" w:fill="FFFFFF"/>
        <w:spacing w:before="0" w:beforeAutospacing="0" w:after="390" w:afterAutospacing="0"/>
        <w:jc w:val="both"/>
        <w:rPr>
          <w:rFonts w:ascii="Verdana" w:hAnsi="Verdana" w:cs="Arial"/>
          <w:color w:val="222222"/>
          <w:sz w:val="20"/>
          <w:szCs w:val="20"/>
        </w:rPr>
      </w:pPr>
      <w:r w:rsidRPr="00685892">
        <w:rPr>
          <w:rFonts w:ascii="Verdana" w:hAnsi="Verdana" w:cs="Arial"/>
          <w:color w:val="222222"/>
          <w:sz w:val="20"/>
          <w:szCs w:val="20"/>
        </w:rPr>
        <w:t>RBI plays an important role in Indian economy.</w:t>
      </w:r>
      <w:r w:rsidR="00685892">
        <w:rPr>
          <w:rFonts w:ascii="Verdana" w:hAnsi="Verdana" w:cs="Arial"/>
          <w:color w:val="222222"/>
          <w:sz w:val="20"/>
          <w:szCs w:val="20"/>
        </w:rPr>
        <w:t xml:space="preserve"> </w:t>
      </w:r>
      <w:r w:rsidRPr="00685892">
        <w:rPr>
          <w:rFonts w:ascii="Verdana" w:hAnsi="Verdana" w:cs="Arial"/>
          <w:color w:val="222222"/>
          <w:sz w:val="20"/>
          <w:szCs w:val="20"/>
        </w:rPr>
        <w:t>The RBI as the leader of the Indian money market and as the India’s Central Bank performs the following useful functions:</w:t>
      </w:r>
    </w:p>
    <w:p w:rsidR="00C2438E" w:rsidRPr="00685892" w:rsidRDefault="00C2438E" w:rsidP="00685892">
      <w:pPr>
        <w:pStyle w:val="ListParagraph"/>
        <w:numPr>
          <w:ilvl w:val="0"/>
          <w:numId w:val="7"/>
        </w:numPr>
        <w:shd w:val="clear" w:color="auto" w:fill="FFFFFF"/>
        <w:spacing w:after="240" w:line="240" w:lineRule="auto"/>
        <w:ind w:left="360"/>
        <w:jc w:val="both"/>
        <w:outlineLvl w:val="2"/>
        <w:rPr>
          <w:rFonts w:ascii="Verdana" w:eastAsia="Times New Roman" w:hAnsi="Verdana" w:cs="Arial"/>
          <w:b/>
          <w:color w:val="222222"/>
          <w:sz w:val="20"/>
          <w:szCs w:val="20"/>
        </w:rPr>
      </w:pPr>
      <w:r w:rsidRPr="00685892">
        <w:rPr>
          <w:rFonts w:ascii="Verdana" w:eastAsia="Times New Roman" w:hAnsi="Verdana" w:cs="Arial"/>
          <w:b/>
          <w:color w:val="222222"/>
          <w:sz w:val="20"/>
          <w:szCs w:val="20"/>
        </w:rPr>
        <w:t>Acting as Note-issuing Authority</w:t>
      </w:r>
    </w:p>
    <w:p w:rsidR="00C2438E" w:rsidRPr="00685892" w:rsidRDefault="00C2438E" w:rsidP="00685892">
      <w:pPr>
        <w:shd w:val="clear" w:color="auto" w:fill="FFFFFF"/>
        <w:spacing w:after="390" w:line="240" w:lineRule="auto"/>
        <w:jc w:val="both"/>
        <w:rPr>
          <w:rFonts w:ascii="Verdana" w:eastAsia="Times New Roman" w:hAnsi="Verdana" w:cs="Arial"/>
          <w:color w:val="222222"/>
          <w:sz w:val="20"/>
          <w:szCs w:val="20"/>
        </w:rPr>
      </w:pPr>
      <w:r w:rsidRPr="00685892">
        <w:rPr>
          <w:rFonts w:ascii="Verdana" w:eastAsia="Times New Roman" w:hAnsi="Verdana" w:cs="Arial"/>
          <w:color w:val="222222"/>
          <w:sz w:val="20"/>
          <w:szCs w:val="20"/>
        </w:rPr>
        <w:t>The authority for the issuance of currency (other than one rupee coins/notes and subsidiary coins) in India is Reserve Bank of India. For the purpose of note issue, at present it has to keep a minimum reserve in foreign securities and in gold. It can however, dispense entirely with the holding of foreign securities if circumstances so require.</w:t>
      </w:r>
    </w:p>
    <w:p w:rsidR="00C2438E" w:rsidRPr="00685892" w:rsidRDefault="00C2438E" w:rsidP="00685892">
      <w:pPr>
        <w:pStyle w:val="ListParagraph"/>
        <w:numPr>
          <w:ilvl w:val="0"/>
          <w:numId w:val="7"/>
        </w:numPr>
        <w:shd w:val="clear" w:color="auto" w:fill="FFFFFF"/>
        <w:spacing w:after="240" w:line="240" w:lineRule="auto"/>
        <w:ind w:left="360"/>
        <w:jc w:val="both"/>
        <w:outlineLvl w:val="2"/>
        <w:rPr>
          <w:rFonts w:ascii="Verdana" w:eastAsia="Times New Roman" w:hAnsi="Verdana" w:cs="Arial"/>
          <w:b/>
          <w:color w:val="222222"/>
          <w:sz w:val="20"/>
          <w:szCs w:val="20"/>
        </w:rPr>
      </w:pPr>
      <w:r w:rsidRPr="00685892">
        <w:rPr>
          <w:rFonts w:ascii="Verdana" w:eastAsia="Times New Roman" w:hAnsi="Verdana" w:cs="Arial"/>
          <w:b/>
          <w:color w:val="222222"/>
          <w:sz w:val="20"/>
          <w:szCs w:val="20"/>
        </w:rPr>
        <w:t>Acting as a Banker to the Government</w:t>
      </w:r>
    </w:p>
    <w:p w:rsidR="00C2438E" w:rsidRPr="00685892" w:rsidRDefault="00C2438E" w:rsidP="00685892">
      <w:pPr>
        <w:shd w:val="clear" w:color="auto" w:fill="FFFFFF"/>
        <w:spacing w:after="390" w:line="240" w:lineRule="auto"/>
        <w:jc w:val="both"/>
        <w:rPr>
          <w:rFonts w:ascii="Verdana" w:eastAsia="Times New Roman" w:hAnsi="Verdana" w:cs="Arial"/>
          <w:color w:val="222222"/>
          <w:sz w:val="20"/>
          <w:szCs w:val="20"/>
        </w:rPr>
      </w:pPr>
      <w:r w:rsidRPr="00685892">
        <w:rPr>
          <w:rFonts w:ascii="Verdana" w:eastAsia="Times New Roman" w:hAnsi="Verdana" w:cs="Arial"/>
          <w:color w:val="222222"/>
          <w:sz w:val="20"/>
          <w:szCs w:val="20"/>
        </w:rPr>
        <w:t>The RBI transacts the banking business of both the Central and the State Governments. It is entrusted with the management of the public debt and the issue of new loans of Governments. It also holds the cash balances of the government free of interest. Besides, it sells Treasury Bills whenever necessary on behalf of the Government. It also gives advice to both the Central and the State Governments for r</w:t>
      </w:r>
      <w:r w:rsidR="00685892">
        <w:rPr>
          <w:rFonts w:ascii="Verdana" w:eastAsia="Times New Roman" w:hAnsi="Verdana" w:cs="Arial"/>
          <w:color w:val="222222"/>
          <w:sz w:val="20"/>
          <w:szCs w:val="20"/>
        </w:rPr>
        <w:t>aising finance for development p</w:t>
      </w:r>
      <w:r w:rsidRPr="00685892">
        <w:rPr>
          <w:rFonts w:ascii="Verdana" w:eastAsia="Times New Roman" w:hAnsi="Verdana" w:cs="Arial"/>
          <w:color w:val="222222"/>
          <w:sz w:val="20"/>
          <w:szCs w:val="20"/>
        </w:rPr>
        <w:t xml:space="preserve">lans. </w:t>
      </w:r>
      <w:r w:rsidR="00685892">
        <w:rPr>
          <w:rFonts w:ascii="Verdana" w:eastAsia="Times New Roman" w:hAnsi="Verdana" w:cs="Arial"/>
          <w:color w:val="222222"/>
          <w:sz w:val="20"/>
          <w:szCs w:val="20"/>
        </w:rPr>
        <w:t>T</w:t>
      </w:r>
      <w:r w:rsidRPr="00685892">
        <w:rPr>
          <w:rFonts w:ascii="Verdana" w:eastAsia="Times New Roman" w:hAnsi="Verdana" w:cs="Arial"/>
          <w:color w:val="222222"/>
          <w:sz w:val="20"/>
          <w:szCs w:val="20"/>
        </w:rPr>
        <w:t>he RBI acts as adviser to Government on various banking and financial matters. It also helps the Government to remit the funds from one place to another.</w:t>
      </w:r>
    </w:p>
    <w:p w:rsidR="00C2438E" w:rsidRPr="00685892" w:rsidRDefault="00C2438E" w:rsidP="00685892">
      <w:pPr>
        <w:pStyle w:val="ListParagraph"/>
        <w:numPr>
          <w:ilvl w:val="0"/>
          <w:numId w:val="7"/>
        </w:numPr>
        <w:shd w:val="clear" w:color="auto" w:fill="FFFFFF"/>
        <w:spacing w:after="240" w:line="240" w:lineRule="auto"/>
        <w:ind w:left="360"/>
        <w:jc w:val="both"/>
        <w:outlineLvl w:val="2"/>
        <w:rPr>
          <w:rFonts w:ascii="Verdana" w:eastAsia="Times New Roman" w:hAnsi="Verdana" w:cs="Arial"/>
          <w:b/>
          <w:color w:val="222222"/>
          <w:sz w:val="20"/>
          <w:szCs w:val="20"/>
        </w:rPr>
      </w:pPr>
      <w:r w:rsidRPr="00685892">
        <w:rPr>
          <w:rFonts w:ascii="Verdana" w:eastAsia="Times New Roman" w:hAnsi="Verdana" w:cs="Arial"/>
          <w:b/>
          <w:color w:val="222222"/>
          <w:sz w:val="20"/>
          <w:szCs w:val="20"/>
        </w:rPr>
        <w:t>Acting as a Banker to the Other Banks</w:t>
      </w:r>
    </w:p>
    <w:p w:rsidR="00C2438E" w:rsidRPr="00685892" w:rsidRDefault="00685892" w:rsidP="00685892">
      <w:pPr>
        <w:shd w:val="clear" w:color="auto" w:fill="FFFFFF"/>
        <w:spacing w:after="390" w:line="240" w:lineRule="auto"/>
        <w:jc w:val="both"/>
        <w:rPr>
          <w:rFonts w:ascii="Verdana" w:eastAsia="Times New Roman" w:hAnsi="Verdana" w:cs="Arial"/>
          <w:color w:val="222222"/>
          <w:sz w:val="20"/>
          <w:szCs w:val="20"/>
        </w:rPr>
      </w:pPr>
      <w:r>
        <w:rPr>
          <w:rFonts w:ascii="Verdana" w:eastAsia="Times New Roman" w:hAnsi="Verdana" w:cs="Arial"/>
          <w:color w:val="222222"/>
          <w:sz w:val="20"/>
          <w:szCs w:val="20"/>
        </w:rPr>
        <w:t>T</w:t>
      </w:r>
      <w:r w:rsidR="00C2438E" w:rsidRPr="00685892">
        <w:rPr>
          <w:rFonts w:ascii="Verdana" w:eastAsia="Times New Roman" w:hAnsi="Verdana" w:cs="Arial"/>
          <w:color w:val="222222"/>
          <w:sz w:val="20"/>
          <w:szCs w:val="20"/>
        </w:rPr>
        <w:t>he RBI acts as a banker to other banks. It keeps a certain percentage of their deposits as reserve and gives them rediscounting facilities against some specified bills</w:t>
      </w:r>
      <w:r>
        <w:rPr>
          <w:rFonts w:ascii="Verdana" w:eastAsia="Times New Roman" w:hAnsi="Verdana" w:cs="Arial"/>
          <w:color w:val="222222"/>
          <w:sz w:val="20"/>
          <w:szCs w:val="20"/>
        </w:rPr>
        <w:t xml:space="preserve"> </w:t>
      </w:r>
      <w:r w:rsidR="00C2438E" w:rsidRPr="00685892">
        <w:rPr>
          <w:rFonts w:ascii="Verdana" w:eastAsia="Times New Roman" w:hAnsi="Verdana" w:cs="Arial"/>
          <w:color w:val="222222"/>
          <w:sz w:val="20"/>
          <w:szCs w:val="20"/>
        </w:rPr>
        <w:t>and furnishes advances against government securities. It also gives them free remittance facilities. Against these facilities the scheduled banks are required by law to keep a certain percentage of their deposit liabilities as reserve.</w:t>
      </w:r>
    </w:p>
    <w:p w:rsidR="00C2438E" w:rsidRPr="00685892" w:rsidRDefault="00C2438E" w:rsidP="00685892">
      <w:pPr>
        <w:pStyle w:val="ListParagraph"/>
        <w:numPr>
          <w:ilvl w:val="0"/>
          <w:numId w:val="7"/>
        </w:numPr>
        <w:shd w:val="clear" w:color="auto" w:fill="FFFFFF"/>
        <w:spacing w:after="240" w:line="240" w:lineRule="auto"/>
        <w:ind w:left="360"/>
        <w:jc w:val="both"/>
        <w:outlineLvl w:val="2"/>
        <w:rPr>
          <w:rFonts w:ascii="Verdana" w:eastAsia="Times New Roman" w:hAnsi="Verdana" w:cs="Arial"/>
          <w:b/>
          <w:color w:val="222222"/>
          <w:sz w:val="20"/>
          <w:szCs w:val="20"/>
        </w:rPr>
      </w:pPr>
      <w:r w:rsidRPr="00685892">
        <w:rPr>
          <w:rFonts w:ascii="Verdana" w:eastAsia="Times New Roman" w:hAnsi="Verdana" w:cs="Arial"/>
          <w:b/>
          <w:color w:val="222222"/>
          <w:sz w:val="20"/>
          <w:szCs w:val="20"/>
        </w:rPr>
        <w:t>Monetary Regulations</w:t>
      </w:r>
    </w:p>
    <w:p w:rsidR="00C2438E" w:rsidRPr="00685892" w:rsidRDefault="00C2438E" w:rsidP="00685892">
      <w:pPr>
        <w:shd w:val="clear" w:color="auto" w:fill="FFFFFF"/>
        <w:spacing w:after="390" w:line="240" w:lineRule="auto"/>
        <w:jc w:val="both"/>
        <w:rPr>
          <w:rFonts w:ascii="Verdana" w:eastAsia="Times New Roman" w:hAnsi="Verdana" w:cs="Arial"/>
          <w:color w:val="222222"/>
          <w:sz w:val="20"/>
          <w:szCs w:val="20"/>
        </w:rPr>
      </w:pPr>
      <w:r w:rsidRPr="00685892">
        <w:rPr>
          <w:rFonts w:ascii="Verdana" w:eastAsia="Times New Roman" w:hAnsi="Verdana" w:cs="Arial"/>
          <w:color w:val="222222"/>
          <w:sz w:val="20"/>
          <w:szCs w:val="20"/>
        </w:rPr>
        <w:t>The RBI controls the volume of bank advances to implement its monetary and credit policy. It possesses various methods of credit control such as the Bank Rate Policy, Open Market Operations, Variable Reserve Ratio, Selective Credit Controls, etc. At present, it has been implementing the policy of controlled expansions of bank credit.</w:t>
      </w:r>
    </w:p>
    <w:p w:rsidR="00C2438E" w:rsidRPr="00685892" w:rsidRDefault="00C2438E" w:rsidP="00685892">
      <w:pPr>
        <w:pStyle w:val="ListParagraph"/>
        <w:numPr>
          <w:ilvl w:val="0"/>
          <w:numId w:val="7"/>
        </w:numPr>
        <w:shd w:val="clear" w:color="auto" w:fill="FFFFFF"/>
        <w:spacing w:after="240" w:line="240" w:lineRule="auto"/>
        <w:ind w:left="360"/>
        <w:jc w:val="both"/>
        <w:outlineLvl w:val="2"/>
        <w:rPr>
          <w:rFonts w:ascii="Verdana" w:eastAsia="Times New Roman" w:hAnsi="Verdana" w:cs="Arial"/>
          <w:b/>
          <w:color w:val="222222"/>
          <w:sz w:val="20"/>
          <w:szCs w:val="20"/>
        </w:rPr>
      </w:pPr>
      <w:r w:rsidRPr="00685892">
        <w:rPr>
          <w:rFonts w:ascii="Verdana" w:eastAsia="Times New Roman" w:hAnsi="Verdana" w:cs="Arial"/>
          <w:b/>
          <w:color w:val="222222"/>
          <w:sz w:val="20"/>
          <w:szCs w:val="20"/>
        </w:rPr>
        <w:t>Supervision and Control of Commercial Banks</w:t>
      </w:r>
    </w:p>
    <w:p w:rsidR="00C2438E" w:rsidRPr="00685892" w:rsidRDefault="00C2438E" w:rsidP="00685892">
      <w:pPr>
        <w:shd w:val="clear" w:color="auto" w:fill="FFFFFF"/>
        <w:spacing w:after="390" w:line="240" w:lineRule="auto"/>
        <w:jc w:val="both"/>
        <w:rPr>
          <w:rFonts w:ascii="Verdana" w:eastAsia="Times New Roman" w:hAnsi="Verdana" w:cs="Arial"/>
          <w:color w:val="222222"/>
          <w:sz w:val="20"/>
          <w:szCs w:val="20"/>
        </w:rPr>
      </w:pPr>
      <w:r w:rsidRPr="00685892">
        <w:rPr>
          <w:rFonts w:ascii="Verdana" w:eastAsia="Times New Roman" w:hAnsi="Verdana" w:cs="Arial"/>
          <w:color w:val="222222"/>
          <w:sz w:val="20"/>
          <w:szCs w:val="20"/>
        </w:rPr>
        <w:t>The Banking Regulations Act 1949, has empowered the RBI to supervise and control the operations of the commercial banks regarding their, paid up capital and reserves, licensing, branch expansion, cash balance, liquid assets, submission of periodical reports to the RBI, suspension of business etc.</w:t>
      </w:r>
    </w:p>
    <w:p w:rsidR="00C2438E" w:rsidRPr="00685892" w:rsidRDefault="00C2438E" w:rsidP="00685892">
      <w:pPr>
        <w:pStyle w:val="ListParagraph"/>
        <w:numPr>
          <w:ilvl w:val="0"/>
          <w:numId w:val="7"/>
        </w:numPr>
        <w:shd w:val="clear" w:color="auto" w:fill="FFFFFF"/>
        <w:spacing w:after="240" w:line="240" w:lineRule="auto"/>
        <w:ind w:left="360"/>
        <w:jc w:val="both"/>
        <w:outlineLvl w:val="2"/>
        <w:rPr>
          <w:rFonts w:ascii="Verdana" w:eastAsia="Times New Roman" w:hAnsi="Verdana" w:cs="Arial"/>
          <w:b/>
          <w:color w:val="222222"/>
          <w:sz w:val="20"/>
          <w:szCs w:val="20"/>
        </w:rPr>
      </w:pPr>
      <w:r w:rsidRPr="00685892">
        <w:rPr>
          <w:rFonts w:ascii="Verdana" w:eastAsia="Times New Roman" w:hAnsi="Verdana" w:cs="Arial"/>
          <w:b/>
          <w:color w:val="222222"/>
          <w:sz w:val="20"/>
          <w:szCs w:val="20"/>
        </w:rPr>
        <w:t>Maintenance of Exchange Value of the Rupee</w:t>
      </w:r>
    </w:p>
    <w:p w:rsidR="00C2438E" w:rsidRPr="00685892" w:rsidRDefault="00C2438E" w:rsidP="00685892">
      <w:pPr>
        <w:shd w:val="clear" w:color="auto" w:fill="FFFFFF"/>
        <w:spacing w:after="390" w:line="240" w:lineRule="auto"/>
        <w:jc w:val="both"/>
        <w:rPr>
          <w:rFonts w:ascii="Verdana" w:eastAsia="Times New Roman" w:hAnsi="Verdana" w:cs="Arial"/>
          <w:color w:val="222222"/>
          <w:sz w:val="20"/>
          <w:szCs w:val="20"/>
        </w:rPr>
      </w:pPr>
      <w:r w:rsidRPr="00685892">
        <w:rPr>
          <w:rFonts w:ascii="Verdana" w:eastAsia="Times New Roman" w:hAnsi="Verdana" w:cs="Arial"/>
          <w:color w:val="222222"/>
          <w:sz w:val="20"/>
          <w:szCs w:val="20"/>
        </w:rPr>
        <w:t>The RBI has also an important role to play in the maintenance of the exchange value of the rupee. For this purpose, it is entrusted with the custody and management of the country’s international reserves. It acts also as the agent of the government in respect of India’s membership control in accordance with the Government’s trade policy.</w:t>
      </w:r>
    </w:p>
    <w:p w:rsidR="00C2438E" w:rsidRPr="00685892" w:rsidRDefault="00C2438E" w:rsidP="00685892">
      <w:pPr>
        <w:pStyle w:val="ListParagraph"/>
        <w:numPr>
          <w:ilvl w:val="0"/>
          <w:numId w:val="7"/>
        </w:numPr>
        <w:shd w:val="clear" w:color="auto" w:fill="FFFFFF"/>
        <w:spacing w:after="240" w:line="240" w:lineRule="auto"/>
        <w:ind w:left="360"/>
        <w:jc w:val="both"/>
        <w:outlineLvl w:val="2"/>
        <w:rPr>
          <w:rFonts w:ascii="Verdana" w:eastAsia="Times New Roman" w:hAnsi="Verdana" w:cs="Arial"/>
          <w:b/>
          <w:color w:val="222222"/>
          <w:sz w:val="20"/>
          <w:szCs w:val="20"/>
        </w:rPr>
      </w:pPr>
      <w:r w:rsidRPr="00685892">
        <w:rPr>
          <w:rFonts w:ascii="Verdana" w:eastAsia="Times New Roman" w:hAnsi="Verdana" w:cs="Arial"/>
          <w:b/>
          <w:color w:val="222222"/>
          <w:sz w:val="20"/>
          <w:szCs w:val="20"/>
        </w:rPr>
        <w:lastRenderedPageBreak/>
        <w:t>Development and Promotional Functions</w:t>
      </w:r>
    </w:p>
    <w:p w:rsidR="00C2438E" w:rsidRPr="00685892" w:rsidRDefault="00C2438E" w:rsidP="00685892">
      <w:pPr>
        <w:shd w:val="clear" w:color="auto" w:fill="FFFFFF"/>
        <w:spacing w:after="390" w:line="240" w:lineRule="auto"/>
        <w:jc w:val="both"/>
        <w:rPr>
          <w:rFonts w:ascii="Verdana" w:eastAsia="Times New Roman" w:hAnsi="Verdana" w:cs="Arial"/>
          <w:color w:val="222222"/>
          <w:sz w:val="20"/>
          <w:szCs w:val="20"/>
        </w:rPr>
      </w:pPr>
      <w:r w:rsidRPr="00685892">
        <w:rPr>
          <w:rFonts w:ascii="Verdana" w:eastAsia="Times New Roman" w:hAnsi="Verdana" w:cs="Arial"/>
          <w:color w:val="222222"/>
          <w:sz w:val="20"/>
          <w:szCs w:val="20"/>
        </w:rPr>
        <w:t>With the progress of the economy, the RBI has been undertaking various development functions relating to mobilization of savings, extensions of banking facilities in the un-banked centers, finance for agriculture and industries, protection of depositor’s interest through deposit insurance., etc.</w:t>
      </w:r>
    </w:p>
    <w:p w:rsidR="00C2438E" w:rsidRPr="00685892" w:rsidRDefault="00C2438E" w:rsidP="00685892">
      <w:pPr>
        <w:pStyle w:val="ListParagraph"/>
        <w:numPr>
          <w:ilvl w:val="0"/>
          <w:numId w:val="7"/>
        </w:numPr>
        <w:shd w:val="clear" w:color="auto" w:fill="FFFFFF"/>
        <w:spacing w:after="240" w:line="240" w:lineRule="auto"/>
        <w:ind w:left="360"/>
        <w:jc w:val="both"/>
        <w:outlineLvl w:val="2"/>
        <w:rPr>
          <w:rFonts w:ascii="Verdana" w:eastAsia="Times New Roman" w:hAnsi="Verdana" w:cs="Arial"/>
          <w:b/>
          <w:color w:val="222222"/>
          <w:sz w:val="20"/>
          <w:szCs w:val="20"/>
        </w:rPr>
      </w:pPr>
      <w:r w:rsidRPr="00685892">
        <w:rPr>
          <w:rFonts w:ascii="Verdana" w:eastAsia="Times New Roman" w:hAnsi="Verdana" w:cs="Arial"/>
          <w:b/>
          <w:color w:val="222222"/>
          <w:sz w:val="20"/>
          <w:szCs w:val="20"/>
        </w:rPr>
        <w:t>Control of the Activities of Non-banking Companies and Other Institutions</w:t>
      </w:r>
    </w:p>
    <w:p w:rsidR="00C2438E" w:rsidRPr="00685892" w:rsidRDefault="00C2438E" w:rsidP="00685892">
      <w:pPr>
        <w:shd w:val="clear" w:color="auto" w:fill="FFFFFF"/>
        <w:spacing w:after="390" w:line="240" w:lineRule="auto"/>
        <w:jc w:val="both"/>
        <w:rPr>
          <w:rFonts w:ascii="Verdana" w:eastAsia="Times New Roman" w:hAnsi="Verdana" w:cs="Arial"/>
          <w:color w:val="222222"/>
          <w:sz w:val="20"/>
          <w:szCs w:val="20"/>
        </w:rPr>
      </w:pPr>
      <w:r w:rsidRPr="00685892">
        <w:rPr>
          <w:rFonts w:ascii="Verdana" w:eastAsia="Times New Roman" w:hAnsi="Verdana" w:cs="Arial"/>
          <w:color w:val="222222"/>
          <w:sz w:val="20"/>
          <w:szCs w:val="20"/>
        </w:rPr>
        <w:t>Recently, the RBI has been empowered to lay down the regulations regarding the acceptance of deposits from the public by non-banking companies and institutions. It can also demand the statement regarding such deposits from these institutions.</w:t>
      </w:r>
    </w:p>
    <w:p w:rsidR="00C2438E" w:rsidRPr="00685892" w:rsidRDefault="00C2438E" w:rsidP="00685892">
      <w:pPr>
        <w:pStyle w:val="ListParagraph"/>
        <w:numPr>
          <w:ilvl w:val="0"/>
          <w:numId w:val="7"/>
        </w:numPr>
        <w:shd w:val="clear" w:color="auto" w:fill="FFFFFF"/>
        <w:spacing w:after="240" w:line="240" w:lineRule="auto"/>
        <w:ind w:left="360"/>
        <w:jc w:val="both"/>
        <w:outlineLvl w:val="2"/>
        <w:rPr>
          <w:rFonts w:ascii="Verdana" w:eastAsia="Times New Roman" w:hAnsi="Verdana" w:cs="Arial"/>
          <w:b/>
          <w:color w:val="222222"/>
          <w:sz w:val="20"/>
          <w:szCs w:val="20"/>
        </w:rPr>
      </w:pPr>
      <w:r w:rsidRPr="00685892">
        <w:rPr>
          <w:rFonts w:ascii="Verdana" w:eastAsia="Times New Roman" w:hAnsi="Verdana" w:cs="Arial"/>
          <w:b/>
          <w:color w:val="222222"/>
          <w:sz w:val="20"/>
          <w:szCs w:val="20"/>
        </w:rPr>
        <w:t>Implementation of the Plans</w:t>
      </w:r>
    </w:p>
    <w:p w:rsidR="00C2438E" w:rsidRPr="00685892" w:rsidRDefault="00C2438E" w:rsidP="00685892">
      <w:pPr>
        <w:shd w:val="clear" w:color="auto" w:fill="FFFFFF"/>
        <w:spacing w:after="390" w:line="240" w:lineRule="auto"/>
        <w:jc w:val="both"/>
        <w:rPr>
          <w:rFonts w:ascii="Verdana" w:eastAsia="Times New Roman" w:hAnsi="Verdana" w:cs="Arial"/>
          <w:color w:val="222222"/>
          <w:sz w:val="20"/>
          <w:szCs w:val="20"/>
        </w:rPr>
      </w:pPr>
      <w:r w:rsidRPr="00685892">
        <w:rPr>
          <w:rFonts w:ascii="Verdana" w:eastAsia="Times New Roman" w:hAnsi="Verdana" w:cs="Arial"/>
          <w:color w:val="222222"/>
          <w:sz w:val="20"/>
          <w:szCs w:val="20"/>
        </w:rPr>
        <w:t>The RBI also gives its opinion to the Governments on economic and financial matters relating to the implementation of the Plans. It assists the government in undertaking deficit financing, maintaining price stability and providing credit for the priority sectors.</w:t>
      </w:r>
    </w:p>
    <w:p w:rsidR="00C2438E" w:rsidRPr="00685892" w:rsidRDefault="00C2438E" w:rsidP="00685892">
      <w:pPr>
        <w:pStyle w:val="ListParagraph"/>
        <w:numPr>
          <w:ilvl w:val="0"/>
          <w:numId w:val="7"/>
        </w:numPr>
        <w:shd w:val="clear" w:color="auto" w:fill="FFFFFF"/>
        <w:spacing w:after="240" w:line="240" w:lineRule="auto"/>
        <w:ind w:left="360"/>
        <w:jc w:val="both"/>
        <w:outlineLvl w:val="2"/>
        <w:rPr>
          <w:rFonts w:ascii="Verdana" w:eastAsia="Times New Roman" w:hAnsi="Verdana" w:cs="Arial"/>
          <w:b/>
          <w:color w:val="222222"/>
          <w:sz w:val="20"/>
          <w:szCs w:val="20"/>
        </w:rPr>
      </w:pPr>
      <w:r w:rsidRPr="00685892">
        <w:rPr>
          <w:rFonts w:ascii="Verdana" w:eastAsia="Times New Roman" w:hAnsi="Verdana" w:cs="Arial"/>
          <w:b/>
          <w:color w:val="222222"/>
          <w:sz w:val="20"/>
          <w:szCs w:val="20"/>
        </w:rPr>
        <w:t>Other Functions</w:t>
      </w:r>
    </w:p>
    <w:p w:rsidR="00C2438E" w:rsidRPr="00685892" w:rsidRDefault="00C2438E" w:rsidP="00BB4AF9">
      <w:pPr>
        <w:shd w:val="clear" w:color="auto" w:fill="FFFFFF"/>
        <w:spacing w:after="0" w:line="240" w:lineRule="auto"/>
        <w:jc w:val="both"/>
        <w:rPr>
          <w:rFonts w:ascii="Verdana" w:eastAsia="Times New Roman" w:hAnsi="Verdana" w:cs="Arial"/>
          <w:color w:val="222222"/>
          <w:sz w:val="20"/>
          <w:szCs w:val="20"/>
        </w:rPr>
      </w:pPr>
      <w:r w:rsidRPr="00685892">
        <w:rPr>
          <w:rFonts w:ascii="Verdana" w:eastAsia="Times New Roman" w:hAnsi="Verdana" w:cs="Arial"/>
          <w:color w:val="222222"/>
          <w:sz w:val="20"/>
          <w:szCs w:val="20"/>
        </w:rPr>
        <w:t>The other functions relate to the regular publication of reports on banking and currency, conducting the clearing houses, developing bill markets, appointing committees and commissions on various economic aspects of the country, etc.</w:t>
      </w:r>
    </w:p>
    <w:p w:rsidR="00421576" w:rsidRDefault="00421576" w:rsidP="00BB4AF9">
      <w:pPr>
        <w:spacing w:after="0" w:line="240" w:lineRule="auto"/>
        <w:jc w:val="both"/>
        <w:rPr>
          <w:rFonts w:ascii="Verdana" w:hAnsi="Verdana"/>
          <w:i/>
          <w:sz w:val="20"/>
          <w:szCs w:val="20"/>
          <w:shd w:val="clear" w:color="auto" w:fill="FFFFFF"/>
        </w:rPr>
      </w:pPr>
    </w:p>
    <w:p w:rsidR="00BB4AF9" w:rsidRDefault="00BB4AF9" w:rsidP="00BB4AF9">
      <w:pPr>
        <w:spacing w:after="0" w:line="240" w:lineRule="auto"/>
        <w:rPr>
          <w:rFonts w:ascii="Verdana" w:eastAsia="Times New Roman" w:hAnsi="Verdana" w:cs="Arial"/>
          <w:b/>
          <w:color w:val="000000"/>
          <w:sz w:val="20"/>
          <w:szCs w:val="18"/>
        </w:rPr>
      </w:pPr>
    </w:p>
    <w:p w:rsidR="00421576" w:rsidRPr="00BB4AF9" w:rsidRDefault="00BB4AF9" w:rsidP="00BB4AF9">
      <w:pPr>
        <w:spacing w:after="0" w:line="240" w:lineRule="auto"/>
        <w:rPr>
          <w:rFonts w:ascii="Verdana" w:eastAsia="Times New Roman" w:hAnsi="Verdana" w:cs="Arial"/>
          <w:b/>
          <w:color w:val="222222"/>
          <w:sz w:val="20"/>
          <w:szCs w:val="18"/>
        </w:rPr>
      </w:pPr>
      <w:r w:rsidRPr="00BB4AF9">
        <w:rPr>
          <w:rFonts w:ascii="Verdana" w:eastAsia="Times New Roman" w:hAnsi="Verdana" w:cs="Arial"/>
          <w:b/>
          <w:color w:val="000000"/>
          <w:sz w:val="20"/>
          <w:szCs w:val="18"/>
        </w:rPr>
        <w:t>Monetary Policy of RBI</w:t>
      </w:r>
      <w:r w:rsidR="007B7643">
        <w:rPr>
          <w:rFonts w:ascii="Verdana" w:eastAsia="Times New Roman" w:hAnsi="Verdana" w:cs="Arial"/>
          <w:b/>
          <w:color w:val="000000"/>
          <w:sz w:val="20"/>
          <w:szCs w:val="18"/>
        </w:rPr>
        <w:t xml:space="preserve"> (Or How RBI controls inflation)</w:t>
      </w:r>
    </w:p>
    <w:p w:rsidR="00BB4AF9" w:rsidRDefault="00BB4AF9" w:rsidP="00BB4AF9">
      <w:pPr>
        <w:spacing w:after="0" w:line="240" w:lineRule="auto"/>
        <w:jc w:val="both"/>
        <w:rPr>
          <w:rFonts w:ascii="Verdana" w:eastAsia="Times New Roman" w:hAnsi="Verdana" w:cs="Arial"/>
          <w:color w:val="000000"/>
          <w:sz w:val="20"/>
          <w:szCs w:val="18"/>
        </w:rPr>
      </w:pPr>
    </w:p>
    <w:p w:rsidR="00421576" w:rsidRPr="00BB4AF9" w:rsidRDefault="00421576" w:rsidP="00BB4AF9">
      <w:pPr>
        <w:spacing w:after="0" w:line="240" w:lineRule="auto"/>
        <w:jc w:val="both"/>
        <w:rPr>
          <w:rFonts w:ascii="Verdana" w:eastAsia="Times New Roman" w:hAnsi="Verdana" w:cs="Arial"/>
          <w:color w:val="222222"/>
          <w:sz w:val="20"/>
          <w:szCs w:val="18"/>
        </w:rPr>
      </w:pPr>
      <w:r w:rsidRPr="00BB4AF9">
        <w:rPr>
          <w:rFonts w:ascii="Verdana" w:eastAsia="Times New Roman" w:hAnsi="Verdana" w:cs="Arial"/>
          <w:color w:val="000000"/>
          <w:sz w:val="20"/>
          <w:szCs w:val="18"/>
        </w:rPr>
        <w:t xml:space="preserve">The Monetary Policy of RBI is not merely one of </w:t>
      </w:r>
      <w:r w:rsidR="007B7643">
        <w:rPr>
          <w:rFonts w:ascii="Verdana" w:eastAsia="Times New Roman" w:hAnsi="Verdana" w:cs="Arial"/>
          <w:color w:val="000000"/>
          <w:sz w:val="20"/>
          <w:szCs w:val="18"/>
        </w:rPr>
        <w:t xml:space="preserve">inflation control through </w:t>
      </w:r>
      <w:r w:rsidRPr="00BB4AF9">
        <w:rPr>
          <w:rFonts w:ascii="Verdana" w:eastAsia="Times New Roman" w:hAnsi="Verdana" w:cs="Arial"/>
          <w:color w:val="000000"/>
          <w:sz w:val="20"/>
          <w:szCs w:val="18"/>
        </w:rPr>
        <w:t>credit restriction, but it has also the duty to see that legitimate credit requirements are met and at the same time credit is not used for unproductive and speculative purposes</w:t>
      </w:r>
      <w:r w:rsidR="00BB4AF9">
        <w:rPr>
          <w:rFonts w:ascii="Verdana" w:eastAsia="Times New Roman" w:hAnsi="Verdana" w:cs="Arial"/>
          <w:color w:val="000000"/>
          <w:sz w:val="20"/>
          <w:szCs w:val="18"/>
        </w:rPr>
        <w:t>.</w:t>
      </w:r>
      <w:r w:rsidRPr="00BB4AF9">
        <w:rPr>
          <w:rFonts w:ascii="Verdana" w:eastAsia="Times New Roman" w:hAnsi="Verdana" w:cs="Arial"/>
          <w:color w:val="000000"/>
          <w:sz w:val="20"/>
          <w:szCs w:val="18"/>
        </w:rPr>
        <w:t xml:space="preserve"> RBI has various weapons of mon</w:t>
      </w:r>
      <w:r w:rsidR="00BB4AF9">
        <w:rPr>
          <w:rFonts w:ascii="Verdana" w:eastAsia="Times New Roman" w:hAnsi="Verdana" w:cs="Arial"/>
          <w:color w:val="000000"/>
          <w:sz w:val="20"/>
          <w:szCs w:val="18"/>
        </w:rPr>
        <w:t>etary control and by using them</w:t>
      </w:r>
      <w:r w:rsidRPr="00BB4AF9">
        <w:rPr>
          <w:rFonts w:ascii="Verdana" w:eastAsia="Times New Roman" w:hAnsi="Verdana" w:cs="Arial"/>
          <w:color w:val="000000"/>
          <w:sz w:val="20"/>
          <w:szCs w:val="18"/>
        </w:rPr>
        <w:t xml:space="preserve"> it hopes to achieve its monetary policy.</w:t>
      </w:r>
    </w:p>
    <w:p w:rsidR="00BB4AF9" w:rsidRPr="00BB4AF9" w:rsidRDefault="00BB4AF9" w:rsidP="00BB4AF9">
      <w:pPr>
        <w:spacing w:after="0" w:line="240" w:lineRule="auto"/>
        <w:rPr>
          <w:rFonts w:ascii="Verdana" w:eastAsia="Times New Roman" w:hAnsi="Verdana" w:cs="Arial"/>
          <w:color w:val="222222"/>
          <w:sz w:val="20"/>
          <w:szCs w:val="18"/>
        </w:rPr>
      </w:pPr>
    </w:p>
    <w:p w:rsidR="00421576" w:rsidRPr="00BB4AF9" w:rsidRDefault="00421576" w:rsidP="00BB4AF9">
      <w:pPr>
        <w:pStyle w:val="ListParagraph"/>
        <w:numPr>
          <w:ilvl w:val="0"/>
          <w:numId w:val="8"/>
        </w:numPr>
        <w:spacing w:after="0" w:line="240" w:lineRule="auto"/>
        <w:ind w:left="360"/>
        <w:rPr>
          <w:rFonts w:ascii="Verdana" w:eastAsia="Times New Roman" w:hAnsi="Verdana" w:cs="Arial"/>
          <w:b/>
          <w:color w:val="222222"/>
          <w:sz w:val="20"/>
          <w:szCs w:val="18"/>
        </w:rPr>
      </w:pPr>
      <w:r w:rsidRPr="00BB4AF9">
        <w:rPr>
          <w:rFonts w:ascii="Verdana" w:eastAsia="Times New Roman" w:hAnsi="Verdana" w:cs="Arial"/>
          <w:b/>
          <w:color w:val="000000"/>
          <w:sz w:val="20"/>
          <w:szCs w:val="18"/>
        </w:rPr>
        <w:t>Quantitative Credit Control Methods</w:t>
      </w:r>
    </w:p>
    <w:p w:rsidR="00BB4AF9" w:rsidRDefault="00BB4AF9" w:rsidP="00BB4AF9">
      <w:pPr>
        <w:spacing w:after="0" w:line="240" w:lineRule="auto"/>
        <w:jc w:val="both"/>
        <w:rPr>
          <w:rFonts w:ascii="Verdana" w:eastAsia="Times New Roman" w:hAnsi="Verdana" w:cs="Arial"/>
          <w:color w:val="000000"/>
          <w:sz w:val="20"/>
          <w:szCs w:val="18"/>
        </w:rPr>
      </w:pPr>
    </w:p>
    <w:p w:rsidR="00421576" w:rsidRDefault="00421576" w:rsidP="00BB4AF9">
      <w:pPr>
        <w:spacing w:after="0" w:line="240" w:lineRule="auto"/>
        <w:jc w:val="both"/>
        <w:rPr>
          <w:rFonts w:ascii="Verdana" w:eastAsia="Times New Roman" w:hAnsi="Verdana" w:cs="Arial"/>
          <w:color w:val="000000"/>
          <w:sz w:val="20"/>
          <w:szCs w:val="18"/>
        </w:rPr>
      </w:pPr>
      <w:r w:rsidRPr="00BB4AF9">
        <w:rPr>
          <w:rFonts w:ascii="Verdana" w:eastAsia="Times New Roman" w:hAnsi="Verdana" w:cs="Arial"/>
          <w:color w:val="000000"/>
          <w:sz w:val="20"/>
          <w:szCs w:val="18"/>
        </w:rPr>
        <w:t>In India, the legal framework of RBI’s control over the credit structure has been provided</w:t>
      </w:r>
      <w:r w:rsidR="00BB4AF9">
        <w:rPr>
          <w:rFonts w:ascii="Verdana" w:eastAsia="Times New Roman" w:hAnsi="Verdana" w:cs="Arial"/>
          <w:color w:val="000000"/>
          <w:sz w:val="20"/>
          <w:szCs w:val="18"/>
        </w:rPr>
        <w:t xml:space="preserve"> u</w:t>
      </w:r>
      <w:r w:rsidRPr="00BB4AF9">
        <w:rPr>
          <w:rFonts w:ascii="Verdana" w:eastAsia="Times New Roman" w:hAnsi="Verdana" w:cs="Arial"/>
          <w:color w:val="000000"/>
          <w:sz w:val="20"/>
          <w:szCs w:val="18"/>
        </w:rPr>
        <w:t>nder</w:t>
      </w:r>
      <w:r w:rsidR="00BB4AF9">
        <w:rPr>
          <w:rFonts w:ascii="Verdana" w:eastAsia="Times New Roman" w:hAnsi="Verdana" w:cs="Arial"/>
          <w:color w:val="000000"/>
          <w:sz w:val="20"/>
          <w:szCs w:val="18"/>
        </w:rPr>
        <w:t xml:space="preserve"> the</w:t>
      </w:r>
      <w:r w:rsidRPr="00BB4AF9">
        <w:rPr>
          <w:rFonts w:ascii="Verdana" w:eastAsia="Times New Roman" w:hAnsi="Verdana" w:cs="Arial"/>
          <w:color w:val="000000"/>
          <w:sz w:val="20"/>
          <w:szCs w:val="18"/>
        </w:rPr>
        <w:t xml:space="preserve"> Reserve Bank of India Act, 1934 and the Banking Regulation</w:t>
      </w:r>
      <w:r w:rsidR="00BB4AF9">
        <w:rPr>
          <w:rFonts w:ascii="Verdana" w:eastAsia="Times New Roman" w:hAnsi="Verdana" w:cs="Arial"/>
          <w:color w:val="000000"/>
          <w:sz w:val="20"/>
          <w:szCs w:val="18"/>
        </w:rPr>
        <w:t xml:space="preserve"> </w:t>
      </w:r>
      <w:r w:rsidRPr="00BB4AF9">
        <w:rPr>
          <w:rFonts w:ascii="Verdana" w:eastAsia="Times New Roman" w:hAnsi="Verdana" w:cs="Arial"/>
          <w:color w:val="000000"/>
          <w:sz w:val="20"/>
          <w:szCs w:val="18"/>
        </w:rPr>
        <w:t>Act, 1949. Quantitative credit controls are used to maintain proper quantity of credit o</w:t>
      </w:r>
      <w:r w:rsidR="00BB4AF9">
        <w:rPr>
          <w:rFonts w:ascii="Verdana" w:eastAsia="Times New Roman" w:hAnsi="Verdana" w:cs="Arial"/>
          <w:color w:val="000000"/>
          <w:sz w:val="20"/>
          <w:szCs w:val="18"/>
        </w:rPr>
        <w:t>r</w:t>
      </w:r>
      <w:r w:rsidRPr="00BB4AF9">
        <w:rPr>
          <w:rFonts w:ascii="Verdana" w:eastAsia="Times New Roman" w:hAnsi="Verdana" w:cs="Arial"/>
          <w:color w:val="000000"/>
          <w:sz w:val="20"/>
          <w:szCs w:val="18"/>
        </w:rPr>
        <w:t xml:space="preserve"> money supply in market. Some of the important general credit control methods are</w:t>
      </w:r>
      <w:r w:rsidR="00BB4AF9">
        <w:rPr>
          <w:rFonts w:ascii="Verdana" w:eastAsia="Times New Roman" w:hAnsi="Verdana" w:cs="Arial"/>
          <w:color w:val="000000"/>
          <w:sz w:val="20"/>
          <w:szCs w:val="18"/>
        </w:rPr>
        <w:t>:</w:t>
      </w:r>
    </w:p>
    <w:p w:rsidR="00BB4AF9" w:rsidRPr="00BB4AF9" w:rsidRDefault="00BB4AF9" w:rsidP="00BB4AF9">
      <w:pPr>
        <w:spacing w:after="0" w:line="240" w:lineRule="auto"/>
        <w:jc w:val="both"/>
        <w:rPr>
          <w:rFonts w:ascii="Verdana" w:eastAsia="Times New Roman" w:hAnsi="Verdana" w:cs="Arial"/>
          <w:color w:val="222222"/>
          <w:sz w:val="20"/>
          <w:szCs w:val="18"/>
        </w:rPr>
      </w:pPr>
    </w:p>
    <w:p w:rsidR="00421576" w:rsidRPr="00BB4AF9" w:rsidRDefault="00421576" w:rsidP="00BB4AF9">
      <w:pPr>
        <w:spacing w:after="0" w:line="240" w:lineRule="auto"/>
        <w:rPr>
          <w:rFonts w:ascii="Verdana" w:eastAsia="Times New Roman" w:hAnsi="Verdana" w:cs="Arial"/>
          <w:b/>
          <w:color w:val="222222"/>
          <w:sz w:val="20"/>
          <w:szCs w:val="18"/>
        </w:rPr>
      </w:pPr>
      <w:r w:rsidRPr="00BB4AF9">
        <w:rPr>
          <w:rFonts w:ascii="Verdana" w:eastAsia="Times New Roman" w:hAnsi="Verdana" w:cs="Arial"/>
          <w:b/>
          <w:bCs/>
          <w:color w:val="222222"/>
          <w:sz w:val="20"/>
          <w:szCs w:val="18"/>
        </w:rPr>
        <w:t>1.</w:t>
      </w:r>
      <w:r w:rsidRPr="00BB4AF9">
        <w:rPr>
          <w:rFonts w:ascii="Verdana" w:eastAsia="Times New Roman" w:hAnsi="Verdana" w:cs="Times New Roman"/>
          <w:b/>
          <w:color w:val="222222"/>
          <w:sz w:val="20"/>
          <w:szCs w:val="18"/>
        </w:rPr>
        <w:t>    </w:t>
      </w:r>
      <w:r w:rsidRPr="00BB4AF9">
        <w:rPr>
          <w:rFonts w:ascii="Verdana" w:eastAsia="Times New Roman" w:hAnsi="Verdana" w:cs="Arial"/>
          <w:b/>
          <w:color w:val="000000"/>
          <w:sz w:val="20"/>
          <w:szCs w:val="18"/>
        </w:rPr>
        <w:t>Bank Rate Policy</w:t>
      </w:r>
    </w:p>
    <w:p w:rsidR="00421576" w:rsidRPr="0099629E" w:rsidRDefault="00421576" w:rsidP="0099629E">
      <w:pPr>
        <w:spacing w:after="0" w:line="240" w:lineRule="auto"/>
        <w:jc w:val="both"/>
        <w:rPr>
          <w:rFonts w:ascii="Verdana" w:eastAsia="Times New Roman" w:hAnsi="Verdana" w:cs="Arial"/>
          <w:color w:val="222222"/>
          <w:sz w:val="20"/>
          <w:szCs w:val="20"/>
        </w:rPr>
      </w:pPr>
      <w:r w:rsidRPr="00BB4AF9">
        <w:rPr>
          <w:rFonts w:ascii="Verdana" w:eastAsia="Times New Roman" w:hAnsi="Verdana" w:cs="Arial"/>
          <w:color w:val="000000"/>
          <w:sz w:val="20"/>
          <w:szCs w:val="18"/>
        </w:rPr>
        <w:t xml:space="preserve">Bank rate is the rate at which the Central bank lends money to the commercial banks for their liquidity requirements. </w:t>
      </w:r>
      <w:r w:rsidR="0099629E" w:rsidRPr="0099629E">
        <w:rPr>
          <w:rFonts w:ascii="Verdana" w:hAnsi="Verdana" w:cs="Arial"/>
          <w:color w:val="252525"/>
          <w:sz w:val="20"/>
          <w:szCs w:val="20"/>
          <w:shd w:val="clear" w:color="auto" w:fill="FFFFFF"/>
        </w:rPr>
        <w:t>Funds are provided either through lending directly or discounting or buying money market instruments like commercial bills and</w:t>
      </w:r>
      <w:r w:rsidR="0099629E" w:rsidRPr="0099629E">
        <w:rPr>
          <w:rStyle w:val="apple-converted-space"/>
          <w:rFonts w:ascii="Verdana" w:hAnsi="Verdana" w:cs="Arial"/>
          <w:color w:val="252525"/>
          <w:sz w:val="20"/>
          <w:szCs w:val="20"/>
          <w:shd w:val="clear" w:color="auto" w:fill="FFFFFF"/>
        </w:rPr>
        <w:t> </w:t>
      </w:r>
      <w:r w:rsidR="0099629E" w:rsidRPr="0099629E">
        <w:rPr>
          <w:rFonts w:ascii="Verdana" w:hAnsi="Verdana" w:cs="Arial"/>
          <w:sz w:val="20"/>
          <w:szCs w:val="20"/>
          <w:shd w:val="clear" w:color="auto" w:fill="FFFFFF"/>
        </w:rPr>
        <w:t>treasury bills</w:t>
      </w:r>
      <w:r w:rsidR="0099629E" w:rsidRPr="0099629E">
        <w:rPr>
          <w:rFonts w:ascii="Verdana" w:hAnsi="Verdana" w:cs="Arial"/>
          <w:color w:val="252525"/>
          <w:sz w:val="20"/>
          <w:szCs w:val="20"/>
          <w:shd w:val="clear" w:color="auto" w:fill="FFFFFF"/>
        </w:rPr>
        <w:t xml:space="preserve">. Increase in Bank Rate increases the cost of borrowing by commercial banks which results in the reduction in credit volume to the banks and hence declines the supply of money. Increase in the bank rate is the symbol of tightening of RBI monetary policy. As of April 05, 2016, the Bank Rate stands </w:t>
      </w:r>
      <w:r w:rsidR="0099629E">
        <w:rPr>
          <w:rFonts w:ascii="Verdana" w:hAnsi="Verdana" w:cs="Arial"/>
          <w:color w:val="252525"/>
          <w:sz w:val="20"/>
          <w:szCs w:val="20"/>
          <w:shd w:val="clear" w:color="auto" w:fill="FFFFFF"/>
        </w:rPr>
        <w:t>at 7%.</w:t>
      </w:r>
    </w:p>
    <w:p w:rsidR="00BB4AF9" w:rsidRDefault="00BB4AF9" w:rsidP="00BB4AF9">
      <w:pPr>
        <w:spacing w:after="0" w:line="240" w:lineRule="auto"/>
        <w:rPr>
          <w:rFonts w:ascii="Verdana" w:eastAsia="Times New Roman" w:hAnsi="Verdana" w:cs="Arial"/>
          <w:color w:val="222222"/>
          <w:sz w:val="20"/>
          <w:szCs w:val="18"/>
        </w:rPr>
      </w:pPr>
    </w:p>
    <w:p w:rsidR="0099629E" w:rsidRDefault="0099629E" w:rsidP="00BB4AF9">
      <w:pPr>
        <w:spacing w:after="0" w:line="240" w:lineRule="auto"/>
        <w:rPr>
          <w:rFonts w:ascii="Verdana" w:eastAsia="Times New Roman" w:hAnsi="Verdana" w:cs="Arial"/>
          <w:b/>
          <w:color w:val="222222"/>
          <w:sz w:val="20"/>
          <w:szCs w:val="18"/>
        </w:rPr>
      </w:pPr>
    </w:p>
    <w:p w:rsidR="00421576" w:rsidRPr="00BB4AF9" w:rsidRDefault="00725F5F" w:rsidP="00BB4AF9">
      <w:pPr>
        <w:spacing w:after="0" w:line="240" w:lineRule="auto"/>
        <w:rPr>
          <w:rFonts w:ascii="Verdana" w:eastAsia="Times New Roman" w:hAnsi="Verdana" w:cs="Arial"/>
          <w:b/>
          <w:color w:val="222222"/>
          <w:sz w:val="20"/>
          <w:szCs w:val="18"/>
        </w:rPr>
      </w:pPr>
      <w:r>
        <w:rPr>
          <w:rFonts w:ascii="Verdana" w:eastAsia="Times New Roman" w:hAnsi="Verdana" w:cs="Arial"/>
          <w:b/>
          <w:color w:val="222222"/>
          <w:sz w:val="20"/>
          <w:szCs w:val="18"/>
        </w:rPr>
        <w:t>2</w:t>
      </w:r>
      <w:r w:rsidR="00421576" w:rsidRPr="00BB4AF9">
        <w:rPr>
          <w:rFonts w:ascii="Verdana" w:eastAsia="Times New Roman" w:hAnsi="Verdana" w:cs="Arial"/>
          <w:b/>
          <w:color w:val="222222"/>
          <w:sz w:val="20"/>
          <w:szCs w:val="18"/>
        </w:rPr>
        <w:t>.</w:t>
      </w:r>
      <w:r w:rsidR="00421576" w:rsidRPr="00BB4AF9">
        <w:rPr>
          <w:rFonts w:ascii="Verdana" w:eastAsia="Times New Roman" w:hAnsi="Verdana" w:cs="Times New Roman"/>
          <w:b/>
          <w:color w:val="222222"/>
          <w:sz w:val="20"/>
          <w:szCs w:val="18"/>
        </w:rPr>
        <w:t>    </w:t>
      </w:r>
      <w:r w:rsidR="00421576" w:rsidRPr="00BB4AF9">
        <w:rPr>
          <w:rFonts w:ascii="Verdana" w:eastAsia="Times New Roman" w:hAnsi="Verdana" w:cs="Arial"/>
          <w:b/>
          <w:color w:val="222222"/>
          <w:sz w:val="20"/>
          <w:szCs w:val="18"/>
        </w:rPr>
        <w:t>Cash Reserve Ratio (CRR)</w:t>
      </w:r>
    </w:p>
    <w:p w:rsidR="00421576" w:rsidRDefault="00BB4AF9" w:rsidP="00BB4AF9">
      <w:pPr>
        <w:spacing w:after="0" w:line="240" w:lineRule="auto"/>
        <w:jc w:val="both"/>
        <w:rPr>
          <w:rFonts w:ascii="Verdana" w:eastAsia="Times New Roman" w:hAnsi="Verdana" w:cs="Arial"/>
          <w:color w:val="000000"/>
          <w:sz w:val="20"/>
          <w:szCs w:val="18"/>
        </w:rPr>
      </w:pPr>
      <w:r>
        <w:rPr>
          <w:rFonts w:ascii="Verdana" w:eastAsia="Times New Roman" w:hAnsi="Verdana" w:cs="Arial"/>
          <w:color w:val="000000"/>
          <w:sz w:val="20"/>
          <w:szCs w:val="18"/>
        </w:rPr>
        <w:t>The C</w:t>
      </w:r>
      <w:r w:rsidR="00421576" w:rsidRPr="00BB4AF9">
        <w:rPr>
          <w:rFonts w:ascii="Verdana" w:eastAsia="Times New Roman" w:hAnsi="Verdana" w:cs="Arial"/>
          <w:color w:val="000000"/>
          <w:sz w:val="20"/>
          <w:szCs w:val="18"/>
        </w:rPr>
        <w:t xml:space="preserve">ash Reserve Ratio (CRR) is an effective instrument of credit </w:t>
      </w:r>
      <w:r w:rsidR="0099629E">
        <w:rPr>
          <w:rFonts w:ascii="Verdana" w:eastAsia="Times New Roman" w:hAnsi="Verdana" w:cs="Arial"/>
          <w:color w:val="000000"/>
          <w:sz w:val="20"/>
          <w:szCs w:val="18"/>
        </w:rPr>
        <w:t>control. Under the RBl Act,</w:t>
      </w:r>
      <w:r>
        <w:rPr>
          <w:rFonts w:ascii="Verdana" w:eastAsia="Times New Roman" w:hAnsi="Verdana" w:cs="Arial"/>
          <w:color w:val="000000"/>
          <w:sz w:val="20"/>
          <w:szCs w:val="18"/>
        </w:rPr>
        <w:t xml:space="preserve"> 1</w:t>
      </w:r>
      <w:r w:rsidR="00421576" w:rsidRPr="00BB4AF9">
        <w:rPr>
          <w:rFonts w:ascii="Verdana" w:eastAsia="Times New Roman" w:hAnsi="Verdana" w:cs="Arial"/>
          <w:color w:val="000000"/>
          <w:sz w:val="20"/>
          <w:szCs w:val="18"/>
        </w:rPr>
        <w:t xml:space="preserve">934 every commercial bank has to keep certain minimum cash reserves with RBI. The RBI is empowered to vary the CRR between 3% and 15%. A high CRR reduces the cash for lending and a low CRR increases the cash for lending. The </w:t>
      </w:r>
      <w:r w:rsidR="0099629E">
        <w:rPr>
          <w:rFonts w:ascii="Verdana" w:eastAsia="Times New Roman" w:hAnsi="Verdana" w:cs="Arial"/>
          <w:color w:val="000000"/>
          <w:sz w:val="20"/>
          <w:szCs w:val="18"/>
        </w:rPr>
        <w:t xml:space="preserve">present </w:t>
      </w:r>
      <w:r w:rsidR="00421576" w:rsidRPr="00BB4AF9">
        <w:rPr>
          <w:rFonts w:ascii="Verdana" w:eastAsia="Times New Roman" w:hAnsi="Verdana" w:cs="Arial"/>
          <w:color w:val="000000"/>
          <w:sz w:val="20"/>
          <w:szCs w:val="18"/>
        </w:rPr>
        <w:t xml:space="preserve">CRR </w:t>
      </w:r>
      <w:r w:rsidR="0099629E">
        <w:rPr>
          <w:rFonts w:ascii="Verdana" w:eastAsia="Times New Roman" w:hAnsi="Verdana" w:cs="Arial"/>
          <w:color w:val="000000"/>
          <w:sz w:val="20"/>
          <w:szCs w:val="18"/>
        </w:rPr>
        <w:t>is</w:t>
      </w:r>
      <w:r w:rsidR="00421576" w:rsidRPr="00BB4AF9">
        <w:rPr>
          <w:rFonts w:ascii="Verdana" w:eastAsia="Times New Roman" w:hAnsi="Verdana" w:cs="Arial"/>
          <w:color w:val="000000"/>
          <w:sz w:val="20"/>
          <w:szCs w:val="18"/>
        </w:rPr>
        <w:t xml:space="preserve"> </w:t>
      </w:r>
      <w:r>
        <w:rPr>
          <w:rFonts w:ascii="Verdana" w:eastAsia="Times New Roman" w:hAnsi="Verdana" w:cs="Arial"/>
          <w:color w:val="000000"/>
          <w:sz w:val="20"/>
          <w:szCs w:val="18"/>
        </w:rPr>
        <w:t>4%</w:t>
      </w:r>
      <w:r w:rsidR="0099629E">
        <w:rPr>
          <w:rFonts w:ascii="Verdana" w:eastAsia="Times New Roman" w:hAnsi="Verdana" w:cs="Arial"/>
          <w:color w:val="000000"/>
          <w:sz w:val="20"/>
          <w:szCs w:val="18"/>
        </w:rPr>
        <w:t>on and from 05.04.2016.</w:t>
      </w:r>
    </w:p>
    <w:p w:rsidR="00725F5F" w:rsidRDefault="00725F5F" w:rsidP="00BB4AF9">
      <w:pPr>
        <w:spacing w:after="0" w:line="240" w:lineRule="auto"/>
        <w:jc w:val="both"/>
        <w:rPr>
          <w:rFonts w:ascii="Verdana" w:eastAsia="Times New Roman" w:hAnsi="Verdana" w:cs="Arial"/>
          <w:color w:val="000000"/>
          <w:sz w:val="20"/>
          <w:szCs w:val="18"/>
        </w:rPr>
      </w:pPr>
    </w:p>
    <w:p w:rsidR="00725F5F" w:rsidRDefault="00725F5F" w:rsidP="00BB4AF9">
      <w:pPr>
        <w:spacing w:after="0" w:line="240" w:lineRule="auto"/>
        <w:jc w:val="both"/>
        <w:rPr>
          <w:rFonts w:ascii="Verdana" w:eastAsia="Times New Roman" w:hAnsi="Verdana" w:cs="Arial"/>
          <w:color w:val="000000"/>
          <w:sz w:val="20"/>
          <w:szCs w:val="18"/>
        </w:rPr>
      </w:pPr>
    </w:p>
    <w:p w:rsidR="00BB4AF9" w:rsidRPr="00BB4AF9" w:rsidRDefault="00BB4AF9" w:rsidP="00BB4AF9">
      <w:pPr>
        <w:spacing w:after="0" w:line="240" w:lineRule="auto"/>
        <w:jc w:val="both"/>
        <w:rPr>
          <w:rFonts w:ascii="Verdana" w:eastAsia="Times New Roman" w:hAnsi="Verdana" w:cs="Arial"/>
          <w:color w:val="222222"/>
          <w:sz w:val="20"/>
          <w:szCs w:val="18"/>
        </w:rPr>
      </w:pPr>
    </w:p>
    <w:p w:rsidR="00421576" w:rsidRPr="00BB4AF9" w:rsidRDefault="00725F5F" w:rsidP="00BB4AF9">
      <w:pPr>
        <w:spacing w:after="0" w:line="240" w:lineRule="auto"/>
        <w:rPr>
          <w:rFonts w:ascii="Verdana" w:eastAsia="Times New Roman" w:hAnsi="Verdana" w:cs="Arial"/>
          <w:b/>
          <w:color w:val="222222"/>
          <w:sz w:val="20"/>
          <w:szCs w:val="18"/>
        </w:rPr>
      </w:pPr>
      <w:r>
        <w:rPr>
          <w:rFonts w:ascii="Verdana" w:eastAsia="Times New Roman" w:hAnsi="Verdana" w:cs="Arial"/>
          <w:b/>
          <w:bCs/>
          <w:color w:val="222222"/>
          <w:sz w:val="20"/>
          <w:szCs w:val="18"/>
        </w:rPr>
        <w:lastRenderedPageBreak/>
        <w:t>3</w:t>
      </w:r>
      <w:r w:rsidR="00421576" w:rsidRPr="00BB4AF9">
        <w:rPr>
          <w:rFonts w:ascii="Verdana" w:eastAsia="Times New Roman" w:hAnsi="Verdana" w:cs="Arial"/>
          <w:b/>
          <w:bCs/>
          <w:color w:val="222222"/>
          <w:sz w:val="20"/>
          <w:szCs w:val="18"/>
        </w:rPr>
        <w:t>.</w:t>
      </w:r>
      <w:r w:rsidR="00421576" w:rsidRPr="00BB4AF9">
        <w:rPr>
          <w:rFonts w:ascii="Verdana" w:eastAsia="Times New Roman" w:hAnsi="Verdana" w:cs="Times New Roman"/>
          <w:b/>
          <w:color w:val="222222"/>
          <w:sz w:val="20"/>
          <w:szCs w:val="18"/>
        </w:rPr>
        <w:t>    </w:t>
      </w:r>
      <w:r w:rsidR="00421576" w:rsidRPr="00BB4AF9">
        <w:rPr>
          <w:rFonts w:ascii="Verdana" w:eastAsia="Times New Roman" w:hAnsi="Verdana" w:cs="Arial"/>
          <w:b/>
          <w:color w:val="000000"/>
          <w:sz w:val="20"/>
          <w:szCs w:val="18"/>
        </w:rPr>
        <w:t>Statutory Liquidity Ratio (SLR)</w:t>
      </w:r>
    </w:p>
    <w:p w:rsidR="00421576" w:rsidRDefault="0099629E" w:rsidP="00BB4AF9">
      <w:pPr>
        <w:spacing w:after="0" w:line="240" w:lineRule="auto"/>
        <w:jc w:val="both"/>
        <w:rPr>
          <w:rFonts w:ascii="Verdana" w:eastAsia="Times New Roman" w:hAnsi="Verdana" w:cs="Arial"/>
          <w:color w:val="000000"/>
          <w:sz w:val="20"/>
          <w:szCs w:val="18"/>
        </w:rPr>
      </w:pPr>
      <w:r w:rsidRPr="0099629E">
        <w:rPr>
          <w:rFonts w:ascii="Verdana" w:hAnsi="Verdana" w:cs="Arial"/>
          <w:color w:val="252525"/>
          <w:sz w:val="20"/>
          <w:szCs w:val="20"/>
          <w:shd w:val="clear" w:color="auto" w:fill="FFFFFF"/>
        </w:rPr>
        <w:t xml:space="preserve">SLR is used by bankers and indicates the minimum percentage of deposits that the bank has to maintain in form of gold, cash or other approved securities. Thus, </w:t>
      </w:r>
      <w:r>
        <w:rPr>
          <w:rFonts w:ascii="Verdana" w:hAnsi="Verdana" w:cs="Arial"/>
          <w:color w:val="252525"/>
          <w:sz w:val="20"/>
          <w:szCs w:val="20"/>
          <w:shd w:val="clear" w:color="auto" w:fill="FFFFFF"/>
        </w:rPr>
        <w:t>it</w:t>
      </w:r>
      <w:r w:rsidRPr="0099629E">
        <w:rPr>
          <w:rFonts w:ascii="Verdana" w:hAnsi="Verdana" w:cs="Arial"/>
          <w:color w:val="252525"/>
          <w:sz w:val="20"/>
          <w:szCs w:val="20"/>
          <w:shd w:val="clear" w:color="auto" w:fill="FFFFFF"/>
        </w:rPr>
        <w:t xml:space="preserve"> can</w:t>
      </w:r>
      <w:r>
        <w:rPr>
          <w:rFonts w:ascii="Verdana" w:hAnsi="Verdana" w:cs="Arial"/>
          <w:color w:val="252525"/>
          <w:sz w:val="20"/>
          <w:szCs w:val="20"/>
          <w:shd w:val="clear" w:color="auto" w:fill="FFFFFF"/>
        </w:rPr>
        <w:t xml:space="preserve"> be said </w:t>
      </w:r>
      <w:r w:rsidRPr="0099629E">
        <w:rPr>
          <w:rFonts w:ascii="Verdana" w:hAnsi="Verdana" w:cs="Arial"/>
          <w:color w:val="252525"/>
          <w:sz w:val="20"/>
          <w:szCs w:val="20"/>
          <w:shd w:val="clear" w:color="auto" w:fill="FFFFFF"/>
        </w:rPr>
        <w:t>that it is ratio of cash and some other approved liability (deposits).</w:t>
      </w:r>
      <w:r w:rsidR="00421576" w:rsidRPr="00BB4AF9">
        <w:rPr>
          <w:rFonts w:ascii="Verdana" w:eastAsia="Times New Roman" w:hAnsi="Verdana" w:cs="Arial"/>
          <w:color w:val="000000"/>
          <w:sz w:val="20"/>
          <w:szCs w:val="18"/>
        </w:rPr>
        <w:t xml:space="preserve"> At present it is 2</w:t>
      </w:r>
      <w:r w:rsidR="00BB4AF9">
        <w:rPr>
          <w:rFonts w:ascii="Verdana" w:eastAsia="Times New Roman" w:hAnsi="Verdana" w:cs="Arial"/>
          <w:color w:val="000000"/>
          <w:sz w:val="20"/>
          <w:szCs w:val="18"/>
        </w:rPr>
        <w:t>1.2</w:t>
      </w:r>
      <w:r w:rsidR="00421576" w:rsidRPr="00BB4AF9">
        <w:rPr>
          <w:rFonts w:ascii="Verdana" w:eastAsia="Times New Roman" w:hAnsi="Verdana" w:cs="Arial"/>
          <w:color w:val="000000"/>
          <w:sz w:val="20"/>
          <w:szCs w:val="18"/>
        </w:rPr>
        <w:t>5%.</w:t>
      </w:r>
    </w:p>
    <w:p w:rsidR="0099629E" w:rsidRDefault="0099629E" w:rsidP="0099629E">
      <w:pPr>
        <w:pStyle w:val="NormalWeb"/>
        <w:shd w:val="clear" w:color="auto" w:fill="FFFFFF"/>
        <w:spacing w:before="0" w:beforeAutospacing="0" w:after="0" w:afterAutospacing="0"/>
        <w:jc w:val="both"/>
        <w:rPr>
          <w:rFonts w:ascii="Verdana" w:hAnsi="Verdana" w:cs="Arial"/>
          <w:color w:val="252525"/>
          <w:sz w:val="20"/>
          <w:szCs w:val="21"/>
        </w:rPr>
      </w:pPr>
    </w:p>
    <w:p w:rsidR="0099629E" w:rsidRPr="0099629E" w:rsidRDefault="0099629E" w:rsidP="0099629E">
      <w:pPr>
        <w:pStyle w:val="NormalWeb"/>
        <w:shd w:val="clear" w:color="auto" w:fill="FFFFFF"/>
        <w:spacing w:before="0" w:beforeAutospacing="0" w:after="0" w:afterAutospacing="0"/>
        <w:jc w:val="both"/>
        <w:rPr>
          <w:rFonts w:ascii="Verdana" w:hAnsi="Verdana" w:cs="Arial"/>
          <w:color w:val="252525"/>
          <w:sz w:val="20"/>
          <w:szCs w:val="21"/>
        </w:rPr>
      </w:pPr>
      <w:r w:rsidRPr="0099629E">
        <w:rPr>
          <w:rFonts w:ascii="Verdana" w:hAnsi="Verdana" w:cs="Arial"/>
          <w:color w:val="252525"/>
          <w:sz w:val="20"/>
          <w:szCs w:val="21"/>
        </w:rPr>
        <w:t>Both</w:t>
      </w:r>
      <w:r w:rsidRPr="0099629E">
        <w:rPr>
          <w:rStyle w:val="apple-converted-space"/>
          <w:rFonts w:ascii="Verdana" w:hAnsi="Verdana" w:cs="Arial"/>
          <w:color w:val="252525"/>
          <w:sz w:val="20"/>
          <w:szCs w:val="21"/>
        </w:rPr>
        <w:t> </w:t>
      </w:r>
      <w:r w:rsidRPr="0099629E">
        <w:rPr>
          <w:rFonts w:ascii="Verdana" w:hAnsi="Verdana" w:cs="Arial"/>
          <w:color w:val="252525"/>
          <w:sz w:val="20"/>
          <w:szCs w:val="21"/>
        </w:rPr>
        <w:t>Cash Reserve Ratio</w:t>
      </w:r>
      <w:r w:rsidRPr="0099629E">
        <w:rPr>
          <w:rStyle w:val="apple-converted-space"/>
          <w:rFonts w:ascii="Verdana" w:hAnsi="Verdana" w:cs="Arial"/>
          <w:color w:val="252525"/>
          <w:sz w:val="20"/>
          <w:szCs w:val="21"/>
        </w:rPr>
        <w:t> </w:t>
      </w:r>
      <w:r w:rsidRPr="0099629E">
        <w:rPr>
          <w:rFonts w:ascii="Verdana" w:hAnsi="Verdana" w:cs="Arial"/>
          <w:color w:val="252525"/>
          <w:sz w:val="20"/>
          <w:szCs w:val="21"/>
        </w:rPr>
        <w:t>(CRR) and SLR are instruments in the hands of RBI to regulate money supply in the hands of banks that they can jump in economy</w:t>
      </w:r>
      <w:r>
        <w:rPr>
          <w:rFonts w:ascii="Verdana" w:hAnsi="Verdana" w:cs="Arial"/>
          <w:color w:val="252525"/>
          <w:sz w:val="20"/>
          <w:szCs w:val="21"/>
        </w:rPr>
        <w:t xml:space="preserve">. </w:t>
      </w:r>
      <w:r w:rsidRPr="0099629E">
        <w:rPr>
          <w:rFonts w:ascii="Verdana" w:hAnsi="Verdana" w:cs="Arial"/>
          <w:color w:val="252525"/>
          <w:sz w:val="20"/>
          <w:szCs w:val="21"/>
        </w:rPr>
        <w:t>SLR restricts the bank’s leverage in pumping more money into the economy. On the other hand, CRR, or</w:t>
      </w:r>
      <w:r w:rsidRPr="0099629E">
        <w:rPr>
          <w:rStyle w:val="apple-converted-space"/>
          <w:rFonts w:ascii="Verdana" w:hAnsi="Verdana" w:cs="Arial"/>
          <w:color w:val="252525"/>
          <w:sz w:val="20"/>
          <w:szCs w:val="21"/>
        </w:rPr>
        <w:t> </w:t>
      </w:r>
      <w:r w:rsidRPr="0099629E">
        <w:rPr>
          <w:rFonts w:ascii="Verdana" w:hAnsi="Verdana" w:cs="Arial"/>
          <w:color w:val="252525"/>
          <w:sz w:val="20"/>
          <w:szCs w:val="21"/>
        </w:rPr>
        <w:t>cash reserve ratio, is the portion of deposits that the banks have to maintain with the Central Bank to reduce liquidity in banking system. Thus CRR controls liquidity in banking system while SLR regulates credit growth in the country.</w:t>
      </w:r>
      <w:r>
        <w:rPr>
          <w:rFonts w:ascii="Verdana" w:hAnsi="Verdana" w:cs="Arial"/>
          <w:color w:val="252525"/>
          <w:sz w:val="20"/>
          <w:szCs w:val="21"/>
        </w:rPr>
        <w:t xml:space="preserve"> </w:t>
      </w:r>
      <w:r w:rsidRPr="0099629E">
        <w:rPr>
          <w:rFonts w:ascii="Verdana" w:hAnsi="Verdana" w:cs="Arial"/>
          <w:color w:val="252525"/>
          <w:sz w:val="20"/>
          <w:szCs w:val="21"/>
        </w:rPr>
        <w:t xml:space="preserve">The other difference is that to meet SLR, banks can use cash, gold or approved securities whereas with CRR it has to be only cash. CRR is maintained in cash form with central bank, whereas SLR is money deposited in </w:t>
      </w:r>
      <w:r>
        <w:rPr>
          <w:rFonts w:ascii="Verdana" w:hAnsi="Verdana" w:cs="Arial"/>
          <w:color w:val="252525"/>
          <w:sz w:val="20"/>
          <w:szCs w:val="21"/>
        </w:rPr>
        <w:t>government</w:t>
      </w:r>
      <w:r w:rsidRPr="0099629E">
        <w:rPr>
          <w:rFonts w:ascii="Verdana" w:hAnsi="Verdana" w:cs="Arial"/>
          <w:color w:val="252525"/>
          <w:sz w:val="20"/>
          <w:szCs w:val="21"/>
        </w:rPr>
        <w:t xml:space="preserve"> securities.</w:t>
      </w:r>
    </w:p>
    <w:p w:rsidR="00421576" w:rsidRPr="00BB4AF9" w:rsidRDefault="00421576" w:rsidP="00BB4AF9">
      <w:pPr>
        <w:spacing w:after="0" w:line="240" w:lineRule="auto"/>
        <w:jc w:val="both"/>
        <w:rPr>
          <w:rFonts w:ascii="Verdana" w:eastAsia="Times New Roman" w:hAnsi="Verdana" w:cs="Arial"/>
          <w:color w:val="222222"/>
          <w:sz w:val="20"/>
          <w:szCs w:val="18"/>
        </w:rPr>
      </w:pPr>
    </w:p>
    <w:p w:rsidR="00421576" w:rsidRPr="00BB4AF9" w:rsidRDefault="00725F5F" w:rsidP="00BB4AF9">
      <w:pPr>
        <w:spacing w:after="0" w:line="240" w:lineRule="auto"/>
        <w:rPr>
          <w:rFonts w:ascii="Verdana" w:eastAsia="Times New Roman" w:hAnsi="Verdana" w:cs="Arial"/>
          <w:b/>
          <w:color w:val="222222"/>
          <w:sz w:val="20"/>
          <w:szCs w:val="18"/>
        </w:rPr>
      </w:pPr>
      <w:r>
        <w:rPr>
          <w:rFonts w:ascii="Verdana" w:eastAsia="Times New Roman" w:hAnsi="Verdana" w:cs="Arial"/>
          <w:b/>
          <w:bCs/>
          <w:color w:val="222222"/>
          <w:sz w:val="20"/>
          <w:szCs w:val="18"/>
        </w:rPr>
        <w:t>4</w:t>
      </w:r>
      <w:r w:rsidR="00421576" w:rsidRPr="00BB4AF9">
        <w:rPr>
          <w:rFonts w:ascii="Verdana" w:eastAsia="Times New Roman" w:hAnsi="Verdana" w:cs="Arial"/>
          <w:b/>
          <w:bCs/>
          <w:color w:val="222222"/>
          <w:sz w:val="20"/>
          <w:szCs w:val="18"/>
        </w:rPr>
        <w:t>.</w:t>
      </w:r>
      <w:r w:rsidR="00421576" w:rsidRPr="00BB4AF9">
        <w:rPr>
          <w:rFonts w:ascii="Verdana" w:eastAsia="Times New Roman" w:hAnsi="Verdana" w:cs="Times New Roman"/>
          <w:b/>
          <w:color w:val="222222"/>
          <w:sz w:val="20"/>
          <w:szCs w:val="18"/>
        </w:rPr>
        <w:t>    </w:t>
      </w:r>
      <w:r w:rsidR="00421576" w:rsidRPr="00BB4AF9">
        <w:rPr>
          <w:rFonts w:ascii="Verdana" w:eastAsia="Times New Roman" w:hAnsi="Verdana" w:cs="Arial"/>
          <w:b/>
          <w:color w:val="000000"/>
          <w:sz w:val="20"/>
          <w:szCs w:val="18"/>
        </w:rPr>
        <w:t>Repo And Reverse Repo Rates</w:t>
      </w:r>
    </w:p>
    <w:p w:rsidR="00421576" w:rsidRPr="002C75EC" w:rsidRDefault="002C75EC" w:rsidP="002C75EC">
      <w:pPr>
        <w:spacing w:after="0" w:line="240" w:lineRule="auto"/>
        <w:jc w:val="both"/>
        <w:rPr>
          <w:rFonts w:ascii="Verdana" w:eastAsia="Times New Roman" w:hAnsi="Verdana" w:cs="Arial"/>
          <w:color w:val="222222"/>
          <w:sz w:val="20"/>
          <w:szCs w:val="20"/>
        </w:rPr>
      </w:pPr>
      <w:r w:rsidRPr="002C75EC">
        <w:rPr>
          <w:rFonts w:ascii="Verdana" w:hAnsi="Verdana" w:cs="Arial"/>
          <w:color w:val="393939"/>
          <w:sz w:val="20"/>
          <w:szCs w:val="20"/>
        </w:rPr>
        <w:t xml:space="preserve">Repo means Sale and Repurchase Agreement. Repo rate is the rate at which the Reserve Bank of India lends money to commercial banks in the event of any shortfall of funds. </w:t>
      </w:r>
      <w:r w:rsidRPr="002C75EC">
        <w:rPr>
          <w:rFonts w:ascii="Verdana" w:eastAsia="Times New Roman" w:hAnsi="Verdana" w:cs="Arial"/>
          <w:color w:val="000000"/>
          <w:sz w:val="20"/>
          <w:szCs w:val="20"/>
        </w:rPr>
        <w:t>Repo rate helps commercial banks to acquire funds from RBI by selling securities and also agreeing to repurchase at a later date.</w:t>
      </w:r>
      <w:r>
        <w:rPr>
          <w:rFonts w:ascii="Verdana" w:eastAsia="Times New Roman" w:hAnsi="Verdana" w:cs="Arial"/>
          <w:color w:val="000000"/>
          <w:sz w:val="20"/>
          <w:szCs w:val="20"/>
        </w:rPr>
        <w:t xml:space="preserve"> </w:t>
      </w:r>
      <w:r w:rsidRPr="002C75EC">
        <w:rPr>
          <w:rFonts w:ascii="Verdana" w:hAnsi="Verdana" w:cs="Arial"/>
          <w:color w:val="393939"/>
          <w:sz w:val="20"/>
          <w:szCs w:val="20"/>
        </w:rPr>
        <w:t>Repo rate is used by monetary authorities to control inflation.</w:t>
      </w:r>
      <w:r>
        <w:rPr>
          <w:rFonts w:ascii="Verdana" w:hAnsi="Verdana" w:cs="Arial"/>
          <w:color w:val="393939"/>
          <w:sz w:val="20"/>
          <w:szCs w:val="20"/>
        </w:rPr>
        <w:t xml:space="preserve"> </w:t>
      </w:r>
      <w:r w:rsidRPr="002C75EC">
        <w:rPr>
          <w:rFonts w:ascii="Verdana" w:hAnsi="Verdana" w:cs="Arial"/>
          <w:color w:val="393939"/>
          <w:sz w:val="20"/>
          <w:szCs w:val="20"/>
        </w:rPr>
        <w:t xml:space="preserve">In the event of inflation, </w:t>
      </w:r>
      <w:r>
        <w:rPr>
          <w:rFonts w:ascii="Verdana" w:hAnsi="Verdana" w:cs="Arial"/>
          <w:color w:val="393939"/>
          <w:sz w:val="20"/>
          <w:szCs w:val="20"/>
        </w:rPr>
        <w:t>RBI</w:t>
      </w:r>
      <w:r w:rsidRPr="002C75EC">
        <w:rPr>
          <w:rFonts w:ascii="Verdana" w:hAnsi="Verdana" w:cs="Arial"/>
          <w:color w:val="393939"/>
          <w:sz w:val="20"/>
          <w:szCs w:val="20"/>
        </w:rPr>
        <w:t xml:space="preserve"> increase</w:t>
      </w:r>
      <w:r>
        <w:rPr>
          <w:rFonts w:ascii="Verdana" w:hAnsi="Verdana" w:cs="Arial"/>
          <w:color w:val="393939"/>
          <w:sz w:val="20"/>
          <w:szCs w:val="20"/>
        </w:rPr>
        <w:t>s</w:t>
      </w:r>
      <w:r w:rsidRPr="002C75EC">
        <w:rPr>
          <w:rFonts w:ascii="Verdana" w:hAnsi="Verdana" w:cs="Arial"/>
          <w:color w:val="393939"/>
          <w:sz w:val="20"/>
          <w:szCs w:val="20"/>
        </w:rPr>
        <w:t xml:space="preserve"> repo rate as this acts as a disincentive for banks to borrow from the central bank. This ultimately reduces the money supply in the economy and </w:t>
      </w:r>
      <w:r>
        <w:rPr>
          <w:rFonts w:ascii="Verdana" w:hAnsi="Verdana" w:cs="Arial"/>
          <w:color w:val="393939"/>
          <w:sz w:val="20"/>
          <w:szCs w:val="20"/>
        </w:rPr>
        <w:t xml:space="preserve">thus helps in arresting inflation. RBI </w:t>
      </w:r>
      <w:r w:rsidRPr="002C75EC">
        <w:rPr>
          <w:rFonts w:ascii="Verdana" w:hAnsi="Verdana" w:cs="Arial"/>
          <w:color w:val="393939"/>
          <w:sz w:val="20"/>
          <w:szCs w:val="20"/>
          <w:shd w:val="clear" w:color="auto" w:fill="FFFFFF"/>
        </w:rPr>
        <w:t xml:space="preserve">takes the contrary position in the event of a fall in inflationary pressures. Repo and reverse repo rates form a part of the </w:t>
      </w:r>
      <w:r w:rsidRPr="002C75EC">
        <w:rPr>
          <w:rFonts w:ascii="Verdana" w:hAnsi="Verdana" w:cs="Arial"/>
          <w:b/>
          <w:color w:val="393939"/>
          <w:sz w:val="20"/>
          <w:szCs w:val="20"/>
          <w:shd w:val="clear" w:color="auto" w:fill="FFFFFF"/>
        </w:rPr>
        <w:t>liquidity adjustment facility</w:t>
      </w:r>
      <w:r w:rsidRPr="002C75EC">
        <w:rPr>
          <w:rFonts w:ascii="Verdana" w:hAnsi="Verdana" w:cs="Arial"/>
          <w:color w:val="393939"/>
          <w:sz w:val="20"/>
          <w:szCs w:val="20"/>
          <w:shd w:val="clear" w:color="auto" w:fill="FFFFFF"/>
        </w:rPr>
        <w:t>.</w:t>
      </w:r>
    </w:p>
    <w:p w:rsidR="00421576" w:rsidRDefault="00421576" w:rsidP="00BB4AF9">
      <w:pPr>
        <w:spacing w:after="0" w:line="240" w:lineRule="auto"/>
        <w:jc w:val="both"/>
        <w:rPr>
          <w:rFonts w:ascii="Verdana" w:eastAsia="Times New Roman" w:hAnsi="Verdana" w:cs="Arial"/>
          <w:color w:val="000000"/>
          <w:sz w:val="20"/>
          <w:szCs w:val="18"/>
        </w:rPr>
      </w:pPr>
      <w:r w:rsidRPr="00BB4AF9">
        <w:rPr>
          <w:rFonts w:ascii="Verdana" w:eastAsia="Times New Roman" w:hAnsi="Verdana" w:cs="Arial"/>
          <w:color w:val="000000"/>
          <w:sz w:val="20"/>
          <w:szCs w:val="18"/>
        </w:rPr>
        <w:t xml:space="preserve">Reverse repo rate is the rate that banks get from RBI for parking their short term excess funds with RBI. Repo and reverse repo operations are used by RBI in its Liquidity Adjustment Facility. RBI contracts credit by increasing the repo and reverse repo rates and by decreasing them it expands credit. </w:t>
      </w:r>
      <w:r w:rsidR="00BB4AF9">
        <w:rPr>
          <w:rFonts w:ascii="Verdana" w:eastAsia="Times New Roman" w:hAnsi="Verdana" w:cs="Arial"/>
          <w:color w:val="000000"/>
          <w:sz w:val="20"/>
          <w:szCs w:val="18"/>
        </w:rPr>
        <w:t xml:space="preserve">Current </w:t>
      </w:r>
      <w:r w:rsidRPr="00BB4AF9">
        <w:rPr>
          <w:rFonts w:ascii="Verdana" w:eastAsia="Times New Roman" w:hAnsi="Verdana" w:cs="Arial"/>
          <w:color w:val="000000"/>
          <w:sz w:val="20"/>
          <w:szCs w:val="18"/>
        </w:rPr>
        <w:t xml:space="preserve">Repo rate </w:t>
      </w:r>
      <w:r w:rsidR="00BB4AF9">
        <w:rPr>
          <w:rFonts w:ascii="Verdana" w:eastAsia="Times New Roman" w:hAnsi="Verdana" w:cs="Arial"/>
          <w:color w:val="000000"/>
          <w:sz w:val="20"/>
          <w:szCs w:val="18"/>
        </w:rPr>
        <w:t xml:space="preserve">is </w:t>
      </w:r>
      <w:r w:rsidRPr="00BB4AF9">
        <w:rPr>
          <w:rFonts w:ascii="Verdana" w:eastAsia="Times New Roman" w:hAnsi="Verdana" w:cs="Arial"/>
          <w:color w:val="000000"/>
          <w:sz w:val="20"/>
          <w:szCs w:val="18"/>
        </w:rPr>
        <w:t xml:space="preserve">6.5% and Reverse repo rate </w:t>
      </w:r>
      <w:r w:rsidR="00BB4AF9">
        <w:rPr>
          <w:rFonts w:ascii="Verdana" w:eastAsia="Times New Roman" w:hAnsi="Verdana" w:cs="Arial"/>
          <w:color w:val="000000"/>
          <w:sz w:val="20"/>
          <w:szCs w:val="18"/>
        </w:rPr>
        <w:t>is</w:t>
      </w:r>
      <w:r w:rsidRPr="00BB4AF9">
        <w:rPr>
          <w:rFonts w:ascii="Verdana" w:eastAsia="Times New Roman" w:hAnsi="Verdana" w:cs="Arial"/>
          <w:color w:val="000000"/>
          <w:sz w:val="20"/>
          <w:szCs w:val="18"/>
        </w:rPr>
        <w:t xml:space="preserve"> </w:t>
      </w:r>
      <w:r w:rsidR="00BB4AF9">
        <w:rPr>
          <w:rFonts w:ascii="Verdana" w:eastAsia="Times New Roman" w:hAnsi="Verdana" w:cs="Arial"/>
          <w:color w:val="000000"/>
          <w:sz w:val="20"/>
          <w:szCs w:val="18"/>
        </w:rPr>
        <w:t>6</w:t>
      </w:r>
      <w:r w:rsidRPr="00BB4AF9">
        <w:rPr>
          <w:rFonts w:ascii="Verdana" w:eastAsia="Times New Roman" w:hAnsi="Verdana" w:cs="Arial"/>
          <w:color w:val="000000"/>
          <w:sz w:val="20"/>
          <w:szCs w:val="18"/>
        </w:rPr>
        <w:t xml:space="preserve">% </w:t>
      </w:r>
    </w:p>
    <w:p w:rsidR="0099629E" w:rsidRDefault="0099629E" w:rsidP="00BB4AF9">
      <w:pPr>
        <w:spacing w:after="0" w:line="240" w:lineRule="auto"/>
        <w:jc w:val="both"/>
        <w:rPr>
          <w:rFonts w:ascii="Arial" w:hAnsi="Arial" w:cs="Arial"/>
          <w:b/>
          <w:bCs/>
          <w:color w:val="222222"/>
          <w:shd w:val="clear" w:color="auto" w:fill="FFFFFF"/>
        </w:rPr>
      </w:pPr>
    </w:p>
    <w:p w:rsidR="0099629E" w:rsidRPr="0099629E" w:rsidRDefault="0099629E" w:rsidP="00BB4AF9">
      <w:pPr>
        <w:spacing w:after="0" w:line="240" w:lineRule="auto"/>
        <w:jc w:val="both"/>
        <w:rPr>
          <w:rFonts w:ascii="Verdana" w:eastAsia="Times New Roman" w:hAnsi="Verdana" w:cs="Arial"/>
          <w:color w:val="000000"/>
          <w:sz w:val="18"/>
          <w:szCs w:val="18"/>
        </w:rPr>
      </w:pPr>
      <w:r w:rsidRPr="0099629E">
        <w:rPr>
          <w:rFonts w:ascii="Verdana" w:hAnsi="Verdana" w:cs="Arial"/>
          <w:bCs/>
          <w:color w:val="222222"/>
          <w:sz w:val="20"/>
          <w:shd w:val="clear" w:color="auto" w:fill="FFFFFF"/>
        </w:rPr>
        <w:t>Bank rate</w:t>
      </w:r>
      <w:r w:rsidRPr="0099629E">
        <w:rPr>
          <w:rStyle w:val="apple-converted-space"/>
          <w:rFonts w:ascii="Verdana" w:hAnsi="Verdana" w:cs="Arial"/>
          <w:color w:val="222222"/>
          <w:sz w:val="20"/>
          <w:shd w:val="clear" w:color="auto" w:fill="FFFFFF"/>
        </w:rPr>
        <w:t> </w:t>
      </w:r>
      <w:r w:rsidRPr="0099629E">
        <w:rPr>
          <w:rFonts w:ascii="Verdana" w:hAnsi="Verdana" w:cs="Arial"/>
          <w:color w:val="222222"/>
          <w:sz w:val="20"/>
          <w:shd w:val="clear" w:color="auto" w:fill="FFFFFF"/>
        </w:rPr>
        <w:t>usually deals with loans, whereas,</w:t>
      </w:r>
      <w:r w:rsidRPr="0099629E">
        <w:rPr>
          <w:rStyle w:val="apple-converted-space"/>
          <w:rFonts w:ascii="Verdana" w:hAnsi="Verdana" w:cs="Arial"/>
          <w:color w:val="222222"/>
          <w:sz w:val="20"/>
          <w:shd w:val="clear" w:color="auto" w:fill="FFFFFF"/>
        </w:rPr>
        <w:t> </w:t>
      </w:r>
      <w:r w:rsidRPr="0099629E">
        <w:rPr>
          <w:rFonts w:ascii="Verdana" w:hAnsi="Verdana" w:cs="Arial"/>
          <w:bCs/>
          <w:color w:val="222222"/>
          <w:sz w:val="20"/>
          <w:shd w:val="clear" w:color="auto" w:fill="FFFFFF"/>
        </w:rPr>
        <w:t>repo</w:t>
      </w:r>
      <w:r w:rsidRPr="0099629E">
        <w:rPr>
          <w:rStyle w:val="apple-converted-space"/>
          <w:rFonts w:ascii="Verdana" w:hAnsi="Verdana" w:cs="Arial"/>
          <w:color w:val="222222"/>
          <w:sz w:val="20"/>
          <w:shd w:val="clear" w:color="auto" w:fill="FFFFFF"/>
        </w:rPr>
        <w:t> </w:t>
      </w:r>
      <w:r w:rsidRPr="0099629E">
        <w:rPr>
          <w:rFonts w:ascii="Verdana" w:hAnsi="Verdana" w:cs="Arial"/>
          <w:color w:val="222222"/>
          <w:sz w:val="20"/>
          <w:shd w:val="clear" w:color="auto" w:fill="FFFFFF"/>
        </w:rPr>
        <w:t>or</w:t>
      </w:r>
      <w:r>
        <w:rPr>
          <w:rFonts w:ascii="Verdana" w:hAnsi="Verdana" w:cs="Arial"/>
          <w:color w:val="222222"/>
          <w:sz w:val="20"/>
          <w:shd w:val="clear" w:color="auto" w:fill="FFFFFF"/>
        </w:rPr>
        <w:t xml:space="preserve"> </w:t>
      </w:r>
      <w:r w:rsidRPr="0099629E">
        <w:rPr>
          <w:rFonts w:ascii="Verdana" w:hAnsi="Verdana" w:cs="Arial"/>
          <w:bCs/>
          <w:color w:val="222222"/>
          <w:sz w:val="20"/>
          <w:shd w:val="clear" w:color="auto" w:fill="FFFFFF"/>
        </w:rPr>
        <w:t>repurchase rate</w:t>
      </w:r>
      <w:r w:rsidRPr="0099629E">
        <w:rPr>
          <w:rStyle w:val="apple-converted-space"/>
          <w:rFonts w:ascii="Verdana" w:hAnsi="Verdana" w:cs="Arial"/>
          <w:color w:val="222222"/>
          <w:sz w:val="20"/>
          <w:shd w:val="clear" w:color="auto" w:fill="FFFFFF"/>
        </w:rPr>
        <w:t> </w:t>
      </w:r>
      <w:r w:rsidRPr="0099629E">
        <w:rPr>
          <w:rFonts w:ascii="Verdana" w:hAnsi="Verdana" w:cs="Arial"/>
          <w:color w:val="222222"/>
          <w:sz w:val="20"/>
          <w:shd w:val="clear" w:color="auto" w:fill="FFFFFF"/>
        </w:rPr>
        <w:t>deals with the securities. The</w:t>
      </w:r>
      <w:r w:rsidRPr="0099629E">
        <w:rPr>
          <w:rStyle w:val="apple-converted-space"/>
          <w:rFonts w:ascii="Verdana" w:hAnsi="Verdana" w:cs="Arial"/>
          <w:color w:val="222222"/>
          <w:sz w:val="20"/>
          <w:shd w:val="clear" w:color="auto" w:fill="FFFFFF"/>
        </w:rPr>
        <w:t> </w:t>
      </w:r>
      <w:r w:rsidRPr="0099629E">
        <w:rPr>
          <w:rFonts w:ascii="Verdana" w:hAnsi="Verdana" w:cs="Arial"/>
          <w:bCs/>
          <w:color w:val="222222"/>
          <w:sz w:val="20"/>
          <w:shd w:val="clear" w:color="auto" w:fill="FFFFFF"/>
        </w:rPr>
        <w:t>bank rate</w:t>
      </w:r>
      <w:r w:rsidRPr="0099629E">
        <w:rPr>
          <w:rStyle w:val="apple-converted-space"/>
          <w:rFonts w:ascii="Verdana" w:hAnsi="Verdana" w:cs="Arial"/>
          <w:color w:val="222222"/>
          <w:sz w:val="20"/>
          <w:shd w:val="clear" w:color="auto" w:fill="FFFFFF"/>
        </w:rPr>
        <w:t> </w:t>
      </w:r>
      <w:r w:rsidRPr="0099629E">
        <w:rPr>
          <w:rFonts w:ascii="Verdana" w:hAnsi="Verdana" w:cs="Arial"/>
          <w:color w:val="222222"/>
          <w:sz w:val="20"/>
          <w:shd w:val="clear" w:color="auto" w:fill="FFFFFF"/>
        </w:rPr>
        <w:t>is charged to commercial</w:t>
      </w:r>
      <w:r>
        <w:rPr>
          <w:rFonts w:ascii="Verdana" w:hAnsi="Verdana" w:cs="Arial"/>
          <w:color w:val="222222"/>
          <w:sz w:val="20"/>
          <w:shd w:val="clear" w:color="auto" w:fill="FFFFFF"/>
        </w:rPr>
        <w:t xml:space="preserve"> </w:t>
      </w:r>
      <w:r w:rsidRPr="0099629E">
        <w:rPr>
          <w:rFonts w:ascii="Verdana" w:hAnsi="Verdana" w:cs="Arial"/>
          <w:bCs/>
          <w:color w:val="222222"/>
          <w:sz w:val="20"/>
          <w:shd w:val="clear" w:color="auto" w:fill="FFFFFF"/>
        </w:rPr>
        <w:t>banks</w:t>
      </w:r>
      <w:r w:rsidRPr="0099629E">
        <w:rPr>
          <w:rStyle w:val="apple-converted-space"/>
          <w:rFonts w:ascii="Verdana" w:hAnsi="Verdana" w:cs="Arial"/>
          <w:color w:val="222222"/>
          <w:sz w:val="20"/>
          <w:shd w:val="clear" w:color="auto" w:fill="FFFFFF"/>
        </w:rPr>
        <w:t> </w:t>
      </w:r>
      <w:r w:rsidRPr="0099629E">
        <w:rPr>
          <w:rFonts w:ascii="Verdana" w:hAnsi="Verdana" w:cs="Arial"/>
          <w:color w:val="222222"/>
          <w:sz w:val="20"/>
          <w:shd w:val="clear" w:color="auto" w:fill="FFFFFF"/>
        </w:rPr>
        <w:t>against the loan issued to them by RBI, whereas, the</w:t>
      </w:r>
      <w:r w:rsidRPr="0099629E">
        <w:rPr>
          <w:rStyle w:val="apple-converted-space"/>
          <w:rFonts w:ascii="Verdana" w:hAnsi="Verdana" w:cs="Arial"/>
          <w:color w:val="222222"/>
          <w:sz w:val="20"/>
          <w:shd w:val="clear" w:color="auto" w:fill="FFFFFF"/>
        </w:rPr>
        <w:t> </w:t>
      </w:r>
      <w:r w:rsidRPr="0099629E">
        <w:rPr>
          <w:rFonts w:ascii="Verdana" w:hAnsi="Verdana" w:cs="Arial"/>
          <w:bCs/>
          <w:color w:val="222222"/>
          <w:sz w:val="20"/>
          <w:shd w:val="clear" w:color="auto" w:fill="FFFFFF"/>
        </w:rPr>
        <w:t>repo rate</w:t>
      </w:r>
      <w:r w:rsidRPr="0099629E">
        <w:rPr>
          <w:rStyle w:val="apple-converted-space"/>
          <w:rFonts w:ascii="Verdana" w:hAnsi="Verdana" w:cs="Arial"/>
          <w:color w:val="222222"/>
          <w:sz w:val="20"/>
          <w:shd w:val="clear" w:color="auto" w:fill="FFFFFF"/>
        </w:rPr>
        <w:t> </w:t>
      </w:r>
      <w:r w:rsidRPr="0099629E">
        <w:rPr>
          <w:rFonts w:ascii="Verdana" w:hAnsi="Verdana" w:cs="Arial"/>
          <w:color w:val="222222"/>
          <w:sz w:val="20"/>
          <w:shd w:val="clear" w:color="auto" w:fill="FFFFFF"/>
        </w:rPr>
        <w:t>is charged for repurchasing the securities.</w:t>
      </w:r>
    </w:p>
    <w:p w:rsidR="00725F5F" w:rsidRDefault="00725F5F" w:rsidP="00BB4AF9">
      <w:pPr>
        <w:spacing w:after="0" w:line="240" w:lineRule="auto"/>
        <w:jc w:val="both"/>
        <w:rPr>
          <w:rFonts w:ascii="Verdana" w:eastAsia="Times New Roman" w:hAnsi="Verdana" w:cs="Arial"/>
          <w:color w:val="000000"/>
          <w:sz w:val="20"/>
          <w:szCs w:val="18"/>
        </w:rPr>
      </w:pPr>
    </w:p>
    <w:p w:rsidR="00725F5F" w:rsidRDefault="00725F5F" w:rsidP="00725F5F">
      <w:pPr>
        <w:spacing w:after="0" w:line="240" w:lineRule="auto"/>
        <w:rPr>
          <w:rFonts w:ascii="Verdana" w:eastAsia="Times New Roman" w:hAnsi="Verdana" w:cs="Arial"/>
          <w:b/>
          <w:color w:val="222222"/>
          <w:sz w:val="20"/>
          <w:szCs w:val="18"/>
        </w:rPr>
      </w:pPr>
      <w:r>
        <w:rPr>
          <w:rFonts w:ascii="Verdana" w:eastAsia="Times New Roman" w:hAnsi="Verdana" w:cs="Arial"/>
          <w:b/>
          <w:bCs/>
          <w:color w:val="000000"/>
          <w:sz w:val="20"/>
          <w:szCs w:val="18"/>
        </w:rPr>
        <w:t>5</w:t>
      </w:r>
      <w:r w:rsidRPr="00BB4AF9">
        <w:rPr>
          <w:rFonts w:ascii="Verdana" w:eastAsia="Times New Roman" w:hAnsi="Verdana" w:cs="Arial"/>
          <w:b/>
          <w:bCs/>
          <w:color w:val="000000"/>
          <w:sz w:val="20"/>
          <w:szCs w:val="18"/>
        </w:rPr>
        <w:t>.</w:t>
      </w:r>
      <w:r w:rsidRPr="00BB4AF9">
        <w:rPr>
          <w:rFonts w:ascii="Verdana" w:eastAsia="Times New Roman" w:hAnsi="Verdana" w:cs="Times New Roman"/>
          <w:b/>
          <w:color w:val="000000"/>
          <w:sz w:val="20"/>
          <w:szCs w:val="18"/>
        </w:rPr>
        <w:t>    </w:t>
      </w:r>
      <w:r w:rsidRPr="00BB4AF9">
        <w:rPr>
          <w:rFonts w:ascii="Verdana" w:eastAsia="Times New Roman" w:hAnsi="Verdana" w:cs="Arial"/>
          <w:b/>
          <w:color w:val="222222"/>
          <w:sz w:val="20"/>
          <w:szCs w:val="18"/>
        </w:rPr>
        <w:t>Open market operations</w:t>
      </w:r>
    </w:p>
    <w:p w:rsidR="00725F5F" w:rsidRPr="00BB4AF9" w:rsidRDefault="00725F5F" w:rsidP="00725F5F">
      <w:pPr>
        <w:spacing w:after="0" w:line="240" w:lineRule="auto"/>
        <w:jc w:val="both"/>
        <w:rPr>
          <w:rFonts w:ascii="Verdana" w:eastAsia="Times New Roman" w:hAnsi="Verdana" w:cs="Arial"/>
          <w:b/>
          <w:color w:val="222222"/>
          <w:sz w:val="20"/>
          <w:szCs w:val="18"/>
        </w:rPr>
      </w:pPr>
      <w:r w:rsidRPr="00BB4AF9">
        <w:rPr>
          <w:rFonts w:ascii="Verdana" w:eastAsia="Times New Roman" w:hAnsi="Verdana" w:cs="Arial"/>
          <w:color w:val="000000"/>
          <w:sz w:val="20"/>
          <w:szCs w:val="18"/>
        </w:rPr>
        <w:t>It refers to buying and selling of government securities in open market in order to expand or contract the amount of money in the banking system.</w:t>
      </w:r>
      <w:r>
        <w:rPr>
          <w:rFonts w:ascii="Verdana" w:eastAsia="Times New Roman" w:hAnsi="Verdana" w:cs="Arial"/>
          <w:color w:val="000000"/>
          <w:sz w:val="20"/>
          <w:szCs w:val="18"/>
        </w:rPr>
        <w:t xml:space="preserve"> </w:t>
      </w:r>
      <w:r w:rsidRPr="00BB4AF9">
        <w:rPr>
          <w:rFonts w:ascii="Verdana" w:eastAsia="Times New Roman" w:hAnsi="Verdana" w:cs="Arial"/>
          <w:color w:val="000000"/>
          <w:sz w:val="20"/>
          <w:szCs w:val="18"/>
        </w:rPr>
        <w:t>This technique is superior to bank rate policy. Purchases inject money into the banking system while sale of securities do the opposite. During last two decades the RBI has been undertaking switch operations. This policy aims at preventing unrestricted increase in liquidity.</w:t>
      </w:r>
    </w:p>
    <w:p w:rsidR="00BB4AF9" w:rsidRPr="00BB4AF9" w:rsidRDefault="00BB4AF9" w:rsidP="00BB4AF9">
      <w:pPr>
        <w:spacing w:after="0" w:line="240" w:lineRule="auto"/>
        <w:jc w:val="both"/>
        <w:rPr>
          <w:rFonts w:ascii="Verdana" w:eastAsia="Times New Roman" w:hAnsi="Verdana" w:cs="Arial"/>
          <w:color w:val="222222"/>
          <w:sz w:val="20"/>
          <w:szCs w:val="18"/>
        </w:rPr>
      </w:pPr>
    </w:p>
    <w:p w:rsidR="00421576" w:rsidRPr="007B7643" w:rsidRDefault="007B7643" w:rsidP="007B7643">
      <w:pPr>
        <w:pStyle w:val="ListParagraph"/>
        <w:numPr>
          <w:ilvl w:val="0"/>
          <w:numId w:val="8"/>
        </w:numPr>
        <w:spacing w:after="0" w:line="240" w:lineRule="auto"/>
        <w:ind w:left="360"/>
        <w:rPr>
          <w:rFonts w:ascii="Verdana" w:eastAsia="Times New Roman" w:hAnsi="Verdana" w:cs="Arial"/>
          <w:b/>
          <w:color w:val="222222"/>
          <w:sz w:val="20"/>
          <w:szCs w:val="18"/>
        </w:rPr>
      </w:pPr>
      <w:r w:rsidRPr="007B7643">
        <w:rPr>
          <w:rFonts w:ascii="Verdana" w:eastAsia="Times New Roman" w:hAnsi="Verdana" w:cs="Arial"/>
          <w:b/>
          <w:color w:val="000000"/>
          <w:sz w:val="20"/>
          <w:szCs w:val="18"/>
        </w:rPr>
        <w:t>Selective / Qualitative Credit Control Methods</w:t>
      </w:r>
    </w:p>
    <w:p w:rsidR="00421576" w:rsidRDefault="00421576" w:rsidP="007B7643">
      <w:pPr>
        <w:spacing w:after="0" w:line="240" w:lineRule="auto"/>
        <w:jc w:val="both"/>
        <w:rPr>
          <w:rFonts w:ascii="Verdana" w:eastAsia="Times New Roman" w:hAnsi="Verdana" w:cs="Arial"/>
          <w:color w:val="000000"/>
          <w:sz w:val="20"/>
          <w:szCs w:val="18"/>
        </w:rPr>
      </w:pPr>
      <w:r w:rsidRPr="00BB4AF9">
        <w:rPr>
          <w:rFonts w:ascii="Verdana" w:eastAsia="Times New Roman" w:hAnsi="Verdana" w:cs="Arial"/>
          <w:color w:val="000000"/>
          <w:sz w:val="20"/>
          <w:szCs w:val="18"/>
        </w:rPr>
        <w:t>Under Selective Credit Control, credit is provided to selected borrowers</w:t>
      </w:r>
      <w:r w:rsidR="007B7643">
        <w:rPr>
          <w:rFonts w:ascii="Verdana" w:eastAsia="Times New Roman" w:hAnsi="Verdana" w:cs="Arial"/>
          <w:color w:val="000000"/>
          <w:sz w:val="20"/>
          <w:szCs w:val="18"/>
        </w:rPr>
        <w:t xml:space="preserve"> </w:t>
      </w:r>
      <w:r w:rsidRPr="00BB4AF9">
        <w:rPr>
          <w:rFonts w:ascii="Verdana" w:eastAsia="Times New Roman" w:hAnsi="Verdana" w:cs="Arial"/>
          <w:color w:val="000000"/>
          <w:sz w:val="20"/>
          <w:szCs w:val="18"/>
        </w:rPr>
        <w:t>for selected purpose, depending upon the use to which the control try to regulate the quality of credit - the direction towards the</w:t>
      </w:r>
      <w:r w:rsidR="007B7643">
        <w:rPr>
          <w:rFonts w:ascii="Verdana" w:eastAsia="Times New Roman" w:hAnsi="Verdana" w:cs="Arial"/>
          <w:color w:val="000000"/>
          <w:sz w:val="20"/>
          <w:szCs w:val="18"/>
        </w:rPr>
        <w:t xml:space="preserve"> </w:t>
      </w:r>
      <w:r w:rsidRPr="00BB4AF9">
        <w:rPr>
          <w:rFonts w:ascii="Verdana" w:eastAsia="Times New Roman" w:hAnsi="Verdana" w:cs="Arial"/>
          <w:color w:val="000000"/>
          <w:sz w:val="20"/>
          <w:szCs w:val="18"/>
        </w:rPr>
        <w:t>credit flows. The Selective Controls are</w:t>
      </w:r>
      <w:r w:rsidR="007B7643">
        <w:rPr>
          <w:rFonts w:ascii="Verdana" w:eastAsia="Times New Roman" w:hAnsi="Verdana" w:cs="Arial"/>
          <w:color w:val="000000"/>
          <w:sz w:val="20"/>
          <w:szCs w:val="18"/>
        </w:rPr>
        <w:t>:</w:t>
      </w:r>
    </w:p>
    <w:p w:rsidR="007B7643" w:rsidRPr="00BB4AF9" w:rsidRDefault="007B7643" w:rsidP="007B7643">
      <w:pPr>
        <w:spacing w:after="0" w:line="240" w:lineRule="auto"/>
        <w:jc w:val="both"/>
        <w:rPr>
          <w:rFonts w:ascii="Verdana" w:eastAsia="Times New Roman" w:hAnsi="Verdana" w:cs="Arial"/>
          <w:color w:val="222222"/>
          <w:sz w:val="20"/>
          <w:szCs w:val="18"/>
        </w:rPr>
      </w:pPr>
    </w:p>
    <w:p w:rsidR="00421576" w:rsidRPr="007B7643" w:rsidRDefault="00421576" w:rsidP="007B7643">
      <w:pPr>
        <w:pStyle w:val="ListParagraph"/>
        <w:numPr>
          <w:ilvl w:val="0"/>
          <w:numId w:val="9"/>
        </w:numPr>
        <w:spacing w:after="0" w:line="240" w:lineRule="auto"/>
        <w:ind w:left="360"/>
        <w:jc w:val="both"/>
        <w:rPr>
          <w:rFonts w:ascii="Verdana" w:eastAsia="Times New Roman" w:hAnsi="Verdana" w:cs="Arial"/>
          <w:b/>
          <w:color w:val="222222"/>
          <w:sz w:val="20"/>
          <w:szCs w:val="18"/>
        </w:rPr>
      </w:pPr>
      <w:r w:rsidRPr="007B7643">
        <w:rPr>
          <w:rFonts w:ascii="Verdana" w:eastAsia="Times New Roman" w:hAnsi="Verdana" w:cs="Arial"/>
          <w:b/>
          <w:color w:val="000000"/>
          <w:sz w:val="20"/>
          <w:szCs w:val="18"/>
        </w:rPr>
        <w:t>Ceiling On Credit</w:t>
      </w:r>
    </w:p>
    <w:p w:rsidR="007B7643" w:rsidRDefault="00421576" w:rsidP="007B7643">
      <w:pPr>
        <w:spacing w:after="0" w:line="240" w:lineRule="auto"/>
        <w:jc w:val="both"/>
        <w:rPr>
          <w:rFonts w:ascii="Verdana" w:eastAsia="Times New Roman" w:hAnsi="Verdana" w:cs="Arial"/>
          <w:color w:val="000000"/>
          <w:sz w:val="20"/>
          <w:szCs w:val="18"/>
        </w:rPr>
      </w:pPr>
      <w:r w:rsidRPr="00BB4AF9">
        <w:rPr>
          <w:rFonts w:ascii="Verdana" w:eastAsia="Times New Roman" w:hAnsi="Verdana" w:cs="Arial"/>
          <w:color w:val="000000"/>
          <w:sz w:val="20"/>
          <w:szCs w:val="18"/>
        </w:rPr>
        <w:t>The Ceiling</w:t>
      </w:r>
      <w:r w:rsidR="007B7643">
        <w:rPr>
          <w:rFonts w:ascii="Verdana" w:eastAsia="Times New Roman" w:hAnsi="Verdana" w:cs="Arial"/>
          <w:color w:val="000000"/>
          <w:sz w:val="20"/>
          <w:szCs w:val="18"/>
        </w:rPr>
        <w:t xml:space="preserve"> </w:t>
      </w:r>
      <w:r w:rsidRPr="00BB4AF9">
        <w:rPr>
          <w:rFonts w:ascii="Verdana" w:eastAsia="Times New Roman" w:hAnsi="Verdana" w:cs="Arial"/>
          <w:color w:val="000000"/>
          <w:sz w:val="20"/>
          <w:szCs w:val="18"/>
        </w:rPr>
        <w:t>on level of credit restricts the lending capacity of a bank to grant advances against certain controlled securities.</w:t>
      </w:r>
    </w:p>
    <w:p w:rsidR="007B7643" w:rsidRDefault="007B7643" w:rsidP="007B7643">
      <w:pPr>
        <w:spacing w:after="0" w:line="240" w:lineRule="auto"/>
        <w:jc w:val="both"/>
        <w:rPr>
          <w:rFonts w:ascii="Verdana" w:eastAsia="Times New Roman" w:hAnsi="Verdana" w:cs="Arial"/>
          <w:color w:val="000000"/>
          <w:sz w:val="20"/>
          <w:szCs w:val="18"/>
        </w:rPr>
      </w:pPr>
    </w:p>
    <w:p w:rsidR="00421576" w:rsidRPr="007B7643" w:rsidRDefault="00421576" w:rsidP="007B7643">
      <w:pPr>
        <w:pStyle w:val="ListParagraph"/>
        <w:numPr>
          <w:ilvl w:val="0"/>
          <w:numId w:val="9"/>
        </w:numPr>
        <w:spacing w:after="0" w:line="240" w:lineRule="auto"/>
        <w:ind w:left="360"/>
        <w:jc w:val="both"/>
        <w:rPr>
          <w:rFonts w:ascii="Verdana" w:eastAsia="Times New Roman" w:hAnsi="Verdana" w:cs="Arial"/>
          <w:b/>
          <w:color w:val="000000"/>
          <w:sz w:val="20"/>
          <w:szCs w:val="18"/>
        </w:rPr>
      </w:pPr>
      <w:r w:rsidRPr="007B7643">
        <w:rPr>
          <w:rFonts w:ascii="Verdana" w:eastAsia="Times New Roman" w:hAnsi="Verdana" w:cs="Arial"/>
          <w:b/>
          <w:color w:val="222222"/>
          <w:sz w:val="20"/>
          <w:szCs w:val="18"/>
        </w:rPr>
        <w:t>Margin</w:t>
      </w:r>
      <w:r w:rsidR="007B7643" w:rsidRPr="007B7643">
        <w:rPr>
          <w:rFonts w:ascii="Verdana" w:eastAsia="Times New Roman" w:hAnsi="Verdana" w:cs="Arial"/>
          <w:b/>
          <w:color w:val="222222"/>
          <w:sz w:val="20"/>
          <w:szCs w:val="18"/>
        </w:rPr>
        <w:t xml:space="preserve"> </w:t>
      </w:r>
      <w:r w:rsidRPr="007B7643">
        <w:rPr>
          <w:rFonts w:ascii="Verdana" w:eastAsia="Times New Roman" w:hAnsi="Verdana" w:cs="Arial"/>
          <w:b/>
          <w:color w:val="222222"/>
          <w:sz w:val="20"/>
          <w:szCs w:val="18"/>
        </w:rPr>
        <w:t>Requirements</w:t>
      </w:r>
    </w:p>
    <w:p w:rsidR="007B7643" w:rsidRDefault="007B7643" w:rsidP="007B7643">
      <w:pPr>
        <w:spacing w:after="0" w:line="240" w:lineRule="auto"/>
        <w:jc w:val="both"/>
        <w:rPr>
          <w:rFonts w:ascii="Verdana" w:eastAsia="Times New Roman" w:hAnsi="Verdana" w:cs="Arial"/>
          <w:color w:val="000000"/>
          <w:sz w:val="20"/>
          <w:szCs w:val="18"/>
        </w:rPr>
      </w:pPr>
      <w:r>
        <w:rPr>
          <w:rFonts w:ascii="Verdana" w:eastAsia="Times New Roman" w:hAnsi="Verdana" w:cs="Arial"/>
          <w:color w:val="000000"/>
          <w:sz w:val="20"/>
          <w:szCs w:val="18"/>
        </w:rPr>
        <w:t>A loan is sanctioned against collateral s</w:t>
      </w:r>
      <w:r w:rsidR="00421576" w:rsidRPr="00BB4AF9">
        <w:rPr>
          <w:rFonts w:ascii="Verdana" w:eastAsia="Times New Roman" w:hAnsi="Verdana" w:cs="Arial"/>
          <w:color w:val="000000"/>
          <w:sz w:val="20"/>
          <w:szCs w:val="18"/>
        </w:rPr>
        <w:t>ecurity. Margin means that proportion of the value of security against which loan is not given. Margin against a particular security is reduced or increased in order to encourage</w:t>
      </w:r>
      <w:r>
        <w:rPr>
          <w:rFonts w:ascii="Verdana" w:eastAsia="Times New Roman" w:hAnsi="Verdana" w:cs="Arial"/>
          <w:color w:val="000000"/>
          <w:sz w:val="20"/>
          <w:szCs w:val="18"/>
        </w:rPr>
        <w:t xml:space="preserve"> </w:t>
      </w:r>
      <w:r w:rsidR="00421576" w:rsidRPr="00BB4AF9">
        <w:rPr>
          <w:rFonts w:ascii="Verdana" w:eastAsia="Times New Roman" w:hAnsi="Verdana" w:cs="Arial"/>
          <w:color w:val="000000"/>
          <w:sz w:val="20"/>
          <w:szCs w:val="18"/>
        </w:rPr>
        <w:t>or to discourage the flow of credit to a particular sector. It varies from 20% to 80%. For agricultural commodities it is as high as 75%. Higher the margin lesser will be the loan sanctioned.</w:t>
      </w:r>
    </w:p>
    <w:p w:rsidR="007B7643" w:rsidRDefault="007B7643" w:rsidP="007B7643">
      <w:pPr>
        <w:spacing w:after="0" w:line="240" w:lineRule="auto"/>
        <w:jc w:val="both"/>
        <w:rPr>
          <w:rFonts w:ascii="Verdana" w:eastAsia="Times New Roman" w:hAnsi="Verdana" w:cs="Arial"/>
          <w:color w:val="000000"/>
          <w:sz w:val="20"/>
          <w:szCs w:val="18"/>
        </w:rPr>
      </w:pPr>
    </w:p>
    <w:p w:rsidR="00421576" w:rsidRPr="007B7643" w:rsidRDefault="00421576" w:rsidP="007B7643">
      <w:pPr>
        <w:pStyle w:val="ListParagraph"/>
        <w:numPr>
          <w:ilvl w:val="0"/>
          <w:numId w:val="9"/>
        </w:numPr>
        <w:spacing w:after="0" w:line="240" w:lineRule="auto"/>
        <w:ind w:left="360"/>
        <w:jc w:val="both"/>
        <w:rPr>
          <w:rFonts w:ascii="Verdana" w:eastAsia="Times New Roman" w:hAnsi="Verdana" w:cs="Arial"/>
          <w:b/>
          <w:color w:val="000000"/>
          <w:sz w:val="20"/>
          <w:szCs w:val="18"/>
        </w:rPr>
      </w:pPr>
      <w:r w:rsidRPr="007B7643">
        <w:rPr>
          <w:rFonts w:ascii="Verdana" w:eastAsia="Times New Roman" w:hAnsi="Verdana" w:cs="Arial"/>
          <w:b/>
          <w:color w:val="222222"/>
          <w:sz w:val="20"/>
          <w:szCs w:val="18"/>
        </w:rPr>
        <w:t>Discriminatory Interest Rate (DIR)</w:t>
      </w:r>
    </w:p>
    <w:p w:rsidR="007B7643" w:rsidRDefault="00421576" w:rsidP="007B7643">
      <w:pPr>
        <w:spacing w:after="0" w:line="240" w:lineRule="auto"/>
        <w:jc w:val="both"/>
        <w:rPr>
          <w:rFonts w:ascii="Verdana" w:eastAsia="Times New Roman" w:hAnsi="Verdana" w:cs="Arial"/>
          <w:color w:val="222222"/>
          <w:sz w:val="20"/>
          <w:szCs w:val="18"/>
        </w:rPr>
      </w:pPr>
      <w:r w:rsidRPr="00BB4AF9">
        <w:rPr>
          <w:rFonts w:ascii="Verdana" w:eastAsia="Times New Roman" w:hAnsi="Verdana" w:cs="Arial"/>
          <w:color w:val="000000"/>
          <w:sz w:val="20"/>
          <w:szCs w:val="18"/>
        </w:rPr>
        <w:t>Through DIR, RBI makes credit flow to certain priority or weaker sectors by charging concessional rates of interest. RBI issues supplementary instructions regarding granting of additional credit against sensitive commodities, issue of guarantees, making advances etc.</w:t>
      </w:r>
    </w:p>
    <w:p w:rsidR="007B7643" w:rsidRDefault="007B7643" w:rsidP="007B7643">
      <w:pPr>
        <w:spacing w:after="0" w:line="240" w:lineRule="auto"/>
        <w:jc w:val="both"/>
        <w:rPr>
          <w:rFonts w:ascii="Verdana" w:eastAsia="Times New Roman" w:hAnsi="Verdana" w:cs="Arial"/>
          <w:color w:val="222222"/>
          <w:sz w:val="20"/>
          <w:szCs w:val="18"/>
        </w:rPr>
      </w:pPr>
    </w:p>
    <w:p w:rsidR="003E19F5" w:rsidRDefault="003E19F5" w:rsidP="007B7643">
      <w:pPr>
        <w:spacing w:after="0" w:line="240" w:lineRule="auto"/>
        <w:jc w:val="both"/>
        <w:rPr>
          <w:rFonts w:ascii="Verdana" w:eastAsia="Times New Roman" w:hAnsi="Verdana" w:cs="Arial"/>
          <w:color w:val="222222"/>
          <w:sz w:val="20"/>
          <w:szCs w:val="18"/>
        </w:rPr>
      </w:pPr>
    </w:p>
    <w:p w:rsidR="00421576" w:rsidRPr="007B7643" w:rsidRDefault="00421576" w:rsidP="007B7643">
      <w:pPr>
        <w:pStyle w:val="ListParagraph"/>
        <w:numPr>
          <w:ilvl w:val="0"/>
          <w:numId w:val="9"/>
        </w:numPr>
        <w:spacing w:after="0" w:line="240" w:lineRule="auto"/>
        <w:ind w:left="360"/>
        <w:jc w:val="both"/>
        <w:rPr>
          <w:rFonts w:ascii="Verdana" w:eastAsia="Times New Roman" w:hAnsi="Verdana" w:cs="Arial"/>
          <w:b/>
          <w:color w:val="222222"/>
          <w:sz w:val="20"/>
          <w:szCs w:val="18"/>
        </w:rPr>
      </w:pPr>
      <w:r w:rsidRPr="007B7643">
        <w:rPr>
          <w:rFonts w:ascii="Verdana" w:eastAsia="Times New Roman" w:hAnsi="Verdana" w:cs="Arial"/>
          <w:b/>
          <w:color w:val="222222"/>
          <w:sz w:val="20"/>
          <w:szCs w:val="18"/>
        </w:rPr>
        <w:lastRenderedPageBreak/>
        <w:t>Directives:-</w:t>
      </w:r>
    </w:p>
    <w:p w:rsidR="00421576" w:rsidRPr="00BB4AF9" w:rsidRDefault="00421576" w:rsidP="007B7643">
      <w:pPr>
        <w:spacing w:after="0" w:line="240" w:lineRule="auto"/>
        <w:jc w:val="both"/>
        <w:rPr>
          <w:rFonts w:ascii="Verdana" w:eastAsia="Times New Roman" w:hAnsi="Verdana" w:cs="Arial"/>
          <w:color w:val="222222"/>
          <w:sz w:val="20"/>
          <w:szCs w:val="18"/>
        </w:rPr>
      </w:pPr>
      <w:r w:rsidRPr="00BB4AF9">
        <w:rPr>
          <w:rFonts w:ascii="Verdana" w:eastAsia="Times New Roman" w:hAnsi="Verdana" w:cs="Arial"/>
          <w:color w:val="000000"/>
          <w:sz w:val="20"/>
          <w:szCs w:val="18"/>
        </w:rPr>
        <w:t>The RBI issues directives to banks regarding advances. Directives are regarding the purpose for which loans may or may not be given.</w:t>
      </w:r>
    </w:p>
    <w:p w:rsidR="007B7643" w:rsidRDefault="007B7643" w:rsidP="007B7643">
      <w:pPr>
        <w:spacing w:after="0" w:line="240" w:lineRule="auto"/>
        <w:ind w:hanging="360"/>
        <w:jc w:val="both"/>
        <w:rPr>
          <w:rFonts w:ascii="Verdana" w:eastAsia="Times New Roman" w:hAnsi="Verdana" w:cs="Arial"/>
          <w:color w:val="222222"/>
          <w:sz w:val="20"/>
          <w:szCs w:val="18"/>
        </w:rPr>
      </w:pPr>
    </w:p>
    <w:p w:rsidR="00421576" w:rsidRPr="007B7643" w:rsidRDefault="00421576" w:rsidP="007B7643">
      <w:pPr>
        <w:pStyle w:val="ListParagraph"/>
        <w:numPr>
          <w:ilvl w:val="0"/>
          <w:numId w:val="9"/>
        </w:numPr>
        <w:spacing w:after="0" w:line="240" w:lineRule="auto"/>
        <w:ind w:left="360"/>
        <w:jc w:val="both"/>
        <w:rPr>
          <w:rFonts w:ascii="Verdana" w:eastAsia="Times New Roman" w:hAnsi="Verdana" w:cs="Arial"/>
          <w:b/>
          <w:color w:val="222222"/>
          <w:sz w:val="20"/>
          <w:szCs w:val="18"/>
        </w:rPr>
      </w:pPr>
      <w:r w:rsidRPr="007B7643">
        <w:rPr>
          <w:rFonts w:ascii="Verdana" w:eastAsia="Times New Roman" w:hAnsi="Verdana" w:cs="Arial"/>
          <w:b/>
          <w:color w:val="222222"/>
          <w:sz w:val="20"/>
          <w:szCs w:val="18"/>
        </w:rPr>
        <w:t>Direct Action</w:t>
      </w:r>
    </w:p>
    <w:p w:rsidR="00421576" w:rsidRPr="00BB4AF9" w:rsidRDefault="00421576" w:rsidP="007B7643">
      <w:pPr>
        <w:spacing w:after="0" w:line="240" w:lineRule="auto"/>
        <w:jc w:val="both"/>
        <w:rPr>
          <w:rFonts w:ascii="Verdana" w:eastAsia="Times New Roman" w:hAnsi="Verdana" w:cs="Arial"/>
          <w:color w:val="222222"/>
          <w:sz w:val="20"/>
          <w:szCs w:val="18"/>
        </w:rPr>
      </w:pPr>
      <w:r w:rsidRPr="00BB4AF9">
        <w:rPr>
          <w:rFonts w:ascii="Verdana" w:eastAsia="Times New Roman" w:hAnsi="Verdana" w:cs="Arial"/>
          <w:color w:val="000000"/>
          <w:sz w:val="20"/>
          <w:szCs w:val="18"/>
        </w:rPr>
        <w:t>It is too severe and is therefore rarely followed. It may involve refusal by RBI to rediscount bills or cancellation of license, if the bank has failed to comply with the directives of RBI.</w:t>
      </w:r>
    </w:p>
    <w:p w:rsidR="00421576" w:rsidRPr="007B7643" w:rsidRDefault="00421576" w:rsidP="007B7643">
      <w:pPr>
        <w:pStyle w:val="ListParagraph"/>
        <w:numPr>
          <w:ilvl w:val="0"/>
          <w:numId w:val="9"/>
        </w:numPr>
        <w:spacing w:after="0" w:line="240" w:lineRule="auto"/>
        <w:ind w:left="360"/>
        <w:jc w:val="both"/>
        <w:rPr>
          <w:rFonts w:ascii="Verdana" w:eastAsia="Times New Roman" w:hAnsi="Verdana" w:cs="Arial"/>
          <w:b/>
          <w:color w:val="222222"/>
          <w:sz w:val="20"/>
          <w:szCs w:val="18"/>
        </w:rPr>
      </w:pPr>
      <w:r w:rsidRPr="007B7643">
        <w:rPr>
          <w:rFonts w:ascii="Verdana" w:eastAsia="Times New Roman" w:hAnsi="Verdana" w:cs="Arial"/>
          <w:b/>
          <w:color w:val="222222"/>
          <w:sz w:val="20"/>
          <w:szCs w:val="18"/>
        </w:rPr>
        <w:t>Moral Suasion</w:t>
      </w:r>
    </w:p>
    <w:p w:rsidR="00421576" w:rsidRPr="00BB4AF9" w:rsidRDefault="00421576" w:rsidP="007B7643">
      <w:pPr>
        <w:spacing w:after="0" w:line="240" w:lineRule="auto"/>
        <w:jc w:val="both"/>
        <w:rPr>
          <w:rFonts w:ascii="Verdana" w:eastAsia="Times New Roman" w:hAnsi="Verdana" w:cs="Arial"/>
          <w:color w:val="222222"/>
          <w:sz w:val="20"/>
          <w:szCs w:val="18"/>
        </w:rPr>
      </w:pPr>
      <w:r w:rsidRPr="00BB4AF9">
        <w:rPr>
          <w:rFonts w:ascii="Verdana" w:eastAsia="Times New Roman" w:hAnsi="Verdana" w:cs="Arial"/>
          <w:color w:val="000000"/>
          <w:sz w:val="20"/>
          <w:szCs w:val="18"/>
        </w:rPr>
        <w:t>Under Moral Suasion, RBI issues periodical letters to bank to exercise control over credit in general or advances against particular commodities. Periodic discussions are held with authorities of commercial banks in this respect.</w:t>
      </w:r>
    </w:p>
    <w:p w:rsidR="00421576" w:rsidRPr="00BB4AF9" w:rsidRDefault="00421576" w:rsidP="007B7643">
      <w:pPr>
        <w:spacing w:after="0" w:line="240" w:lineRule="auto"/>
        <w:jc w:val="both"/>
        <w:rPr>
          <w:rFonts w:ascii="Verdana" w:hAnsi="Verdana"/>
          <w:i/>
          <w:sz w:val="20"/>
          <w:szCs w:val="18"/>
          <w:shd w:val="clear" w:color="auto" w:fill="FFFFFF"/>
        </w:rPr>
      </w:pPr>
    </w:p>
    <w:p w:rsidR="007B7643" w:rsidRDefault="007B7643" w:rsidP="00BB4AF9">
      <w:pPr>
        <w:spacing w:after="0" w:line="240" w:lineRule="auto"/>
        <w:jc w:val="both"/>
        <w:rPr>
          <w:rFonts w:ascii="Verdana" w:hAnsi="Verdana"/>
          <w:i/>
          <w:sz w:val="20"/>
          <w:szCs w:val="18"/>
          <w:shd w:val="clear" w:color="auto" w:fill="FFFFFF"/>
        </w:rPr>
      </w:pPr>
    </w:p>
    <w:p w:rsidR="00685892" w:rsidRPr="00BB4AF9" w:rsidRDefault="00685892" w:rsidP="00BB4AF9">
      <w:pPr>
        <w:spacing w:after="0" w:line="240" w:lineRule="auto"/>
        <w:jc w:val="both"/>
        <w:rPr>
          <w:rFonts w:ascii="Verdana" w:hAnsi="Verdana"/>
          <w:i/>
          <w:sz w:val="20"/>
          <w:szCs w:val="18"/>
          <w:shd w:val="clear" w:color="auto" w:fill="FFFFFF"/>
        </w:rPr>
      </w:pPr>
      <w:r w:rsidRPr="00BB4AF9">
        <w:rPr>
          <w:rFonts w:ascii="Verdana" w:hAnsi="Verdana"/>
          <w:i/>
          <w:sz w:val="20"/>
          <w:szCs w:val="18"/>
          <w:shd w:val="clear" w:color="auto" w:fill="FFFFFF"/>
        </w:rPr>
        <w:t>As on and from 5</w:t>
      </w:r>
      <w:r w:rsidRPr="00BB4AF9">
        <w:rPr>
          <w:rFonts w:ascii="Verdana" w:hAnsi="Verdana"/>
          <w:i/>
          <w:sz w:val="20"/>
          <w:szCs w:val="18"/>
          <w:shd w:val="clear" w:color="auto" w:fill="FFFFFF"/>
          <w:vertAlign w:val="superscript"/>
        </w:rPr>
        <w:t>th</w:t>
      </w:r>
      <w:r w:rsidRPr="00BB4AF9">
        <w:rPr>
          <w:rFonts w:ascii="Verdana" w:hAnsi="Verdana"/>
          <w:i/>
          <w:sz w:val="20"/>
          <w:szCs w:val="18"/>
          <w:shd w:val="clear" w:color="auto" w:fill="FFFFFF"/>
        </w:rPr>
        <w:t xml:space="preserve"> April 2016</w:t>
      </w:r>
      <w:r w:rsidR="00725F5F">
        <w:rPr>
          <w:rFonts w:ascii="Verdana" w:hAnsi="Verdana"/>
          <w:i/>
          <w:sz w:val="20"/>
          <w:szCs w:val="18"/>
          <w:shd w:val="clear" w:color="auto" w:fill="FFFFFF"/>
        </w:rPr>
        <w:t>:</w:t>
      </w:r>
    </w:p>
    <w:p w:rsidR="00685892" w:rsidRPr="00BB4AF9" w:rsidRDefault="00685892" w:rsidP="00BB4AF9">
      <w:pPr>
        <w:spacing w:after="0" w:line="240" w:lineRule="auto"/>
        <w:jc w:val="both"/>
        <w:rPr>
          <w:rFonts w:ascii="Verdana" w:hAnsi="Verdana"/>
          <w:i/>
          <w:sz w:val="20"/>
          <w:szCs w:val="18"/>
          <w:shd w:val="clear" w:color="auto" w:fill="FFFFFF"/>
        </w:rPr>
      </w:pPr>
      <w:r w:rsidRPr="00BB4AF9">
        <w:rPr>
          <w:rFonts w:ascii="Verdana" w:hAnsi="Verdana"/>
          <w:i/>
          <w:sz w:val="20"/>
          <w:szCs w:val="18"/>
          <w:shd w:val="clear" w:color="auto" w:fill="FFFFFF"/>
        </w:rPr>
        <w:t>Bank Rate 7%</w:t>
      </w:r>
      <w:r w:rsidR="007B7643">
        <w:rPr>
          <w:rFonts w:ascii="Verdana" w:hAnsi="Verdana"/>
          <w:i/>
          <w:sz w:val="20"/>
          <w:szCs w:val="18"/>
          <w:shd w:val="clear" w:color="auto" w:fill="FFFFFF"/>
        </w:rPr>
        <w:t xml:space="preserve">; </w:t>
      </w:r>
      <w:r w:rsidRPr="00BB4AF9">
        <w:rPr>
          <w:rFonts w:ascii="Verdana" w:hAnsi="Verdana"/>
          <w:i/>
          <w:sz w:val="20"/>
          <w:szCs w:val="18"/>
          <w:shd w:val="clear" w:color="auto" w:fill="FFFFFF"/>
        </w:rPr>
        <w:t>CRR is 4%</w:t>
      </w:r>
      <w:r w:rsidR="007B7643">
        <w:rPr>
          <w:rFonts w:ascii="Verdana" w:hAnsi="Verdana"/>
          <w:i/>
          <w:sz w:val="20"/>
          <w:szCs w:val="18"/>
          <w:shd w:val="clear" w:color="auto" w:fill="FFFFFF"/>
        </w:rPr>
        <w:t xml:space="preserve">; </w:t>
      </w:r>
      <w:r w:rsidRPr="00BB4AF9">
        <w:rPr>
          <w:rFonts w:ascii="Verdana" w:hAnsi="Verdana"/>
          <w:i/>
          <w:sz w:val="20"/>
          <w:szCs w:val="18"/>
          <w:shd w:val="clear" w:color="auto" w:fill="FFFFFF"/>
        </w:rPr>
        <w:t>SLR is 21.25%</w:t>
      </w:r>
      <w:r w:rsidR="007B7643">
        <w:rPr>
          <w:rFonts w:ascii="Verdana" w:hAnsi="Verdana"/>
          <w:i/>
          <w:sz w:val="20"/>
          <w:szCs w:val="18"/>
          <w:shd w:val="clear" w:color="auto" w:fill="FFFFFF"/>
        </w:rPr>
        <w:t xml:space="preserve">; </w:t>
      </w:r>
      <w:r w:rsidRPr="00BB4AF9">
        <w:rPr>
          <w:rFonts w:ascii="Verdana" w:hAnsi="Verdana"/>
          <w:i/>
          <w:sz w:val="20"/>
          <w:szCs w:val="18"/>
          <w:shd w:val="clear" w:color="auto" w:fill="FFFFFF"/>
        </w:rPr>
        <w:t>Repo Rate is 6.50%</w:t>
      </w:r>
      <w:r w:rsidR="007B7643">
        <w:rPr>
          <w:rFonts w:ascii="Verdana" w:hAnsi="Verdana"/>
          <w:i/>
          <w:sz w:val="20"/>
          <w:szCs w:val="18"/>
          <w:shd w:val="clear" w:color="auto" w:fill="FFFFFF"/>
        </w:rPr>
        <w:t xml:space="preserve">; </w:t>
      </w:r>
      <w:r w:rsidRPr="00BB4AF9">
        <w:rPr>
          <w:rFonts w:ascii="Verdana" w:hAnsi="Verdana"/>
          <w:i/>
          <w:sz w:val="20"/>
          <w:szCs w:val="18"/>
          <w:shd w:val="clear" w:color="auto" w:fill="FFFFFF"/>
        </w:rPr>
        <w:t>Reverse Repo Rate 6%</w:t>
      </w:r>
    </w:p>
    <w:p w:rsidR="00421576" w:rsidRDefault="00421576" w:rsidP="00BB4AF9">
      <w:pPr>
        <w:spacing w:after="0" w:line="240" w:lineRule="auto"/>
        <w:jc w:val="both"/>
        <w:rPr>
          <w:rFonts w:ascii="Verdana" w:hAnsi="Verdana"/>
          <w:sz w:val="20"/>
          <w:szCs w:val="18"/>
        </w:rPr>
      </w:pPr>
    </w:p>
    <w:p w:rsidR="007019FC" w:rsidRPr="007019FC" w:rsidRDefault="007019FC" w:rsidP="00BB4AF9">
      <w:pPr>
        <w:spacing w:after="0" w:line="240" w:lineRule="auto"/>
        <w:jc w:val="both"/>
        <w:rPr>
          <w:rFonts w:ascii="Verdana" w:hAnsi="Verdana"/>
          <w:b/>
          <w:sz w:val="20"/>
          <w:szCs w:val="18"/>
        </w:rPr>
      </w:pPr>
      <w:r w:rsidRPr="007019FC">
        <w:rPr>
          <w:rFonts w:ascii="Verdana" w:hAnsi="Verdana"/>
          <w:b/>
          <w:sz w:val="20"/>
          <w:szCs w:val="18"/>
        </w:rPr>
        <w:t>As on and from 2</w:t>
      </w:r>
      <w:r w:rsidRPr="007019FC">
        <w:rPr>
          <w:rFonts w:ascii="Verdana" w:hAnsi="Verdana"/>
          <w:b/>
          <w:sz w:val="20"/>
          <w:szCs w:val="18"/>
          <w:vertAlign w:val="superscript"/>
        </w:rPr>
        <w:t>nd</w:t>
      </w:r>
      <w:r w:rsidRPr="007019FC">
        <w:rPr>
          <w:rFonts w:ascii="Verdana" w:hAnsi="Verdana"/>
          <w:b/>
          <w:sz w:val="20"/>
          <w:szCs w:val="18"/>
        </w:rPr>
        <w:t xml:space="preserve"> August 2017:</w:t>
      </w:r>
    </w:p>
    <w:p w:rsidR="007019FC" w:rsidRPr="007019FC" w:rsidRDefault="007019FC" w:rsidP="007019FC">
      <w:pPr>
        <w:spacing w:after="0" w:line="240" w:lineRule="auto"/>
        <w:jc w:val="both"/>
        <w:rPr>
          <w:rFonts w:ascii="Verdana" w:hAnsi="Verdana"/>
          <w:b/>
          <w:i/>
          <w:sz w:val="20"/>
          <w:szCs w:val="18"/>
          <w:shd w:val="clear" w:color="auto" w:fill="FFFFFF"/>
        </w:rPr>
      </w:pPr>
      <w:r w:rsidRPr="007019FC">
        <w:rPr>
          <w:rFonts w:ascii="Verdana" w:hAnsi="Verdana"/>
          <w:b/>
          <w:i/>
          <w:sz w:val="20"/>
          <w:szCs w:val="18"/>
          <w:shd w:val="clear" w:color="auto" w:fill="FFFFFF"/>
        </w:rPr>
        <w:t>Bank Rate 6.25%; CRR is 4%; SLR is 19.5%; Repo Rate is 6%; Reverse Repo Rate 5.75%</w:t>
      </w:r>
    </w:p>
    <w:p w:rsidR="007019FC" w:rsidRPr="00BB4AF9" w:rsidRDefault="007019FC" w:rsidP="00BB4AF9">
      <w:pPr>
        <w:spacing w:after="0" w:line="240" w:lineRule="auto"/>
        <w:jc w:val="both"/>
        <w:rPr>
          <w:rFonts w:ascii="Verdana" w:hAnsi="Verdana"/>
          <w:sz w:val="20"/>
          <w:szCs w:val="18"/>
        </w:rPr>
      </w:pPr>
    </w:p>
    <w:sectPr w:rsidR="007019FC" w:rsidRPr="00BB4AF9" w:rsidSect="00EB505C">
      <w:headerReference w:type="default" r:id="rId7"/>
      <w:footerReference w:type="default" r:id="rId8"/>
      <w:pgSz w:w="12240" w:h="15840"/>
      <w:pgMar w:top="720" w:right="720" w:bottom="720" w:left="720" w:header="432" w:footer="43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1DD7" w:rsidRDefault="00FC1DD7" w:rsidP="00EB505C">
      <w:pPr>
        <w:spacing w:after="0" w:line="240" w:lineRule="auto"/>
      </w:pPr>
      <w:r>
        <w:separator/>
      </w:r>
    </w:p>
  </w:endnote>
  <w:endnote w:type="continuationSeparator" w:id="1">
    <w:p w:rsidR="00FC1DD7" w:rsidRDefault="00FC1DD7" w:rsidP="00EB50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0477"/>
      <w:docPartObj>
        <w:docPartGallery w:val="Page Numbers (Top of Page)"/>
        <w:docPartUnique/>
      </w:docPartObj>
    </w:sdtPr>
    <w:sdtContent>
      <w:p w:rsidR="00EB505C" w:rsidRDefault="00EB505C" w:rsidP="00EB505C">
        <w:pPr>
          <w:pStyle w:val="Footer"/>
          <w:jc w:val="center"/>
        </w:pPr>
        <w:r>
          <w:t xml:space="preserve">Page </w:t>
        </w:r>
        <w:r w:rsidR="001D1C44">
          <w:rPr>
            <w:b/>
            <w:sz w:val="24"/>
            <w:szCs w:val="24"/>
          </w:rPr>
          <w:fldChar w:fldCharType="begin"/>
        </w:r>
        <w:r>
          <w:rPr>
            <w:b/>
          </w:rPr>
          <w:instrText xml:space="preserve"> PAGE </w:instrText>
        </w:r>
        <w:r w:rsidR="001D1C44">
          <w:rPr>
            <w:b/>
            <w:sz w:val="24"/>
            <w:szCs w:val="24"/>
          </w:rPr>
          <w:fldChar w:fldCharType="separate"/>
        </w:r>
        <w:r w:rsidR="007019FC">
          <w:rPr>
            <w:b/>
            <w:noProof/>
          </w:rPr>
          <w:t>4</w:t>
        </w:r>
        <w:r w:rsidR="001D1C44">
          <w:rPr>
            <w:b/>
            <w:sz w:val="24"/>
            <w:szCs w:val="24"/>
          </w:rPr>
          <w:fldChar w:fldCharType="end"/>
        </w:r>
        <w:r>
          <w:t xml:space="preserve"> of </w:t>
        </w:r>
        <w:r w:rsidR="001D1C44">
          <w:rPr>
            <w:b/>
            <w:sz w:val="24"/>
            <w:szCs w:val="24"/>
          </w:rPr>
          <w:fldChar w:fldCharType="begin"/>
        </w:r>
        <w:r>
          <w:rPr>
            <w:b/>
          </w:rPr>
          <w:instrText xml:space="preserve"> NUMPAGES  </w:instrText>
        </w:r>
        <w:r w:rsidR="001D1C44">
          <w:rPr>
            <w:b/>
            <w:sz w:val="24"/>
            <w:szCs w:val="24"/>
          </w:rPr>
          <w:fldChar w:fldCharType="separate"/>
        </w:r>
        <w:r w:rsidR="007019FC">
          <w:rPr>
            <w:b/>
            <w:noProof/>
          </w:rPr>
          <w:t>4</w:t>
        </w:r>
        <w:r w:rsidR="001D1C44">
          <w:rPr>
            <w:b/>
            <w:sz w:val="24"/>
            <w:szCs w:val="24"/>
          </w:rPr>
          <w:fldChar w:fldCharType="end"/>
        </w:r>
      </w:p>
    </w:sdtContent>
  </w:sdt>
  <w:p w:rsidR="00EB505C" w:rsidRDefault="00EB50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1DD7" w:rsidRDefault="00FC1DD7" w:rsidP="00EB505C">
      <w:pPr>
        <w:spacing w:after="0" w:line="240" w:lineRule="auto"/>
      </w:pPr>
      <w:r>
        <w:separator/>
      </w:r>
    </w:p>
  </w:footnote>
  <w:footnote w:type="continuationSeparator" w:id="1">
    <w:p w:rsidR="00FC1DD7" w:rsidRDefault="00FC1DD7" w:rsidP="00EB50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05C" w:rsidRPr="00215DA2" w:rsidRDefault="00EB505C" w:rsidP="00EB505C">
    <w:pPr>
      <w:pStyle w:val="Header"/>
      <w:jc w:val="right"/>
      <w:rPr>
        <w:rFonts w:ascii="Georgia" w:hAnsi="Georgia"/>
        <w:color w:val="000000" w:themeColor="text1"/>
        <w:sz w:val="20"/>
      </w:rPr>
    </w:pPr>
    <w:r w:rsidRPr="00215DA2">
      <w:rPr>
        <w:rFonts w:ascii="Georgia" w:hAnsi="Georgia"/>
        <w:color w:val="000000" w:themeColor="text1"/>
        <w:sz w:val="20"/>
      </w:rPr>
      <w:t>©2016 CA Jaideep Gupta, All rights reserved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B0DF8"/>
    <w:multiLevelType w:val="hybridMultilevel"/>
    <w:tmpl w:val="D6E6C36A"/>
    <w:lvl w:ilvl="0" w:tplc="71FA08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B7E69"/>
    <w:multiLevelType w:val="hybridMultilevel"/>
    <w:tmpl w:val="13308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D68AB"/>
    <w:multiLevelType w:val="hybridMultilevel"/>
    <w:tmpl w:val="780E487A"/>
    <w:lvl w:ilvl="0" w:tplc="71FA08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394487"/>
    <w:multiLevelType w:val="hybridMultilevel"/>
    <w:tmpl w:val="34DC5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E5452D"/>
    <w:multiLevelType w:val="hybridMultilevel"/>
    <w:tmpl w:val="25547B2C"/>
    <w:lvl w:ilvl="0" w:tplc="71FA08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A461D9"/>
    <w:multiLevelType w:val="hybridMultilevel"/>
    <w:tmpl w:val="CCB6EA6C"/>
    <w:lvl w:ilvl="0" w:tplc="1286FF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753472"/>
    <w:multiLevelType w:val="hybridMultilevel"/>
    <w:tmpl w:val="43B4C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0E1601"/>
    <w:multiLevelType w:val="hybridMultilevel"/>
    <w:tmpl w:val="8F008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B820FD"/>
    <w:multiLevelType w:val="hybridMultilevel"/>
    <w:tmpl w:val="A18883E8"/>
    <w:lvl w:ilvl="0" w:tplc="045E052C">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2"/>
  </w:num>
  <w:num w:numId="5">
    <w:abstractNumId w:val="0"/>
  </w:num>
  <w:num w:numId="6">
    <w:abstractNumId w:val="4"/>
  </w:num>
  <w:num w:numId="7">
    <w:abstractNumId w:val="1"/>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5602"/>
  </w:hdrShapeDefaults>
  <w:footnotePr>
    <w:footnote w:id="0"/>
    <w:footnote w:id="1"/>
  </w:footnotePr>
  <w:endnotePr>
    <w:endnote w:id="0"/>
    <w:endnote w:id="1"/>
  </w:endnotePr>
  <w:compat/>
  <w:rsids>
    <w:rsidRoot w:val="005D72FB"/>
    <w:rsid w:val="001357A3"/>
    <w:rsid w:val="001D1C44"/>
    <w:rsid w:val="002C75EC"/>
    <w:rsid w:val="00301CA1"/>
    <w:rsid w:val="00303676"/>
    <w:rsid w:val="003320F1"/>
    <w:rsid w:val="00337BCA"/>
    <w:rsid w:val="0036621F"/>
    <w:rsid w:val="003E19F5"/>
    <w:rsid w:val="00421576"/>
    <w:rsid w:val="004C6821"/>
    <w:rsid w:val="005007AD"/>
    <w:rsid w:val="005745A3"/>
    <w:rsid w:val="005D72FB"/>
    <w:rsid w:val="00656FC8"/>
    <w:rsid w:val="00685892"/>
    <w:rsid w:val="00694790"/>
    <w:rsid w:val="007019FC"/>
    <w:rsid w:val="007225B5"/>
    <w:rsid w:val="00725F5F"/>
    <w:rsid w:val="007B7643"/>
    <w:rsid w:val="0083745A"/>
    <w:rsid w:val="008C7A8C"/>
    <w:rsid w:val="008D6FA4"/>
    <w:rsid w:val="00903D3C"/>
    <w:rsid w:val="0090535B"/>
    <w:rsid w:val="00981E5D"/>
    <w:rsid w:val="00992EB4"/>
    <w:rsid w:val="0099629E"/>
    <w:rsid w:val="009B5A8F"/>
    <w:rsid w:val="00A7664B"/>
    <w:rsid w:val="00A863DF"/>
    <w:rsid w:val="00AD2501"/>
    <w:rsid w:val="00AE7CAA"/>
    <w:rsid w:val="00B97CBF"/>
    <w:rsid w:val="00BB4AF9"/>
    <w:rsid w:val="00C2438E"/>
    <w:rsid w:val="00C437C4"/>
    <w:rsid w:val="00C505FA"/>
    <w:rsid w:val="00DF101D"/>
    <w:rsid w:val="00E106E3"/>
    <w:rsid w:val="00E965D4"/>
    <w:rsid w:val="00EB505C"/>
    <w:rsid w:val="00EE614E"/>
    <w:rsid w:val="00F14A6E"/>
    <w:rsid w:val="00FB314F"/>
    <w:rsid w:val="00FC1DD7"/>
    <w:rsid w:val="00FD6F0F"/>
    <w:rsid w:val="00FF44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EB4"/>
  </w:style>
  <w:style w:type="paragraph" w:styleId="Heading2">
    <w:name w:val="heading 2"/>
    <w:basedOn w:val="Normal"/>
    <w:link w:val="Heading2Char"/>
    <w:uiPriority w:val="9"/>
    <w:qFormat/>
    <w:rsid w:val="00C243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43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7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2FB"/>
    <w:rPr>
      <w:rFonts w:ascii="Tahoma" w:hAnsi="Tahoma" w:cs="Tahoma"/>
      <w:sz w:val="16"/>
      <w:szCs w:val="16"/>
    </w:rPr>
  </w:style>
  <w:style w:type="paragraph" w:customStyle="1" w:styleId="Default">
    <w:name w:val="Default"/>
    <w:rsid w:val="005D72FB"/>
    <w:pPr>
      <w:autoSpaceDE w:val="0"/>
      <w:autoSpaceDN w:val="0"/>
      <w:adjustRightInd w:val="0"/>
      <w:spacing w:after="0" w:line="240" w:lineRule="auto"/>
    </w:pPr>
    <w:rPr>
      <w:rFonts w:ascii="Century Gothic" w:hAnsi="Century Gothic" w:cs="Century Gothic"/>
      <w:color w:val="000000"/>
      <w:sz w:val="24"/>
      <w:szCs w:val="24"/>
    </w:rPr>
  </w:style>
  <w:style w:type="paragraph" w:styleId="ListParagraph">
    <w:name w:val="List Paragraph"/>
    <w:basedOn w:val="Normal"/>
    <w:uiPriority w:val="34"/>
    <w:qFormat/>
    <w:rsid w:val="0083745A"/>
    <w:pPr>
      <w:ind w:left="720"/>
      <w:contextualSpacing/>
    </w:pPr>
  </w:style>
  <w:style w:type="paragraph" w:styleId="Header">
    <w:name w:val="header"/>
    <w:basedOn w:val="Normal"/>
    <w:link w:val="HeaderChar"/>
    <w:uiPriority w:val="99"/>
    <w:unhideWhenUsed/>
    <w:rsid w:val="00EB5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05C"/>
  </w:style>
  <w:style w:type="paragraph" w:styleId="Footer">
    <w:name w:val="footer"/>
    <w:basedOn w:val="Normal"/>
    <w:link w:val="FooterChar"/>
    <w:uiPriority w:val="99"/>
    <w:unhideWhenUsed/>
    <w:rsid w:val="00EB5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05C"/>
  </w:style>
  <w:style w:type="paragraph" w:styleId="NormalWeb">
    <w:name w:val="Normal (Web)"/>
    <w:basedOn w:val="Normal"/>
    <w:uiPriority w:val="99"/>
    <w:unhideWhenUsed/>
    <w:rsid w:val="00C243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243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438E"/>
    <w:rPr>
      <w:rFonts w:ascii="Times New Roman" w:eastAsia="Times New Roman" w:hAnsi="Times New Roman" w:cs="Times New Roman"/>
      <w:b/>
      <w:bCs/>
      <w:sz w:val="27"/>
      <w:szCs w:val="27"/>
    </w:rPr>
  </w:style>
  <w:style w:type="character" w:customStyle="1" w:styleId="bodytext">
    <w:name w:val="bodytext"/>
    <w:basedOn w:val="DefaultParagraphFont"/>
    <w:rsid w:val="00421576"/>
  </w:style>
  <w:style w:type="character" w:customStyle="1" w:styleId="apple-converted-space">
    <w:name w:val="apple-converted-space"/>
    <w:basedOn w:val="DefaultParagraphFont"/>
    <w:rsid w:val="00421576"/>
  </w:style>
  <w:style w:type="character" w:customStyle="1" w:styleId="bodytext1">
    <w:name w:val="bodytext1"/>
    <w:basedOn w:val="DefaultParagraphFont"/>
    <w:rsid w:val="00421576"/>
  </w:style>
  <w:style w:type="character" w:customStyle="1" w:styleId="bodytext135pt1">
    <w:name w:val="bodytext135pt1"/>
    <w:basedOn w:val="DefaultParagraphFont"/>
    <w:rsid w:val="00421576"/>
  </w:style>
  <w:style w:type="character" w:customStyle="1" w:styleId="bodytextspacing2pt">
    <w:name w:val="bodytextspacing2pt"/>
    <w:basedOn w:val="DefaultParagraphFont"/>
    <w:rsid w:val="00421576"/>
  </w:style>
  <w:style w:type="character" w:customStyle="1" w:styleId="bodytext12pt">
    <w:name w:val="bodytext12pt"/>
    <w:basedOn w:val="DefaultParagraphFont"/>
    <w:rsid w:val="00421576"/>
  </w:style>
  <w:style w:type="character" w:customStyle="1" w:styleId="bodytext30">
    <w:name w:val="bodytext30"/>
    <w:basedOn w:val="DefaultParagraphFont"/>
    <w:rsid w:val="00421576"/>
  </w:style>
  <w:style w:type="character" w:customStyle="1" w:styleId="bodytextbold">
    <w:name w:val="bodytextbold"/>
    <w:basedOn w:val="DefaultParagraphFont"/>
    <w:rsid w:val="00421576"/>
  </w:style>
  <w:style w:type="character" w:customStyle="1" w:styleId="bodytext3">
    <w:name w:val="bodytext3"/>
    <w:basedOn w:val="DefaultParagraphFont"/>
    <w:rsid w:val="00421576"/>
  </w:style>
  <w:style w:type="character" w:styleId="Hyperlink">
    <w:name w:val="Hyperlink"/>
    <w:basedOn w:val="DefaultParagraphFont"/>
    <w:uiPriority w:val="99"/>
    <w:semiHidden/>
    <w:unhideWhenUsed/>
    <w:rsid w:val="0099629E"/>
    <w:rPr>
      <w:color w:val="0000FF"/>
      <w:u w:val="single"/>
    </w:rPr>
  </w:style>
  <w:style w:type="character" w:styleId="Strong">
    <w:name w:val="Strong"/>
    <w:basedOn w:val="DefaultParagraphFont"/>
    <w:uiPriority w:val="22"/>
    <w:qFormat/>
    <w:rsid w:val="002C75EC"/>
    <w:rPr>
      <w:b/>
      <w:bCs/>
    </w:rPr>
  </w:style>
</w:styles>
</file>

<file path=word/webSettings.xml><?xml version="1.0" encoding="utf-8"?>
<w:webSettings xmlns:r="http://schemas.openxmlformats.org/officeDocument/2006/relationships" xmlns:w="http://schemas.openxmlformats.org/wordprocessingml/2006/main">
  <w:divs>
    <w:div w:id="790056286">
      <w:bodyDiv w:val="1"/>
      <w:marLeft w:val="0"/>
      <w:marRight w:val="0"/>
      <w:marTop w:val="0"/>
      <w:marBottom w:val="0"/>
      <w:divBdr>
        <w:top w:val="none" w:sz="0" w:space="0" w:color="auto"/>
        <w:left w:val="none" w:sz="0" w:space="0" w:color="auto"/>
        <w:bottom w:val="none" w:sz="0" w:space="0" w:color="auto"/>
        <w:right w:val="none" w:sz="0" w:space="0" w:color="auto"/>
      </w:divBdr>
    </w:div>
    <w:div w:id="1555238744">
      <w:bodyDiv w:val="1"/>
      <w:marLeft w:val="0"/>
      <w:marRight w:val="0"/>
      <w:marTop w:val="0"/>
      <w:marBottom w:val="0"/>
      <w:divBdr>
        <w:top w:val="none" w:sz="0" w:space="0" w:color="auto"/>
        <w:left w:val="none" w:sz="0" w:space="0" w:color="auto"/>
        <w:bottom w:val="none" w:sz="0" w:space="0" w:color="auto"/>
        <w:right w:val="none" w:sz="0" w:space="0" w:color="auto"/>
      </w:divBdr>
    </w:div>
    <w:div w:id="2011446948">
      <w:bodyDiv w:val="1"/>
      <w:marLeft w:val="0"/>
      <w:marRight w:val="0"/>
      <w:marTop w:val="0"/>
      <w:marBottom w:val="0"/>
      <w:divBdr>
        <w:top w:val="none" w:sz="0" w:space="0" w:color="auto"/>
        <w:left w:val="none" w:sz="0" w:space="0" w:color="auto"/>
        <w:bottom w:val="none" w:sz="0" w:space="0" w:color="auto"/>
        <w:right w:val="none" w:sz="0" w:space="0" w:color="auto"/>
      </w:divBdr>
      <w:divsChild>
        <w:div w:id="373847740">
          <w:marLeft w:val="720"/>
          <w:marRight w:val="0"/>
          <w:marTop w:val="0"/>
          <w:marBottom w:val="28"/>
          <w:divBdr>
            <w:top w:val="none" w:sz="0" w:space="0" w:color="auto"/>
            <w:left w:val="none" w:sz="0" w:space="0" w:color="auto"/>
            <w:bottom w:val="none" w:sz="0" w:space="0" w:color="auto"/>
            <w:right w:val="none" w:sz="0" w:space="0" w:color="auto"/>
          </w:divBdr>
        </w:div>
        <w:div w:id="1129978464">
          <w:marLeft w:val="1480"/>
          <w:marRight w:val="380"/>
          <w:marTop w:val="0"/>
          <w:marBottom w:val="0"/>
          <w:divBdr>
            <w:top w:val="none" w:sz="0" w:space="0" w:color="auto"/>
            <w:left w:val="none" w:sz="0" w:space="0" w:color="auto"/>
            <w:bottom w:val="none" w:sz="0" w:space="0" w:color="auto"/>
            <w:right w:val="none" w:sz="0" w:space="0" w:color="auto"/>
          </w:divBdr>
        </w:div>
        <w:div w:id="1575435452">
          <w:marLeft w:val="920"/>
          <w:marRight w:val="0"/>
          <w:marTop w:val="0"/>
          <w:marBottom w:val="24"/>
          <w:divBdr>
            <w:top w:val="none" w:sz="0" w:space="0" w:color="auto"/>
            <w:left w:val="none" w:sz="0" w:space="0" w:color="auto"/>
            <w:bottom w:val="none" w:sz="0" w:space="0" w:color="auto"/>
            <w:right w:val="none" w:sz="0" w:space="0" w:color="auto"/>
          </w:divBdr>
        </w:div>
        <w:div w:id="380137449">
          <w:marLeft w:val="1440"/>
          <w:marRight w:val="0"/>
          <w:marTop w:val="0"/>
          <w:marBottom w:val="24"/>
          <w:divBdr>
            <w:top w:val="none" w:sz="0" w:space="0" w:color="auto"/>
            <w:left w:val="none" w:sz="0" w:space="0" w:color="auto"/>
            <w:bottom w:val="none" w:sz="0" w:space="0" w:color="auto"/>
            <w:right w:val="none" w:sz="0" w:space="0" w:color="auto"/>
          </w:divBdr>
        </w:div>
        <w:div w:id="1448115440">
          <w:marLeft w:val="1440"/>
          <w:marRight w:val="380"/>
          <w:marTop w:val="0"/>
          <w:marBottom w:val="0"/>
          <w:divBdr>
            <w:top w:val="none" w:sz="0" w:space="0" w:color="auto"/>
            <w:left w:val="none" w:sz="0" w:space="0" w:color="auto"/>
            <w:bottom w:val="none" w:sz="0" w:space="0" w:color="auto"/>
            <w:right w:val="none" w:sz="0" w:space="0" w:color="auto"/>
          </w:divBdr>
        </w:div>
        <w:div w:id="892275239">
          <w:marLeft w:val="1800"/>
          <w:marRight w:val="0"/>
          <w:marTop w:val="0"/>
          <w:marBottom w:val="40"/>
          <w:divBdr>
            <w:top w:val="none" w:sz="0" w:space="0" w:color="auto"/>
            <w:left w:val="none" w:sz="0" w:space="0" w:color="auto"/>
            <w:bottom w:val="none" w:sz="0" w:space="0" w:color="auto"/>
            <w:right w:val="none" w:sz="0" w:space="0" w:color="auto"/>
          </w:divBdr>
        </w:div>
        <w:div w:id="1966737577">
          <w:marLeft w:val="1480"/>
          <w:marRight w:val="380"/>
          <w:marTop w:val="0"/>
          <w:marBottom w:val="0"/>
          <w:divBdr>
            <w:top w:val="none" w:sz="0" w:space="0" w:color="auto"/>
            <w:left w:val="none" w:sz="0" w:space="0" w:color="auto"/>
            <w:bottom w:val="none" w:sz="0" w:space="0" w:color="auto"/>
            <w:right w:val="none" w:sz="0" w:space="0" w:color="auto"/>
          </w:divBdr>
        </w:div>
        <w:div w:id="1425033344">
          <w:marLeft w:val="1400"/>
          <w:marRight w:val="0"/>
          <w:marTop w:val="0"/>
          <w:marBottom w:val="0"/>
          <w:divBdr>
            <w:top w:val="none" w:sz="0" w:space="0" w:color="auto"/>
            <w:left w:val="none" w:sz="0" w:space="0" w:color="auto"/>
            <w:bottom w:val="none" w:sz="0" w:space="0" w:color="auto"/>
            <w:right w:val="none" w:sz="0" w:space="0" w:color="auto"/>
          </w:divBdr>
        </w:div>
        <w:div w:id="2121096713">
          <w:marLeft w:val="1040"/>
          <w:marRight w:val="0"/>
          <w:marTop w:val="0"/>
          <w:marBottom w:val="0"/>
          <w:divBdr>
            <w:top w:val="none" w:sz="0" w:space="0" w:color="auto"/>
            <w:left w:val="none" w:sz="0" w:space="0" w:color="auto"/>
            <w:bottom w:val="none" w:sz="0" w:space="0" w:color="auto"/>
            <w:right w:val="none" w:sz="0" w:space="0" w:color="auto"/>
          </w:divBdr>
        </w:div>
        <w:div w:id="737748645">
          <w:marLeft w:val="1040"/>
          <w:marRight w:val="0"/>
          <w:marTop w:val="0"/>
          <w:marBottom w:val="0"/>
          <w:divBdr>
            <w:top w:val="none" w:sz="0" w:space="0" w:color="auto"/>
            <w:left w:val="none" w:sz="0" w:space="0" w:color="auto"/>
            <w:bottom w:val="none" w:sz="0" w:space="0" w:color="auto"/>
            <w:right w:val="none" w:sz="0" w:space="0" w:color="auto"/>
          </w:divBdr>
        </w:div>
        <w:div w:id="313027121">
          <w:marLeft w:val="0"/>
          <w:marRight w:val="40"/>
          <w:marTop w:val="0"/>
          <w:marBottom w:val="0"/>
          <w:divBdr>
            <w:top w:val="none" w:sz="0" w:space="0" w:color="auto"/>
            <w:left w:val="none" w:sz="0" w:space="0" w:color="auto"/>
            <w:bottom w:val="none" w:sz="0" w:space="0" w:color="auto"/>
            <w:right w:val="none" w:sz="0" w:space="0" w:color="auto"/>
          </w:divBdr>
        </w:div>
        <w:div w:id="64302973">
          <w:marLeft w:val="1800"/>
          <w:marRight w:val="0"/>
          <w:marTop w:val="0"/>
          <w:marBottom w:val="40"/>
          <w:divBdr>
            <w:top w:val="none" w:sz="0" w:space="0" w:color="auto"/>
            <w:left w:val="none" w:sz="0" w:space="0" w:color="auto"/>
            <w:bottom w:val="none" w:sz="0" w:space="0" w:color="auto"/>
            <w:right w:val="none" w:sz="0" w:space="0" w:color="auto"/>
          </w:divBdr>
        </w:div>
        <w:div w:id="1839033339">
          <w:marLeft w:val="1480"/>
          <w:marRight w:val="380"/>
          <w:marTop w:val="0"/>
          <w:marBottom w:val="0"/>
          <w:divBdr>
            <w:top w:val="none" w:sz="0" w:space="0" w:color="auto"/>
            <w:left w:val="none" w:sz="0" w:space="0" w:color="auto"/>
            <w:bottom w:val="none" w:sz="0" w:space="0" w:color="auto"/>
            <w:right w:val="none" w:sz="0" w:space="0" w:color="auto"/>
          </w:divBdr>
        </w:div>
        <w:div w:id="344788160">
          <w:marLeft w:val="1800"/>
          <w:marRight w:val="0"/>
          <w:marTop w:val="0"/>
          <w:marBottom w:val="40"/>
          <w:divBdr>
            <w:top w:val="none" w:sz="0" w:space="0" w:color="auto"/>
            <w:left w:val="none" w:sz="0" w:space="0" w:color="auto"/>
            <w:bottom w:val="none" w:sz="0" w:space="0" w:color="auto"/>
            <w:right w:val="none" w:sz="0" w:space="0" w:color="auto"/>
          </w:divBdr>
        </w:div>
        <w:div w:id="898202431">
          <w:marLeft w:val="1480"/>
          <w:marRight w:val="380"/>
          <w:marTop w:val="0"/>
          <w:marBottom w:val="0"/>
          <w:divBdr>
            <w:top w:val="none" w:sz="0" w:space="0" w:color="auto"/>
            <w:left w:val="none" w:sz="0" w:space="0" w:color="auto"/>
            <w:bottom w:val="none" w:sz="0" w:space="0" w:color="auto"/>
            <w:right w:val="none" w:sz="0" w:space="0" w:color="auto"/>
          </w:divBdr>
        </w:div>
        <w:div w:id="1011449407">
          <w:marLeft w:val="1800"/>
          <w:marRight w:val="0"/>
          <w:marTop w:val="0"/>
          <w:marBottom w:val="40"/>
          <w:divBdr>
            <w:top w:val="none" w:sz="0" w:space="0" w:color="auto"/>
            <w:left w:val="none" w:sz="0" w:space="0" w:color="auto"/>
            <w:bottom w:val="none" w:sz="0" w:space="0" w:color="auto"/>
            <w:right w:val="none" w:sz="0" w:space="0" w:color="auto"/>
          </w:divBdr>
        </w:div>
        <w:div w:id="1554462218">
          <w:marLeft w:val="1480"/>
          <w:marRight w:val="380"/>
          <w:marTop w:val="0"/>
          <w:marBottom w:val="0"/>
          <w:divBdr>
            <w:top w:val="none" w:sz="0" w:space="0" w:color="auto"/>
            <w:left w:val="none" w:sz="0" w:space="0" w:color="auto"/>
            <w:bottom w:val="none" w:sz="0" w:space="0" w:color="auto"/>
            <w:right w:val="none" w:sz="0" w:space="0" w:color="auto"/>
          </w:divBdr>
        </w:div>
        <w:div w:id="963316977">
          <w:marLeft w:val="580"/>
          <w:marRight w:val="0"/>
          <w:marTop w:val="0"/>
          <w:marBottom w:val="0"/>
          <w:divBdr>
            <w:top w:val="none" w:sz="0" w:space="0" w:color="auto"/>
            <w:left w:val="none" w:sz="0" w:space="0" w:color="auto"/>
            <w:bottom w:val="none" w:sz="0" w:space="0" w:color="auto"/>
            <w:right w:val="none" w:sz="0" w:space="0" w:color="auto"/>
          </w:divBdr>
        </w:div>
        <w:div w:id="287903982">
          <w:marLeft w:val="580"/>
          <w:marRight w:val="0"/>
          <w:marTop w:val="0"/>
          <w:marBottom w:val="0"/>
          <w:divBdr>
            <w:top w:val="none" w:sz="0" w:space="0" w:color="auto"/>
            <w:left w:val="none" w:sz="0" w:space="0" w:color="auto"/>
            <w:bottom w:val="none" w:sz="0" w:space="0" w:color="auto"/>
            <w:right w:val="none" w:sz="0" w:space="0" w:color="auto"/>
          </w:divBdr>
        </w:div>
        <w:div w:id="20326626">
          <w:marLeft w:val="1800"/>
          <w:marRight w:val="0"/>
          <w:marTop w:val="0"/>
          <w:marBottom w:val="40"/>
          <w:divBdr>
            <w:top w:val="none" w:sz="0" w:space="0" w:color="auto"/>
            <w:left w:val="none" w:sz="0" w:space="0" w:color="auto"/>
            <w:bottom w:val="none" w:sz="0" w:space="0" w:color="auto"/>
            <w:right w:val="none" w:sz="0" w:space="0" w:color="auto"/>
          </w:divBdr>
        </w:div>
        <w:div w:id="84351664">
          <w:marLeft w:val="1440"/>
          <w:marRight w:val="460"/>
          <w:marTop w:val="0"/>
          <w:marBottom w:val="0"/>
          <w:divBdr>
            <w:top w:val="none" w:sz="0" w:space="0" w:color="auto"/>
            <w:left w:val="none" w:sz="0" w:space="0" w:color="auto"/>
            <w:bottom w:val="none" w:sz="0" w:space="0" w:color="auto"/>
            <w:right w:val="none" w:sz="0" w:space="0" w:color="auto"/>
          </w:divBdr>
        </w:div>
        <w:div w:id="1385446918">
          <w:marLeft w:val="1440"/>
          <w:marRight w:val="460"/>
          <w:marTop w:val="0"/>
          <w:marBottom w:val="0"/>
          <w:divBdr>
            <w:top w:val="none" w:sz="0" w:space="0" w:color="auto"/>
            <w:left w:val="none" w:sz="0" w:space="0" w:color="auto"/>
            <w:bottom w:val="none" w:sz="0" w:space="0" w:color="auto"/>
            <w:right w:val="none" w:sz="0" w:space="0" w:color="auto"/>
          </w:divBdr>
        </w:div>
        <w:div w:id="321279635">
          <w:marLeft w:val="1440"/>
          <w:marRight w:val="460"/>
          <w:marTop w:val="0"/>
          <w:marBottom w:val="136"/>
          <w:divBdr>
            <w:top w:val="none" w:sz="0" w:space="0" w:color="auto"/>
            <w:left w:val="none" w:sz="0" w:space="0" w:color="auto"/>
            <w:bottom w:val="none" w:sz="0" w:space="0" w:color="auto"/>
            <w:right w:val="none" w:sz="0" w:space="0" w:color="auto"/>
          </w:divBdr>
        </w:div>
        <w:div w:id="1562905944">
          <w:marLeft w:val="920"/>
          <w:marRight w:val="0"/>
          <w:marTop w:val="0"/>
          <w:marBottom w:val="24"/>
          <w:divBdr>
            <w:top w:val="none" w:sz="0" w:space="0" w:color="auto"/>
            <w:left w:val="none" w:sz="0" w:space="0" w:color="auto"/>
            <w:bottom w:val="none" w:sz="0" w:space="0" w:color="auto"/>
            <w:right w:val="none" w:sz="0" w:space="0" w:color="auto"/>
          </w:divBdr>
        </w:div>
        <w:div w:id="102193678">
          <w:marLeft w:val="1440"/>
          <w:marRight w:val="460"/>
          <w:marTop w:val="0"/>
          <w:marBottom w:val="0"/>
          <w:divBdr>
            <w:top w:val="none" w:sz="0" w:space="0" w:color="auto"/>
            <w:left w:val="none" w:sz="0" w:space="0" w:color="auto"/>
            <w:bottom w:val="none" w:sz="0" w:space="0" w:color="auto"/>
            <w:right w:val="none" w:sz="0" w:space="0" w:color="auto"/>
          </w:divBdr>
        </w:div>
        <w:div w:id="1605070313">
          <w:marLeft w:val="1800"/>
          <w:marRight w:val="0"/>
          <w:marTop w:val="0"/>
          <w:marBottom w:val="40"/>
          <w:divBdr>
            <w:top w:val="none" w:sz="0" w:space="0" w:color="auto"/>
            <w:left w:val="none" w:sz="0" w:space="0" w:color="auto"/>
            <w:bottom w:val="none" w:sz="0" w:space="0" w:color="auto"/>
            <w:right w:val="none" w:sz="0" w:space="0" w:color="auto"/>
          </w:divBdr>
        </w:div>
        <w:div w:id="1054428492">
          <w:marLeft w:val="1440"/>
          <w:marRight w:val="280"/>
          <w:marTop w:val="0"/>
          <w:marBottom w:val="0"/>
          <w:divBdr>
            <w:top w:val="none" w:sz="0" w:space="0" w:color="auto"/>
            <w:left w:val="none" w:sz="0" w:space="0" w:color="auto"/>
            <w:bottom w:val="none" w:sz="0" w:space="0" w:color="auto"/>
            <w:right w:val="none" w:sz="0" w:space="0" w:color="auto"/>
          </w:divBdr>
        </w:div>
        <w:div w:id="2037847246">
          <w:marLeft w:val="1800"/>
          <w:marRight w:val="0"/>
          <w:marTop w:val="0"/>
          <w:marBottom w:val="40"/>
          <w:divBdr>
            <w:top w:val="none" w:sz="0" w:space="0" w:color="auto"/>
            <w:left w:val="none" w:sz="0" w:space="0" w:color="auto"/>
            <w:bottom w:val="none" w:sz="0" w:space="0" w:color="auto"/>
            <w:right w:val="none" w:sz="0" w:space="0" w:color="auto"/>
          </w:divBdr>
        </w:div>
        <w:div w:id="838732077">
          <w:marLeft w:val="1440"/>
          <w:marRight w:val="0"/>
          <w:marTop w:val="0"/>
          <w:marBottom w:val="42"/>
          <w:divBdr>
            <w:top w:val="none" w:sz="0" w:space="0" w:color="auto"/>
            <w:left w:val="none" w:sz="0" w:space="0" w:color="auto"/>
            <w:bottom w:val="none" w:sz="0" w:space="0" w:color="auto"/>
            <w:right w:val="none" w:sz="0" w:space="0" w:color="auto"/>
          </w:divBdr>
        </w:div>
        <w:div w:id="355815945">
          <w:marLeft w:val="1800"/>
          <w:marRight w:val="0"/>
          <w:marTop w:val="0"/>
          <w:marBottom w:val="40"/>
          <w:divBdr>
            <w:top w:val="none" w:sz="0" w:space="0" w:color="auto"/>
            <w:left w:val="none" w:sz="0" w:space="0" w:color="auto"/>
            <w:bottom w:val="none" w:sz="0" w:space="0" w:color="auto"/>
            <w:right w:val="none" w:sz="0" w:space="0" w:color="auto"/>
          </w:divBdr>
        </w:div>
        <w:div w:id="1191801251">
          <w:marLeft w:val="1440"/>
          <w:marRight w:val="400"/>
          <w:marTop w:val="0"/>
          <w:marBottom w:val="70"/>
          <w:divBdr>
            <w:top w:val="none" w:sz="0" w:space="0" w:color="auto"/>
            <w:left w:val="none" w:sz="0" w:space="0" w:color="auto"/>
            <w:bottom w:val="none" w:sz="0" w:space="0" w:color="auto"/>
            <w:right w:val="none" w:sz="0" w:space="0" w:color="auto"/>
          </w:divBdr>
        </w:div>
        <w:div w:id="616449199">
          <w:marLeft w:val="820"/>
          <w:marRight w:val="0"/>
          <w:marTop w:val="0"/>
          <w:marBottom w:val="41"/>
          <w:divBdr>
            <w:top w:val="none" w:sz="0" w:space="0" w:color="auto"/>
            <w:left w:val="none" w:sz="0" w:space="0" w:color="auto"/>
            <w:bottom w:val="none" w:sz="0" w:space="0" w:color="auto"/>
            <w:right w:val="none" w:sz="0" w:space="0" w:color="auto"/>
          </w:divBdr>
        </w:div>
        <w:div w:id="423036926">
          <w:marLeft w:val="1800"/>
          <w:marRight w:val="0"/>
          <w:marTop w:val="0"/>
          <w:marBottom w:val="40"/>
          <w:divBdr>
            <w:top w:val="none" w:sz="0" w:space="0" w:color="auto"/>
            <w:left w:val="none" w:sz="0" w:space="0" w:color="auto"/>
            <w:bottom w:val="none" w:sz="0" w:space="0" w:color="auto"/>
            <w:right w:val="none" w:sz="0" w:space="0" w:color="auto"/>
          </w:divBdr>
        </w:div>
        <w:div w:id="761951539">
          <w:marLeft w:val="1440"/>
          <w:marRight w:val="400"/>
          <w:marTop w:val="0"/>
          <w:marBottom w:val="70"/>
          <w:divBdr>
            <w:top w:val="none" w:sz="0" w:space="0" w:color="auto"/>
            <w:left w:val="none" w:sz="0" w:space="0" w:color="auto"/>
            <w:bottom w:val="none" w:sz="0" w:space="0" w:color="auto"/>
            <w:right w:val="none" w:sz="0" w:space="0" w:color="auto"/>
          </w:divBdr>
        </w:div>
        <w:div w:id="1472481667">
          <w:marLeft w:val="1800"/>
          <w:marRight w:val="0"/>
          <w:marTop w:val="0"/>
          <w:marBottom w:val="40"/>
          <w:divBdr>
            <w:top w:val="none" w:sz="0" w:space="0" w:color="auto"/>
            <w:left w:val="none" w:sz="0" w:space="0" w:color="auto"/>
            <w:bottom w:val="none" w:sz="0" w:space="0" w:color="auto"/>
            <w:right w:val="none" w:sz="0" w:space="0" w:color="auto"/>
          </w:divBdr>
        </w:div>
        <w:div w:id="1023441897">
          <w:marLeft w:val="1440"/>
          <w:marRight w:val="400"/>
          <w:marTop w:val="0"/>
          <w:marBottom w:val="61"/>
          <w:divBdr>
            <w:top w:val="none" w:sz="0" w:space="0" w:color="auto"/>
            <w:left w:val="none" w:sz="0" w:space="0" w:color="auto"/>
            <w:bottom w:val="none" w:sz="0" w:space="0" w:color="auto"/>
            <w:right w:val="none" w:sz="0" w:space="0" w:color="auto"/>
          </w:divBdr>
        </w:div>
        <w:div w:id="1017316628">
          <w:marLeft w:val="1800"/>
          <w:marRight w:val="0"/>
          <w:marTop w:val="0"/>
          <w:marBottom w:val="40"/>
          <w:divBdr>
            <w:top w:val="none" w:sz="0" w:space="0" w:color="auto"/>
            <w:left w:val="none" w:sz="0" w:space="0" w:color="auto"/>
            <w:bottom w:val="none" w:sz="0" w:space="0" w:color="auto"/>
            <w:right w:val="none" w:sz="0" w:space="0" w:color="auto"/>
          </w:divBdr>
        </w:div>
        <w:div w:id="1699547560">
          <w:marLeft w:val="1440"/>
          <w:marRight w:val="400"/>
          <w:marTop w:val="0"/>
          <w:marBottom w:val="250"/>
          <w:divBdr>
            <w:top w:val="none" w:sz="0" w:space="0" w:color="auto"/>
            <w:left w:val="none" w:sz="0" w:space="0" w:color="auto"/>
            <w:bottom w:val="none" w:sz="0" w:space="0" w:color="auto"/>
            <w:right w:val="none" w:sz="0" w:space="0" w:color="auto"/>
          </w:divBdr>
        </w:div>
      </w:divsChild>
    </w:div>
    <w:div w:id="211956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4</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2016-07-24T12:32:00Z</dcterms:created>
  <dcterms:modified xsi:type="dcterms:W3CDTF">2017-10-31T03:26:00Z</dcterms:modified>
</cp:coreProperties>
</file>