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2FB" w:rsidRPr="006142C6" w:rsidRDefault="005D72FB" w:rsidP="00B97CBF">
      <w:pPr>
        <w:rPr>
          <w:rFonts w:ascii="Verdana" w:hAnsi="Verdana"/>
        </w:rPr>
      </w:pPr>
    </w:p>
    <w:p w:rsidR="006142C6" w:rsidRDefault="006142C6" w:rsidP="006142C6">
      <w:pPr>
        <w:jc w:val="center"/>
        <w:rPr>
          <w:rFonts w:ascii="Verdana" w:hAnsi="Verdana"/>
          <w:sz w:val="28"/>
        </w:rPr>
      </w:pPr>
      <w:r w:rsidRPr="006142C6">
        <w:rPr>
          <w:rFonts w:ascii="Verdana" w:hAnsi="Verdana"/>
          <w:sz w:val="28"/>
        </w:rPr>
        <w:t>International Trade</w:t>
      </w:r>
    </w:p>
    <w:p w:rsidR="006142C6" w:rsidRDefault="00B23759" w:rsidP="00B23759">
      <w:pPr>
        <w:spacing w:after="0" w:line="240" w:lineRule="auto"/>
        <w:jc w:val="both"/>
        <w:rPr>
          <w:rFonts w:ascii="Verdana" w:eastAsia="Times New Roman" w:hAnsi="Verdana" w:cs="Times New Roman"/>
          <w:sz w:val="20"/>
          <w:szCs w:val="24"/>
        </w:rPr>
      </w:pPr>
      <w:r w:rsidRPr="00B23759">
        <w:rPr>
          <w:rFonts w:ascii="Verdana" w:eastAsia="Times New Roman" w:hAnsi="Verdana" w:cs="Times New Roman"/>
          <w:sz w:val="20"/>
          <w:szCs w:val="24"/>
        </w:rPr>
        <w:t>International trade is the exchange of goods and services between countries. This type of trade gives rise to a world economy, in which prices, or supply and demand, affect and are affected by global events.</w:t>
      </w:r>
    </w:p>
    <w:p w:rsidR="00B23759" w:rsidRDefault="00B23759" w:rsidP="00B23759">
      <w:pPr>
        <w:spacing w:after="0" w:line="240" w:lineRule="auto"/>
        <w:jc w:val="both"/>
        <w:rPr>
          <w:rFonts w:ascii="Helvetica" w:eastAsia="Times New Roman" w:hAnsi="Helvetica" w:cs="Helvetica"/>
          <w:color w:val="000000"/>
          <w:sz w:val="23"/>
          <w:szCs w:val="23"/>
        </w:rPr>
      </w:pPr>
    </w:p>
    <w:p w:rsidR="00B23759" w:rsidRDefault="00B23759" w:rsidP="00B23759">
      <w:pPr>
        <w:spacing w:after="0" w:line="240" w:lineRule="auto"/>
        <w:jc w:val="both"/>
        <w:rPr>
          <w:rFonts w:ascii="Verdana" w:eastAsia="Times New Roman" w:hAnsi="Verdana" w:cs="Helvetica"/>
          <w:sz w:val="20"/>
        </w:rPr>
      </w:pPr>
      <w:r w:rsidRPr="00A25149">
        <w:rPr>
          <w:rFonts w:ascii="Verdana" w:eastAsia="Times New Roman" w:hAnsi="Verdana" w:cs="Helvetica"/>
          <w:color w:val="000000"/>
          <w:sz w:val="20"/>
          <w:szCs w:val="23"/>
        </w:rPr>
        <w:t>Trading globally gives consumers and countries the opportunity to be exposed to goods and services not available in their own countries. Almost every kind of product can be found on the international market: food, clothes, spare parts, oil, jewelry, wine, stocks, currencies and water. Services are also traded: tourism, banking, consulting and transportation. A product that is sold to the global market is an</w:t>
      </w:r>
      <w:r w:rsidRPr="00A25149">
        <w:rPr>
          <w:rFonts w:ascii="Verdana" w:eastAsia="Times New Roman" w:hAnsi="Verdana" w:cs="Helvetica"/>
          <w:color w:val="000000"/>
          <w:sz w:val="20"/>
        </w:rPr>
        <w:t> </w:t>
      </w:r>
      <w:r w:rsidRPr="00A25149">
        <w:rPr>
          <w:rFonts w:ascii="Verdana" w:eastAsia="Times New Roman" w:hAnsi="Verdana" w:cs="Helvetica"/>
          <w:sz w:val="20"/>
        </w:rPr>
        <w:t>export</w:t>
      </w:r>
      <w:r w:rsidRPr="00A25149">
        <w:rPr>
          <w:rFonts w:ascii="Verdana" w:eastAsia="Times New Roman" w:hAnsi="Verdana" w:cs="Helvetica"/>
          <w:color w:val="000000"/>
          <w:sz w:val="20"/>
          <w:szCs w:val="23"/>
        </w:rPr>
        <w:t xml:space="preserve">, and a product that is bought from the global market is </w:t>
      </w:r>
      <w:r w:rsidRPr="00A25149">
        <w:rPr>
          <w:rFonts w:ascii="Verdana" w:eastAsia="Times New Roman" w:hAnsi="Verdana" w:cs="Helvetica"/>
          <w:sz w:val="20"/>
          <w:szCs w:val="23"/>
        </w:rPr>
        <w:t>an</w:t>
      </w:r>
      <w:r w:rsidRPr="00A25149">
        <w:rPr>
          <w:rFonts w:ascii="Verdana" w:eastAsia="Times New Roman" w:hAnsi="Verdana" w:cs="Helvetica"/>
          <w:sz w:val="20"/>
        </w:rPr>
        <w:t> import</w:t>
      </w:r>
      <w:r w:rsidRPr="00A25149">
        <w:rPr>
          <w:rFonts w:ascii="Verdana" w:eastAsia="Times New Roman" w:hAnsi="Verdana" w:cs="Helvetica"/>
          <w:color w:val="000000"/>
          <w:sz w:val="20"/>
          <w:szCs w:val="23"/>
        </w:rPr>
        <w:t>. Imports and exports are accounted for in a</w:t>
      </w:r>
      <w:r w:rsidRPr="00A25149">
        <w:rPr>
          <w:rFonts w:ascii="Verdana" w:eastAsia="Times New Roman" w:hAnsi="Verdana" w:cs="Helvetica"/>
          <w:color w:val="000000"/>
          <w:sz w:val="20"/>
        </w:rPr>
        <w:t> </w:t>
      </w:r>
      <w:r w:rsidRPr="00A25149">
        <w:rPr>
          <w:rFonts w:ascii="Verdana" w:eastAsia="Times New Roman" w:hAnsi="Verdana" w:cs="Helvetica"/>
          <w:sz w:val="20"/>
        </w:rPr>
        <w:t>country's current account in the balance of payments</w:t>
      </w:r>
    </w:p>
    <w:p w:rsidR="00FA4844" w:rsidRPr="00FA4844" w:rsidRDefault="00FA4844" w:rsidP="00FA4844">
      <w:pPr>
        <w:spacing w:before="100" w:beforeAutospacing="1" w:after="100" w:afterAutospacing="1" w:line="240" w:lineRule="auto"/>
        <w:jc w:val="both"/>
        <w:rPr>
          <w:rFonts w:ascii="Verdana" w:eastAsia="Times New Roman" w:hAnsi="Verdana" w:cs="Helvetica"/>
          <w:sz w:val="20"/>
          <w:szCs w:val="20"/>
        </w:rPr>
      </w:pPr>
      <w:r w:rsidRPr="00FA4844">
        <w:rPr>
          <w:rFonts w:ascii="Verdana" w:eastAsia="Times New Roman" w:hAnsi="Verdana" w:cs="Helvetica"/>
          <w:sz w:val="20"/>
          <w:szCs w:val="20"/>
        </w:rPr>
        <w:t>International trade not only results in increased efficiency but also allows countries to participate in a global economy, encouraging the opportunity of foreign direct investment (FDI), which is the amount of money that individuals invest into foreign companies and other assets. In theory, economies can therefore grow more efficiently and can more easily become competitive economic participants.</w:t>
      </w:r>
    </w:p>
    <w:p w:rsidR="00DF0A6A" w:rsidRDefault="00FA4844" w:rsidP="00FA4844">
      <w:pPr>
        <w:spacing w:before="100" w:beforeAutospacing="1" w:after="100" w:afterAutospacing="1" w:line="240" w:lineRule="auto"/>
        <w:jc w:val="both"/>
        <w:rPr>
          <w:rFonts w:ascii="Verdana" w:eastAsia="Times New Roman" w:hAnsi="Verdana" w:cs="Helvetica"/>
          <w:sz w:val="20"/>
          <w:szCs w:val="20"/>
        </w:rPr>
      </w:pPr>
      <w:r w:rsidRPr="00FA4844">
        <w:rPr>
          <w:rFonts w:ascii="Verdana" w:eastAsia="Times New Roman" w:hAnsi="Verdana" w:cs="Helvetica"/>
          <w:sz w:val="20"/>
          <w:szCs w:val="20"/>
        </w:rPr>
        <w:t>For the receiving government, FDI is a means by which foreign currency and expertise can enter the country. These raise employment levels, and, theoretically, lead to a growth in the gross domestic product. For the investor, FDI offers company expansion and growth, which means higher revenues.</w:t>
      </w:r>
    </w:p>
    <w:p w:rsidR="00767EB3" w:rsidRPr="00767EB3" w:rsidRDefault="00767EB3" w:rsidP="00767EB3">
      <w:pPr>
        <w:spacing w:after="0" w:line="240" w:lineRule="auto"/>
        <w:jc w:val="both"/>
        <w:rPr>
          <w:rFonts w:ascii="Verdana" w:hAnsi="Verdana" w:cs="Arial"/>
          <w:b/>
          <w:sz w:val="20"/>
          <w:szCs w:val="20"/>
          <w:shd w:val="clear" w:color="auto" w:fill="FFFFFF"/>
        </w:rPr>
      </w:pPr>
      <w:r w:rsidRPr="00767EB3">
        <w:rPr>
          <w:rFonts w:ascii="Verdana" w:hAnsi="Verdana" w:cs="Arial"/>
          <w:b/>
          <w:sz w:val="20"/>
          <w:szCs w:val="20"/>
          <w:shd w:val="clear" w:color="auto" w:fill="FFFFFF"/>
        </w:rPr>
        <w:t>Foreign Exchange Reserves</w:t>
      </w:r>
    </w:p>
    <w:p w:rsidR="00767EB3" w:rsidRPr="00767EB3" w:rsidRDefault="00767EB3" w:rsidP="00767EB3">
      <w:pPr>
        <w:spacing w:after="0" w:line="240" w:lineRule="auto"/>
        <w:jc w:val="both"/>
        <w:rPr>
          <w:rFonts w:ascii="Verdana" w:eastAsia="Times New Roman" w:hAnsi="Verdana" w:cs="Helvetica"/>
          <w:b/>
          <w:sz w:val="20"/>
          <w:szCs w:val="20"/>
        </w:rPr>
      </w:pPr>
      <w:r w:rsidRPr="00767EB3">
        <w:rPr>
          <w:rFonts w:ascii="Verdana" w:hAnsi="Verdana" w:cs="Arial"/>
          <w:sz w:val="20"/>
          <w:szCs w:val="20"/>
          <w:shd w:val="clear" w:color="auto" w:fill="FFFFFF"/>
        </w:rPr>
        <w:t xml:space="preserve">Reserves are </w:t>
      </w:r>
      <w:r w:rsidR="00FA3DE8">
        <w:rPr>
          <w:rFonts w:ascii="Verdana" w:hAnsi="Verdana" w:cs="Arial"/>
          <w:sz w:val="20"/>
          <w:szCs w:val="20"/>
          <w:shd w:val="clear" w:color="auto" w:fill="FFFFFF"/>
        </w:rPr>
        <w:t>g</w:t>
      </w:r>
      <w:r w:rsidRPr="00767EB3">
        <w:rPr>
          <w:rFonts w:ascii="Verdana" w:hAnsi="Verdana" w:cs="Arial"/>
          <w:sz w:val="20"/>
          <w:szCs w:val="20"/>
          <w:shd w:val="clear" w:color="auto" w:fill="FFFFFF"/>
        </w:rPr>
        <w:t>enerally maintained by countries for meeting their international payment obligations — both short and long terms, including sovereign and commercial debts, financing of imports, for intervention in the foreign currency markets during periods of volatility, besides helping to boost the confidence of the market in the ability of a country to meet its external obligations and to absorb any unfor</w:t>
      </w:r>
      <w:r>
        <w:rPr>
          <w:rFonts w:ascii="Verdana" w:hAnsi="Verdana" w:cs="Arial"/>
          <w:sz w:val="20"/>
          <w:szCs w:val="20"/>
          <w:shd w:val="clear" w:color="auto" w:fill="FFFFFF"/>
        </w:rPr>
        <w:t>e</w:t>
      </w:r>
      <w:r w:rsidRPr="00767EB3">
        <w:rPr>
          <w:rFonts w:ascii="Verdana" w:hAnsi="Verdana" w:cs="Arial"/>
          <w:sz w:val="20"/>
          <w:szCs w:val="20"/>
          <w:shd w:val="clear" w:color="auto" w:fill="FFFFFF"/>
        </w:rPr>
        <w:t>seen external shocks</w:t>
      </w:r>
      <w:r>
        <w:rPr>
          <w:rFonts w:ascii="Verdana" w:hAnsi="Verdana" w:cs="Arial"/>
          <w:sz w:val="20"/>
          <w:szCs w:val="20"/>
          <w:shd w:val="clear" w:color="auto" w:fill="FFFFFF"/>
        </w:rPr>
        <w:t>.</w:t>
      </w:r>
    </w:p>
    <w:p w:rsidR="00DF0A6A" w:rsidRPr="00767EB3" w:rsidRDefault="00DF0A6A" w:rsidP="00FA4844">
      <w:pPr>
        <w:spacing w:before="100" w:beforeAutospacing="1" w:after="100" w:afterAutospacing="1" w:line="240" w:lineRule="auto"/>
        <w:jc w:val="both"/>
        <w:rPr>
          <w:rFonts w:ascii="Verdana" w:eastAsia="Times New Roman" w:hAnsi="Verdana" w:cs="Helvetica"/>
          <w:b/>
          <w:sz w:val="20"/>
          <w:szCs w:val="20"/>
        </w:rPr>
      </w:pPr>
      <w:r w:rsidRPr="00767EB3">
        <w:rPr>
          <w:rFonts w:ascii="Verdana" w:eastAsia="Times New Roman" w:hAnsi="Verdana" w:cs="Helvetica"/>
          <w:b/>
          <w:sz w:val="20"/>
          <w:szCs w:val="20"/>
        </w:rPr>
        <w:t>India’s Foreign Exchange Reserves</w:t>
      </w:r>
    </w:p>
    <w:p w:rsidR="00DF0A6A" w:rsidRPr="00767EB3" w:rsidRDefault="00DF0A6A" w:rsidP="00FA4844">
      <w:pPr>
        <w:spacing w:before="100" w:beforeAutospacing="1" w:after="100" w:afterAutospacing="1" w:line="240" w:lineRule="auto"/>
        <w:jc w:val="both"/>
        <w:rPr>
          <w:rStyle w:val="apple-converted-space"/>
          <w:rFonts w:ascii="Verdana" w:hAnsi="Verdana" w:cs="Arial"/>
          <w:color w:val="252525"/>
          <w:sz w:val="20"/>
          <w:szCs w:val="21"/>
          <w:shd w:val="clear" w:color="auto" w:fill="FFFFFF"/>
        </w:rPr>
      </w:pPr>
      <w:r w:rsidRPr="00767EB3">
        <w:rPr>
          <w:rStyle w:val="apple-converted-space"/>
          <w:rFonts w:ascii="Verdana" w:hAnsi="Verdana" w:cs="Arial"/>
          <w:color w:val="252525"/>
          <w:sz w:val="20"/>
          <w:szCs w:val="21"/>
          <w:shd w:val="clear" w:color="auto" w:fill="FFFFFF"/>
        </w:rPr>
        <w:t>India’s Forex reserves as on 22/7/2016</w:t>
      </w:r>
      <w:r w:rsidR="00767EB3">
        <w:rPr>
          <w:rStyle w:val="apple-converted-space"/>
          <w:rFonts w:ascii="Verdana" w:hAnsi="Verdana" w:cs="Arial"/>
          <w:color w:val="252525"/>
          <w:sz w:val="20"/>
          <w:szCs w:val="21"/>
          <w:shd w:val="clear" w:color="auto" w:fill="FFFFFF"/>
        </w:rPr>
        <w:t xml:space="preserve"> (in billion rupees)</w:t>
      </w:r>
    </w:p>
    <w:tbl>
      <w:tblPr>
        <w:tblW w:w="6945" w:type="dxa"/>
        <w:tblInd w:w="93" w:type="dxa"/>
        <w:tblLook w:val="04A0"/>
      </w:tblPr>
      <w:tblGrid>
        <w:gridCol w:w="5145"/>
        <w:gridCol w:w="1800"/>
      </w:tblGrid>
      <w:tr w:rsidR="00DF0A6A" w:rsidRPr="00DF0A6A" w:rsidTr="00767EB3">
        <w:trPr>
          <w:trHeight w:val="255"/>
        </w:trPr>
        <w:tc>
          <w:tcPr>
            <w:tcW w:w="514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rPr>
                <w:rFonts w:ascii="Verdana" w:eastAsia="Times New Roman" w:hAnsi="Verdana" w:cs="Arial"/>
                <w:color w:val="000000"/>
                <w:sz w:val="20"/>
                <w:szCs w:val="20"/>
              </w:rPr>
            </w:pPr>
            <w:r w:rsidRPr="00DF0A6A">
              <w:rPr>
                <w:rFonts w:ascii="Verdana" w:eastAsia="Times New Roman" w:hAnsi="Verdana" w:cs="Arial"/>
                <w:color w:val="000000"/>
                <w:sz w:val="20"/>
                <w:szCs w:val="20"/>
              </w:rPr>
              <w:t>1 Total Reserves</w:t>
            </w:r>
          </w:p>
        </w:tc>
        <w:tc>
          <w:tcPr>
            <w:tcW w:w="1800" w:type="dxa"/>
            <w:tcBorders>
              <w:top w:val="single" w:sz="4" w:space="0" w:color="auto"/>
              <w:left w:val="nil"/>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jc w:val="right"/>
              <w:rPr>
                <w:rFonts w:ascii="Verdana" w:eastAsia="Times New Roman" w:hAnsi="Verdana" w:cs="Arial"/>
                <w:color w:val="000000"/>
                <w:sz w:val="20"/>
                <w:szCs w:val="20"/>
              </w:rPr>
            </w:pPr>
            <w:r w:rsidRPr="00DF0A6A">
              <w:rPr>
                <w:rFonts w:ascii="Verdana" w:eastAsia="Times New Roman" w:hAnsi="Verdana" w:cs="Arial"/>
                <w:color w:val="000000"/>
                <w:sz w:val="20"/>
                <w:szCs w:val="20"/>
              </w:rPr>
              <w:t>24,234.1</w:t>
            </w:r>
          </w:p>
        </w:tc>
      </w:tr>
      <w:tr w:rsidR="00DF0A6A" w:rsidRPr="00DF0A6A" w:rsidTr="00767EB3">
        <w:trPr>
          <w:trHeight w:val="255"/>
        </w:trPr>
        <w:tc>
          <w:tcPr>
            <w:tcW w:w="5145" w:type="dxa"/>
            <w:tcBorders>
              <w:top w:val="nil"/>
              <w:left w:val="single" w:sz="4" w:space="0" w:color="auto"/>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rPr>
                <w:rFonts w:ascii="Verdana" w:eastAsia="Times New Roman" w:hAnsi="Verdana" w:cs="Arial"/>
                <w:color w:val="000000"/>
                <w:sz w:val="20"/>
                <w:szCs w:val="20"/>
              </w:rPr>
            </w:pPr>
            <w:r w:rsidRPr="00DF0A6A">
              <w:rPr>
                <w:rFonts w:ascii="Verdana" w:eastAsia="Times New Roman" w:hAnsi="Verdana" w:cs="Arial"/>
                <w:color w:val="000000"/>
                <w:sz w:val="20"/>
                <w:szCs w:val="20"/>
              </w:rPr>
              <w:t>1.1 Foreign Currency Assets</w:t>
            </w:r>
          </w:p>
        </w:tc>
        <w:tc>
          <w:tcPr>
            <w:tcW w:w="1800" w:type="dxa"/>
            <w:tcBorders>
              <w:top w:val="nil"/>
              <w:left w:val="nil"/>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jc w:val="right"/>
              <w:rPr>
                <w:rFonts w:ascii="Verdana" w:eastAsia="Times New Roman" w:hAnsi="Verdana" w:cs="Arial"/>
                <w:color w:val="000000"/>
                <w:sz w:val="20"/>
                <w:szCs w:val="20"/>
              </w:rPr>
            </w:pPr>
            <w:r w:rsidRPr="00DF0A6A">
              <w:rPr>
                <w:rFonts w:ascii="Verdana" w:eastAsia="Times New Roman" w:hAnsi="Verdana" w:cs="Arial"/>
                <w:color w:val="000000"/>
                <w:sz w:val="20"/>
                <w:szCs w:val="20"/>
              </w:rPr>
              <w:t>22,584.1</w:t>
            </w:r>
          </w:p>
        </w:tc>
      </w:tr>
      <w:tr w:rsidR="00DF0A6A" w:rsidRPr="00DF0A6A" w:rsidTr="00767EB3">
        <w:trPr>
          <w:trHeight w:val="255"/>
        </w:trPr>
        <w:tc>
          <w:tcPr>
            <w:tcW w:w="5145" w:type="dxa"/>
            <w:tcBorders>
              <w:top w:val="nil"/>
              <w:left w:val="single" w:sz="4" w:space="0" w:color="auto"/>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rPr>
                <w:rFonts w:ascii="Verdana" w:eastAsia="Times New Roman" w:hAnsi="Verdana" w:cs="Arial"/>
                <w:color w:val="000000"/>
                <w:sz w:val="20"/>
                <w:szCs w:val="20"/>
              </w:rPr>
            </w:pPr>
            <w:r w:rsidRPr="00DF0A6A">
              <w:rPr>
                <w:rFonts w:ascii="Verdana" w:eastAsia="Times New Roman" w:hAnsi="Verdana" w:cs="Arial"/>
                <w:color w:val="000000"/>
                <w:sz w:val="20"/>
                <w:szCs w:val="20"/>
              </w:rPr>
              <w:t>1.2 Gold</w:t>
            </w:r>
          </w:p>
        </w:tc>
        <w:tc>
          <w:tcPr>
            <w:tcW w:w="1800" w:type="dxa"/>
            <w:tcBorders>
              <w:top w:val="nil"/>
              <w:left w:val="nil"/>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jc w:val="right"/>
              <w:rPr>
                <w:rFonts w:ascii="Verdana" w:eastAsia="Times New Roman" w:hAnsi="Verdana" w:cs="Arial"/>
                <w:color w:val="000000"/>
                <w:sz w:val="20"/>
                <w:szCs w:val="20"/>
              </w:rPr>
            </w:pPr>
            <w:r w:rsidRPr="00DF0A6A">
              <w:rPr>
                <w:rFonts w:ascii="Verdana" w:eastAsia="Times New Roman" w:hAnsi="Verdana" w:cs="Arial"/>
                <w:color w:val="000000"/>
                <w:sz w:val="20"/>
                <w:szCs w:val="20"/>
              </w:rPr>
              <w:t>1,391.3</w:t>
            </w:r>
          </w:p>
        </w:tc>
      </w:tr>
      <w:tr w:rsidR="00DF0A6A" w:rsidRPr="00DF0A6A" w:rsidTr="00767EB3">
        <w:trPr>
          <w:trHeight w:val="255"/>
        </w:trPr>
        <w:tc>
          <w:tcPr>
            <w:tcW w:w="5145" w:type="dxa"/>
            <w:tcBorders>
              <w:top w:val="nil"/>
              <w:left w:val="single" w:sz="4" w:space="0" w:color="auto"/>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rPr>
                <w:rFonts w:ascii="Verdana" w:eastAsia="Times New Roman" w:hAnsi="Verdana" w:cs="Arial"/>
                <w:color w:val="000000"/>
                <w:sz w:val="20"/>
                <w:szCs w:val="20"/>
              </w:rPr>
            </w:pPr>
            <w:r w:rsidRPr="00DF0A6A">
              <w:rPr>
                <w:rFonts w:ascii="Verdana" w:eastAsia="Times New Roman" w:hAnsi="Verdana" w:cs="Arial"/>
                <w:color w:val="000000"/>
                <w:sz w:val="20"/>
                <w:szCs w:val="20"/>
              </w:rPr>
              <w:t>1.3 SDRs</w:t>
            </w:r>
          </w:p>
        </w:tc>
        <w:tc>
          <w:tcPr>
            <w:tcW w:w="1800" w:type="dxa"/>
            <w:tcBorders>
              <w:top w:val="nil"/>
              <w:left w:val="nil"/>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jc w:val="right"/>
              <w:rPr>
                <w:rFonts w:ascii="Verdana" w:eastAsia="Times New Roman" w:hAnsi="Verdana" w:cs="Arial"/>
                <w:color w:val="000000"/>
                <w:sz w:val="20"/>
                <w:szCs w:val="20"/>
              </w:rPr>
            </w:pPr>
            <w:r w:rsidRPr="00DF0A6A">
              <w:rPr>
                <w:rFonts w:ascii="Verdana" w:eastAsia="Times New Roman" w:hAnsi="Verdana" w:cs="Arial"/>
                <w:color w:val="000000"/>
                <w:sz w:val="20"/>
                <w:szCs w:val="20"/>
              </w:rPr>
              <w:t>99.1</w:t>
            </w:r>
          </w:p>
        </w:tc>
      </w:tr>
      <w:tr w:rsidR="00DF0A6A" w:rsidRPr="00DF0A6A" w:rsidTr="00767EB3">
        <w:trPr>
          <w:trHeight w:val="255"/>
        </w:trPr>
        <w:tc>
          <w:tcPr>
            <w:tcW w:w="5145" w:type="dxa"/>
            <w:tcBorders>
              <w:top w:val="nil"/>
              <w:left w:val="single" w:sz="4" w:space="0" w:color="auto"/>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rPr>
                <w:rFonts w:ascii="Verdana" w:eastAsia="Times New Roman" w:hAnsi="Verdana" w:cs="Arial"/>
                <w:color w:val="000000"/>
                <w:sz w:val="20"/>
                <w:szCs w:val="20"/>
              </w:rPr>
            </w:pPr>
            <w:r w:rsidRPr="00DF0A6A">
              <w:rPr>
                <w:rFonts w:ascii="Verdana" w:eastAsia="Times New Roman" w:hAnsi="Verdana" w:cs="Arial"/>
                <w:color w:val="000000"/>
                <w:sz w:val="20"/>
                <w:szCs w:val="20"/>
              </w:rPr>
              <w:t>1.4 Reserve Position in the IMF</w:t>
            </w:r>
          </w:p>
        </w:tc>
        <w:tc>
          <w:tcPr>
            <w:tcW w:w="1800" w:type="dxa"/>
            <w:tcBorders>
              <w:top w:val="nil"/>
              <w:left w:val="nil"/>
              <w:bottom w:val="single" w:sz="4" w:space="0" w:color="auto"/>
              <w:right w:val="single" w:sz="4" w:space="0" w:color="auto"/>
            </w:tcBorders>
            <w:shd w:val="clear" w:color="000000" w:fill="FFFFFF"/>
            <w:vAlign w:val="center"/>
            <w:hideMark/>
          </w:tcPr>
          <w:p w:rsidR="00DF0A6A" w:rsidRPr="00DF0A6A" w:rsidRDefault="00DF0A6A" w:rsidP="00DF0A6A">
            <w:pPr>
              <w:spacing w:after="0" w:line="240" w:lineRule="auto"/>
              <w:jc w:val="right"/>
              <w:rPr>
                <w:rFonts w:ascii="Verdana" w:eastAsia="Times New Roman" w:hAnsi="Verdana" w:cs="Arial"/>
                <w:color w:val="000000"/>
                <w:sz w:val="20"/>
                <w:szCs w:val="20"/>
              </w:rPr>
            </w:pPr>
            <w:r w:rsidRPr="00DF0A6A">
              <w:rPr>
                <w:rFonts w:ascii="Verdana" w:eastAsia="Times New Roman" w:hAnsi="Verdana" w:cs="Arial"/>
                <w:color w:val="000000"/>
                <w:sz w:val="20"/>
                <w:szCs w:val="20"/>
              </w:rPr>
              <w:t>159.6</w:t>
            </w:r>
          </w:p>
        </w:tc>
      </w:tr>
    </w:tbl>
    <w:p w:rsidR="00FC13FB" w:rsidRPr="00767EB3" w:rsidRDefault="00767EB3" w:rsidP="00FA4844">
      <w:pPr>
        <w:spacing w:before="100" w:beforeAutospacing="1" w:after="100" w:afterAutospacing="1" w:line="240" w:lineRule="auto"/>
        <w:jc w:val="both"/>
        <w:rPr>
          <w:rFonts w:ascii="Verdana" w:hAnsi="Verdana" w:cs="Arial"/>
          <w:sz w:val="20"/>
          <w:szCs w:val="20"/>
          <w:shd w:val="clear" w:color="auto" w:fill="FFFFFF"/>
        </w:rPr>
      </w:pPr>
      <w:r w:rsidRPr="00767EB3">
        <w:rPr>
          <w:rFonts w:ascii="Verdana" w:hAnsi="Verdana" w:cs="Arial"/>
          <w:color w:val="252525"/>
          <w:sz w:val="20"/>
          <w:szCs w:val="20"/>
          <w:shd w:val="clear" w:color="auto" w:fill="FFFFFF"/>
        </w:rPr>
        <w:t>The</w:t>
      </w:r>
      <w:r w:rsidRPr="00767EB3">
        <w:rPr>
          <w:rStyle w:val="apple-converted-space"/>
          <w:rFonts w:ascii="Verdana" w:hAnsi="Verdana" w:cs="Arial"/>
          <w:color w:val="252525"/>
          <w:sz w:val="20"/>
          <w:szCs w:val="20"/>
          <w:shd w:val="clear" w:color="auto" w:fill="FFFFFF"/>
        </w:rPr>
        <w:t> </w:t>
      </w:r>
      <w:r w:rsidRPr="00767EB3">
        <w:rPr>
          <w:rFonts w:ascii="Verdana" w:hAnsi="Verdana" w:cs="Arial"/>
          <w:b/>
          <w:bCs/>
          <w:color w:val="252525"/>
          <w:sz w:val="20"/>
          <w:szCs w:val="20"/>
          <w:shd w:val="clear" w:color="auto" w:fill="FFFFFF"/>
        </w:rPr>
        <w:t>Foreign exchange reserves of India</w:t>
      </w:r>
      <w:r w:rsidRPr="00767EB3">
        <w:rPr>
          <w:rStyle w:val="apple-converted-space"/>
          <w:rFonts w:ascii="Verdana" w:hAnsi="Verdana" w:cs="Arial"/>
          <w:color w:val="252525"/>
          <w:sz w:val="20"/>
          <w:szCs w:val="20"/>
          <w:shd w:val="clear" w:color="auto" w:fill="FFFFFF"/>
        </w:rPr>
        <w:t> </w:t>
      </w:r>
      <w:r w:rsidRPr="00767EB3">
        <w:rPr>
          <w:rFonts w:ascii="Verdana" w:hAnsi="Verdana" w:cs="Arial"/>
          <w:color w:val="252525"/>
          <w:sz w:val="20"/>
          <w:szCs w:val="20"/>
          <w:shd w:val="clear" w:color="auto" w:fill="FFFFFF"/>
        </w:rPr>
        <w:t>are mainly composed of</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US dollar</w:t>
      </w:r>
      <w:r w:rsidRPr="00767EB3">
        <w:rPr>
          <w:rStyle w:val="apple-converted-space"/>
          <w:rFonts w:ascii="Verdana" w:hAnsi="Verdana" w:cs="Arial"/>
          <w:color w:val="252525"/>
          <w:sz w:val="20"/>
          <w:szCs w:val="20"/>
          <w:shd w:val="clear" w:color="auto" w:fill="FFFFFF"/>
        </w:rPr>
        <w:t> </w:t>
      </w:r>
      <w:r w:rsidRPr="00767EB3">
        <w:rPr>
          <w:rFonts w:ascii="Verdana" w:hAnsi="Verdana" w:cs="Arial"/>
          <w:color w:val="252525"/>
          <w:sz w:val="20"/>
          <w:szCs w:val="20"/>
          <w:shd w:val="clear" w:color="auto" w:fill="FFFFFF"/>
        </w:rPr>
        <w:t>in the forms of US</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government bonds</w:t>
      </w:r>
      <w:r w:rsidRPr="00767EB3">
        <w:rPr>
          <w:rStyle w:val="apple-converted-space"/>
          <w:rFonts w:ascii="Verdana" w:hAnsi="Verdana" w:cs="Arial"/>
          <w:color w:val="252525"/>
          <w:sz w:val="20"/>
          <w:szCs w:val="20"/>
          <w:shd w:val="clear" w:color="auto" w:fill="FFFFFF"/>
        </w:rPr>
        <w:t> </w:t>
      </w:r>
      <w:r w:rsidRPr="00767EB3">
        <w:rPr>
          <w:rFonts w:ascii="Verdana" w:hAnsi="Verdana" w:cs="Arial"/>
          <w:color w:val="252525"/>
          <w:sz w:val="20"/>
          <w:szCs w:val="20"/>
          <w:shd w:val="clear" w:color="auto" w:fill="FFFFFF"/>
        </w:rPr>
        <w:t>and</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institutional bonds</w:t>
      </w:r>
      <w:r w:rsidRPr="00767EB3">
        <w:rPr>
          <w:rFonts w:ascii="Verdana" w:hAnsi="Verdana" w:cs="Arial"/>
          <w:color w:val="252525"/>
          <w:sz w:val="20"/>
          <w:szCs w:val="20"/>
          <w:shd w:val="clear" w:color="auto" w:fill="FFFFFF"/>
        </w:rPr>
        <w:t>.</w:t>
      </w:r>
      <w:r>
        <w:rPr>
          <w:rFonts w:ascii="Verdana" w:hAnsi="Verdana" w:cs="Arial"/>
          <w:color w:val="252525"/>
          <w:sz w:val="20"/>
          <w:szCs w:val="20"/>
          <w:shd w:val="clear" w:color="auto" w:fill="FFFFFF"/>
        </w:rPr>
        <w:t xml:space="preserve"> </w:t>
      </w:r>
      <w:r w:rsidRPr="00767EB3">
        <w:rPr>
          <w:rFonts w:ascii="Verdana" w:hAnsi="Verdana" w:cs="Arial"/>
          <w:color w:val="252525"/>
          <w:sz w:val="20"/>
          <w:szCs w:val="20"/>
          <w:shd w:val="clear" w:color="auto" w:fill="FFFFFF"/>
        </w:rPr>
        <w:t>F</w:t>
      </w:r>
      <w:r w:rsidR="00FC13FB" w:rsidRPr="00767EB3">
        <w:rPr>
          <w:rFonts w:ascii="Verdana" w:hAnsi="Verdana" w:cs="Arial"/>
          <w:bCs/>
          <w:color w:val="252525"/>
          <w:sz w:val="20"/>
          <w:szCs w:val="20"/>
          <w:shd w:val="clear" w:color="auto" w:fill="FFFFFF"/>
        </w:rPr>
        <w:t>oreign-exchange reserves</w:t>
      </w:r>
      <w:r w:rsidR="00FC13FB" w:rsidRPr="00767EB3">
        <w:rPr>
          <w:rStyle w:val="apple-converted-space"/>
          <w:rFonts w:ascii="Verdana" w:hAnsi="Verdana" w:cs="Arial"/>
          <w:color w:val="252525"/>
          <w:sz w:val="20"/>
          <w:szCs w:val="20"/>
          <w:shd w:val="clear" w:color="auto" w:fill="FFFFFF"/>
        </w:rPr>
        <w:t> </w:t>
      </w:r>
      <w:r w:rsidR="00FC13FB" w:rsidRPr="00767EB3">
        <w:rPr>
          <w:rFonts w:ascii="Verdana" w:hAnsi="Verdana" w:cs="Arial"/>
          <w:color w:val="252525"/>
          <w:sz w:val="20"/>
          <w:szCs w:val="20"/>
          <w:shd w:val="clear" w:color="auto" w:fill="FFFFFF"/>
        </w:rPr>
        <w:t xml:space="preserve">are assets held by </w:t>
      </w:r>
      <w:r>
        <w:rPr>
          <w:rFonts w:ascii="Verdana" w:hAnsi="Verdana" w:cs="Arial"/>
          <w:color w:val="252525"/>
          <w:sz w:val="20"/>
          <w:szCs w:val="20"/>
          <w:shd w:val="clear" w:color="auto" w:fill="FFFFFF"/>
        </w:rPr>
        <w:t>RBI</w:t>
      </w:r>
      <w:r w:rsidR="00FC13FB" w:rsidRPr="00767EB3">
        <w:rPr>
          <w:rFonts w:ascii="Verdana" w:hAnsi="Verdana" w:cs="Arial"/>
          <w:color w:val="252525"/>
          <w:sz w:val="20"/>
          <w:szCs w:val="20"/>
          <w:shd w:val="clear" w:color="auto" w:fill="FFFFFF"/>
        </w:rPr>
        <w:t>, usually in various</w:t>
      </w:r>
      <w:r w:rsidR="00FC13FB" w:rsidRPr="00767EB3">
        <w:rPr>
          <w:rStyle w:val="apple-converted-space"/>
          <w:rFonts w:ascii="Verdana" w:hAnsi="Verdana" w:cs="Arial"/>
          <w:color w:val="252525"/>
          <w:sz w:val="20"/>
          <w:szCs w:val="20"/>
          <w:shd w:val="clear" w:color="auto" w:fill="FFFFFF"/>
        </w:rPr>
        <w:t> </w:t>
      </w:r>
      <w:r w:rsidR="00FC13FB" w:rsidRPr="00767EB3">
        <w:rPr>
          <w:rFonts w:ascii="Verdana" w:hAnsi="Verdana" w:cs="Arial"/>
          <w:sz w:val="20"/>
          <w:szCs w:val="20"/>
          <w:shd w:val="clear" w:color="auto" w:fill="FFFFFF"/>
        </w:rPr>
        <w:t>reserve currencies</w:t>
      </w:r>
      <w:r w:rsidR="00FC13FB" w:rsidRPr="00767EB3">
        <w:rPr>
          <w:rFonts w:ascii="Verdana" w:hAnsi="Verdana" w:cs="Arial"/>
          <w:color w:val="252525"/>
          <w:sz w:val="20"/>
          <w:szCs w:val="20"/>
          <w:shd w:val="clear" w:color="auto" w:fill="FFFFFF"/>
        </w:rPr>
        <w:t>, mostly the</w:t>
      </w:r>
      <w:r w:rsidR="00FC13FB" w:rsidRPr="00767EB3">
        <w:rPr>
          <w:rStyle w:val="apple-converted-space"/>
          <w:rFonts w:ascii="Verdana" w:hAnsi="Verdana" w:cs="Arial"/>
          <w:color w:val="252525"/>
          <w:sz w:val="20"/>
          <w:szCs w:val="20"/>
          <w:shd w:val="clear" w:color="auto" w:fill="FFFFFF"/>
        </w:rPr>
        <w:t> </w:t>
      </w:r>
      <w:r w:rsidR="00FC13FB" w:rsidRPr="00767EB3">
        <w:rPr>
          <w:rFonts w:ascii="Verdana" w:hAnsi="Verdana" w:cs="Arial"/>
          <w:sz w:val="20"/>
          <w:szCs w:val="20"/>
          <w:shd w:val="clear" w:color="auto" w:fill="FFFFFF"/>
        </w:rPr>
        <w:t>United States dollar</w:t>
      </w:r>
      <w:r w:rsidR="00FC13FB" w:rsidRPr="00767EB3">
        <w:rPr>
          <w:rFonts w:ascii="Verdana" w:hAnsi="Verdana" w:cs="Arial"/>
          <w:color w:val="252525"/>
          <w:sz w:val="20"/>
          <w:szCs w:val="20"/>
          <w:shd w:val="clear" w:color="auto" w:fill="FFFFFF"/>
        </w:rPr>
        <w:t>, and to a lesser extent the</w:t>
      </w:r>
      <w:r w:rsidR="00FC13FB" w:rsidRPr="00767EB3">
        <w:rPr>
          <w:rStyle w:val="apple-converted-space"/>
          <w:rFonts w:ascii="Verdana" w:hAnsi="Verdana" w:cs="Arial"/>
          <w:color w:val="252525"/>
          <w:sz w:val="20"/>
          <w:szCs w:val="20"/>
          <w:shd w:val="clear" w:color="auto" w:fill="FFFFFF"/>
        </w:rPr>
        <w:t> </w:t>
      </w:r>
      <w:r w:rsidR="00FC13FB" w:rsidRPr="00767EB3">
        <w:rPr>
          <w:rFonts w:ascii="Verdana" w:hAnsi="Verdana" w:cs="Arial"/>
          <w:sz w:val="20"/>
          <w:szCs w:val="20"/>
          <w:shd w:val="clear" w:color="auto" w:fill="FFFFFF"/>
        </w:rPr>
        <w:t>euro</w:t>
      </w:r>
      <w:r w:rsidR="00FC13FB" w:rsidRPr="00767EB3">
        <w:rPr>
          <w:rFonts w:ascii="Verdana" w:hAnsi="Verdana" w:cs="Arial"/>
          <w:color w:val="252525"/>
          <w:sz w:val="20"/>
          <w:szCs w:val="20"/>
          <w:shd w:val="clear" w:color="auto" w:fill="FFFFFF"/>
        </w:rPr>
        <w:t>, the</w:t>
      </w:r>
      <w:r w:rsidR="00FC13FB" w:rsidRPr="00767EB3">
        <w:rPr>
          <w:rStyle w:val="apple-converted-space"/>
          <w:rFonts w:ascii="Verdana" w:hAnsi="Verdana" w:cs="Arial"/>
          <w:color w:val="252525"/>
          <w:sz w:val="20"/>
          <w:szCs w:val="20"/>
          <w:shd w:val="clear" w:color="auto" w:fill="FFFFFF"/>
        </w:rPr>
        <w:t> </w:t>
      </w:r>
      <w:r w:rsidR="00FC13FB" w:rsidRPr="00767EB3">
        <w:rPr>
          <w:rFonts w:ascii="Verdana" w:hAnsi="Verdana" w:cs="Arial"/>
          <w:sz w:val="20"/>
          <w:szCs w:val="20"/>
          <w:shd w:val="clear" w:color="auto" w:fill="FFFFFF"/>
        </w:rPr>
        <w:t>pound sterling</w:t>
      </w:r>
      <w:r w:rsidR="00FC13FB" w:rsidRPr="00767EB3">
        <w:rPr>
          <w:rFonts w:ascii="Verdana" w:hAnsi="Verdana" w:cs="Arial"/>
          <w:color w:val="252525"/>
          <w:sz w:val="20"/>
          <w:szCs w:val="20"/>
          <w:shd w:val="clear" w:color="auto" w:fill="FFFFFF"/>
        </w:rPr>
        <w:t>, the</w:t>
      </w:r>
      <w:r w:rsidR="00FC13FB" w:rsidRPr="00767EB3">
        <w:rPr>
          <w:rStyle w:val="apple-converted-space"/>
          <w:rFonts w:ascii="Verdana" w:hAnsi="Verdana" w:cs="Arial"/>
          <w:color w:val="252525"/>
          <w:sz w:val="20"/>
          <w:szCs w:val="20"/>
          <w:shd w:val="clear" w:color="auto" w:fill="FFFFFF"/>
        </w:rPr>
        <w:t> </w:t>
      </w:r>
      <w:r w:rsidR="00FC13FB" w:rsidRPr="00767EB3">
        <w:rPr>
          <w:rFonts w:ascii="Verdana" w:hAnsi="Verdana" w:cs="Arial"/>
          <w:sz w:val="20"/>
          <w:szCs w:val="20"/>
          <w:shd w:val="clear" w:color="auto" w:fill="FFFFFF"/>
        </w:rPr>
        <w:t>Japanese yen.</w:t>
      </w:r>
    </w:p>
    <w:p w:rsidR="00FC13FB" w:rsidRPr="00767EB3" w:rsidRDefault="00FC13FB" w:rsidP="00FA4844">
      <w:pPr>
        <w:spacing w:before="100" w:beforeAutospacing="1" w:after="100" w:afterAutospacing="1" w:line="240" w:lineRule="auto"/>
        <w:jc w:val="both"/>
        <w:rPr>
          <w:rFonts w:ascii="Verdana" w:hAnsi="Verdana" w:cs="Arial"/>
          <w:color w:val="323232"/>
          <w:sz w:val="20"/>
          <w:szCs w:val="20"/>
          <w:shd w:val="clear" w:color="auto" w:fill="FFFFFF"/>
        </w:rPr>
      </w:pPr>
      <w:r w:rsidRPr="00767EB3">
        <w:rPr>
          <w:rFonts w:ascii="Verdana" w:hAnsi="Verdana" w:cs="Arial"/>
          <w:color w:val="252525"/>
          <w:sz w:val="20"/>
          <w:szCs w:val="20"/>
          <w:shd w:val="clear" w:color="auto" w:fill="FFFFFF"/>
        </w:rPr>
        <w:t>A</w:t>
      </w:r>
      <w:r w:rsidRPr="00767EB3">
        <w:rPr>
          <w:rStyle w:val="apple-converted-space"/>
          <w:rFonts w:ascii="Verdana" w:hAnsi="Verdana" w:cs="Arial"/>
          <w:color w:val="252525"/>
          <w:sz w:val="20"/>
          <w:szCs w:val="20"/>
          <w:shd w:val="clear" w:color="auto" w:fill="FFFFFF"/>
        </w:rPr>
        <w:t> </w:t>
      </w:r>
      <w:r w:rsidRPr="00767EB3">
        <w:rPr>
          <w:rFonts w:ascii="Verdana" w:hAnsi="Verdana" w:cs="Arial"/>
          <w:b/>
          <w:bCs/>
          <w:color w:val="252525"/>
          <w:sz w:val="20"/>
          <w:szCs w:val="20"/>
          <w:shd w:val="clear" w:color="auto" w:fill="FFFFFF"/>
        </w:rPr>
        <w:t>gold reserve</w:t>
      </w:r>
      <w:r w:rsidRPr="00767EB3">
        <w:rPr>
          <w:rStyle w:val="apple-converted-space"/>
          <w:rFonts w:ascii="Verdana" w:hAnsi="Verdana" w:cs="Arial"/>
          <w:color w:val="252525"/>
          <w:sz w:val="20"/>
          <w:szCs w:val="20"/>
          <w:shd w:val="clear" w:color="auto" w:fill="FFFFFF"/>
        </w:rPr>
        <w:t> </w:t>
      </w:r>
      <w:r w:rsidRPr="00767EB3">
        <w:rPr>
          <w:rFonts w:ascii="Verdana" w:hAnsi="Verdana" w:cs="Arial"/>
          <w:color w:val="252525"/>
          <w:sz w:val="20"/>
          <w:szCs w:val="20"/>
          <w:shd w:val="clear" w:color="auto" w:fill="FFFFFF"/>
        </w:rPr>
        <w:t>is the</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gold</w:t>
      </w:r>
      <w:r w:rsidRPr="00767EB3">
        <w:rPr>
          <w:rStyle w:val="apple-converted-space"/>
          <w:rFonts w:ascii="Verdana" w:hAnsi="Verdana" w:cs="Arial"/>
          <w:color w:val="252525"/>
          <w:sz w:val="20"/>
          <w:szCs w:val="20"/>
          <w:shd w:val="clear" w:color="auto" w:fill="FFFFFF"/>
        </w:rPr>
        <w:t> </w:t>
      </w:r>
      <w:r w:rsidRPr="00767EB3">
        <w:rPr>
          <w:rFonts w:ascii="Verdana" w:hAnsi="Verdana" w:cs="Arial"/>
          <w:color w:val="252525"/>
          <w:sz w:val="20"/>
          <w:szCs w:val="20"/>
          <w:shd w:val="clear" w:color="auto" w:fill="FFFFFF"/>
        </w:rPr>
        <w:t xml:space="preserve">held by a </w:t>
      </w:r>
      <w:r w:rsidR="00767EB3">
        <w:rPr>
          <w:rFonts w:ascii="Verdana" w:hAnsi="Verdana" w:cs="Arial"/>
          <w:color w:val="252525"/>
          <w:sz w:val="20"/>
          <w:szCs w:val="20"/>
          <w:shd w:val="clear" w:color="auto" w:fill="FFFFFF"/>
        </w:rPr>
        <w:t>RBI</w:t>
      </w:r>
      <w:r w:rsidRPr="00767EB3">
        <w:rPr>
          <w:rFonts w:ascii="Verdana" w:hAnsi="Verdana" w:cs="Arial"/>
          <w:color w:val="252525"/>
          <w:sz w:val="20"/>
          <w:szCs w:val="20"/>
          <w:shd w:val="clear" w:color="auto" w:fill="FFFFFF"/>
        </w:rPr>
        <w:t>, intended as a</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store of value</w:t>
      </w:r>
      <w:r w:rsidRPr="00767EB3">
        <w:rPr>
          <w:rStyle w:val="apple-converted-space"/>
          <w:rFonts w:ascii="Verdana" w:hAnsi="Verdana" w:cs="Arial"/>
          <w:color w:val="252525"/>
          <w:sz w:val="20"/>
          <w:szCs w:val="20"/>
          <w:shd w:val="clear" w:color="auto" w:fill="FFFFFF"/>
        </w:rPr>
        <w:t> </w:t>
      </w:r>
      <w:r w:rsidRPr="00767EB3">
        <w:rPr>
          <w:rFonts w:ascii="Verdana" w:hAnsi="Verdana" w:cs="Arial"/>
          <w:color w:val="252525"/>
          <w:sz w:val="20"/>
          <w:szCs w:val="20"/>
          <w:shd w:val="clear" w:color="auto" w:fill="FFFFFF"/>
        </w:rPr>
        <w:t>and as a guarantee to redeem promises to pay</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depositors</w:t>
      </w:r>
      <w:r w:rsidRPr="00767EB3">
        <w:rPr>
          <w:rFonts w:ascii="Verdana" w:hAnsi="Verdana" w:cs="Arial"/>
          <w:color w:val="252525"/>
          <w:sz w:val="20"/>
          <w:szCs w:val="20"/>
          <w:shd w:val="clear" w:color="auto" w:fill="FFFFFF"/>
        </w:rPr>
        <w:t>, note holders (e.g.</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paper money</w:t>
      </w:r>
      <w:r w:rsidRPr="00767EB3">
        <w:rPr>
          <w:rFonts w:ascii="Verdana" w:hAnsi="Verdana" w:cs="Arial"/>
          <w:color w:val="252525"/>
          <w:sz w:val="20"/>
          <w:szCs w:val="20"/>
          <w:shd w:val="clear" w:color="auto" w:fill="FFFFFF"/>
        </w:rPr>
        <w:t>), or trading peers, or to secure a</w:t>
      </w:r>
      <w:r w:rsidRPr="00767EB3">
        <w:rPr>
          <w:rStyle w:val="apple-converted-space"/>
          <w:rFonts w:ascii="Verdana" w:hAnsi="Verdana" w:cs="Arial"/>
          <w:color w:val="252525"/>
          <w:sz w:val="20"/>
          <w:szCs w:val="20"/>
          <w:shd w:val="clear" w:color="auto" w:fill="FFFFFF"/>
        </w:rPr>
        <w:t> </w:t>
      </w:r>
      <w:r w:rsidRPr="00767EB3">
        <w:rPr>
          <w:rFonts w:ascii="Verdana" w:hAnsi="Verdana" w:cs="Arial"/>
          <w:sz w:val="20"/>
          <w:szCs w:val="20"/>
          <w:shd w:val="clear" w:color="auto" w:fill="FFFFFF"/>
        </w:rPr>
        <w:t>currency</w:t>
      </w:r>
      <w:r w:rsidRPr="00767EB3">
        <w:rPr>
          <w:rFonts w:ascii="Verdana" w:hAnsi="Verdana" w:cs="Arial"/>
          <w:color w:val="252525"/>
          <w:sz w:val="20"/>
          <w:szCs w:val="20"/>
          <w:shd w:val="clear" w:color="auto" w:fill="FFFFFF"/>
        </w:rPr>
        <w:t>.</w:t>
      </w:r>
      <w:r w:rsidRPr="00767EB3">
        <w:rPr>
          <w:rFonts w:ascii="Verdana" w:hAnsi="Verdana"/>
          <w:color w:val="000000"/>
          <w:sz w:val="20"/>
          <w:szCs w:val="20"/>
          <w:shd w:val="clear" w:color="auto" w:fill="FFFFFF"/>
        </w:rPr>
        <w:t xml:space="preserve"> </w:t>
      </w:r>
      <w:r w:rsidR="00767EB3">
        <w:rPr>
          <w:rFonts w:ascii="Verdana" w:hAnsi="Verdana"/>
          <w:color w:val="000000"/>
          <w:sz w:val="20"/>
          <w:szCs w:val="20"/>
          <w:shd w:val="clear" w:color="auto" w:fill="FFFFFF"/>
        </w:rPr>
        <w:t>India</w:t>
      </w:r>
      <w:r w:rsidRPr="00767EB3">
        <w:rPr>
          <w:rFonts w:ascii="Verdana" w:hAnsi="Verdana"/>
          <w:color w:val="000000"/>
          <w:sz w:val="20"/>
          <w:szCs w:val="20"/>
          <w:shd w:val="clear" w:color="auto" w:fill="FFFFFF"/>
        </w:rPr>
        <w:t xml:space="preserve"> currently holds 557.7 tonnes of gold, making up 9.9 percent of the country’s total forex reserve.</w:t>
      </w:r>
    </w:p>
    <w:p w:rsidR="00DF0A6A" w:rsidRDefault="00FC13FB" w:rsidP="00FA4844">
      <w:pPr>
        <w:spacing w:before="100" w:beforeAutospacing="1" w:after="100" w:afterAutospacing="1" w:line="240" w:lineRule="auto"/>
        <w:jc w:val="both"/>
        <w:rPr>
          <w:rFonts w:ascii="Verdana" w:hAnsi="Verdana" w:cs="Arial"/>
          <w:color w:val="323232"/>
          <w:sz w:val="20"/>
          <w:shd w:val="clear" w:color="auto" w:fill="FFFFFF"/>
        </w:rPr>
      </w:pPr>
      <w:r w:rsidRPr="00767EB3">
        <w:rPr>
          <w:rFonts w:ascii="Verdana" w:hAnsi="Verdana" w:cs="Arial"/>
          <w:color w:val="323232"/>
          <w:sz w:val="20"/>
          <w:shd w:val="clear" w:color="auto" w:fill="FFFFFF"/>
        </w:rPr>
        <w:t>T</w:t>
      </w:r>
      <w:r w:rsidR="00D42AD1">
        <w:rPr>
          <w:rFonts w:ascii="Verdana" w:hAnsi="Verdana" w:cs="Arial"/>
          <w:color w:val="323232"/>
          <w:sz w:val="20"/>
          <w:shd w:val="clear" w:color="auto" w:fill="FFFFFF"/>
        </w:rPr>
        <w:t>he S</w:t>
      </w:r>
      <w:r w:rsidRPr="00767EB3">
        <w:rPr>
          <w:rFonts w:ascii="Verdana" w:hAnsi="Verdana" w:cs="Arial"/>
          <w:color w:val="323232"/>
          <w:sz w:val="20"/>
          <w:shd w:val="clear" w:color="auto" w:fill="FFFFFF"/>
        </w:rPr>
        <w:t xml:space="preserve">pecial </w:t>
      </w:r>
      <w:r w:rsidR="00D42AD1">
        <w:rPr>
          <w:rFonts w:ascii="Verdana" w:hAnsi="Verdana" w:cs="Arial"/>
          <w:color w:val="323232"/>
          <w:sz w:val="20"/>
          <w:shd w:val="clear" w:color="auto" w:fill="FFFFFF"/>
        </w:rPr>
        <w:t>Drawing R</w:t>
      </w:r>
      <w:r w:rsidRPr="00767EB3">
        <w:rPr>
          <w:rFonts w:ascii="Verdana" w:hAnsi="Verdana" w:cs="Arial"/>
          <w:color w:val="323232"/>
          <w:sz w:val="20"/>
          <w:shd w:val="clear" w:color="auto" w:fill="FFFFFF"/>
        </w:rPr>
        <w:t>ight (</w:t>
      </w:r>
      <w:r w:rsidRPr="00767EB3">
        <w:rPr>
          <w:rFonts w:ascii="Verdana" w:hAnsi="Verdana"/>
          <w:sz w:val="20"/>
        </w:rPr>
        <w:t>SDR</w:t>
      </w:r>
      <w:r w:rsidRPr="00767EB3">
        <w:rPr>
          <w:rFonts w:ascii="Verdana" w:hAnsi="Verdana" w:cs="Arial"/>
          <w:color w:val="323232"/>
          <w:sz w:val="20"/>
          <w:shd w:val="clear" w:color="auto" w:fill="FFFFFF"/>
        </w:rPr>
        <w:t>) is an international reserve asset, created by the IMF in 1969 to supplement the existing official reserves of member countries. Countries can exchange SDRs for hard currency at the IMF. The SDR also serves as the unit of account of the IMF and some other international organisations. Its value is based on a basket of key international currencies.</w:t>
      </w:r>
    </w:p>
    <w:p w:rsidR="00D42AD1" w:rsidRDefault="00D42AD1" w:rsidP="00FA4844">
      <w:pPr>
        <w:spacing w:before="100" w:beforeAutospacing="1" w:after="100" w:afterAutospacing="1" w:line="240" w:lineRule="auto"/>
        <w:jc w:val="both"/>
        <w:rPr>
          <w:rFonts w:ascii="Verdana" w:hAnsi="Verdana" w:cs="Arial"/>
          <w:color w:val="323232"/>
          <w:sz w:val="20"/>
          <w:shd w:val="clear" w:color="auto" w:fill="FFFFFF"/>
        </w:rPr>
      </w:pPr>
    </w:p>
    <w:p w:rsidR="002B62EF" w:rsidRPr="002B62EF" w:rsidRDefault="00767EB3" w:rsidP="002B62EF">
      <w:pPr>
        <w:spacing w:before="100" w:beforeAutospacing="1" w:after="100" w:afterAutospacing="1" w:line="240" w:lineRule="auto"/>
        <w:jc w:val="both"/>
        <w:rPr>
          <w:rFonts w:ascii="Verdana" w:eastAsia="Times New Roman" w:hAnsi="Verdana" w:cs="Helvetica"/>
          <w:b/>
          <w:sz w:val="20"/>
          <w:szCs w:val="20"/>
        </w:rPr>
      </w:pPr>
      <w:r w:rsidRPr="00D42AD1">
        <w:rPr>
          <w:rFonts w:ascii="Verdana" w:hAnsi="Verdana" w:cs="Arial"/>
          <w:b/>
          <w:sz w:val="20"/>
          <w:shd w:val="clear" w:color="auto" w:fill="FFFFFF"/>
        </w:rPr>
        <w:lastRenderedPageBreak/>
        <w:t>Reserve Position in the IMF</w:t>
      </w:r>
      <w:r w:rsidR="002B62EF">
        <w:rPr>
          <w:rFonts w:ascii="Verdana" w:hAnsi="Verdana" w:cs="Arial"/>
          <w:b/>
          <w:sz w:val="20"/>
          <w:shd w:val="clear" w:color="auto" w:fill="FFFFFF"/>
        </w:rPr>
        <w:t xml:space="preserve"> - </w:t>
      </w:r>
      <w:r w:rsidR="002B62EF" w:rsidRPr="002B62EF">
        <w:rPr>
          <w:rFonts w:ascii="Verdana" w:hAnsi="Verdana"/>
          <w:color w:val="333333"/>
          <w:sz w:val="20"/>
          <w:szCs w:val="20"/>
        </w:rPr>
        <w:t>Reserve tranche position (RTP) in the International Monetary Fund (IMF):</w:t>
      </w:r>
      <w:r w:rsidR="002B62EF" w:rsidRPr="002B62EF">
        <w:rPr>
          <w:rFonts w:ascii="Verdana" w:hAnsi="Verdana"/>
          <w:color w:val="333333"/>
          <w:sz w:val="20"/>
          <w:szCs w:val="20"/>
        </w:rPr>
        <w:br/>
      </w:r>
      <w:r w:rsidR="002B62EF" w:rsidRPr="002B62EF">
        <w:rPr>
          <w:rFonts w:ascii="Verdana" w:hAnsi="Verdana"/>
          <w:sz w:val="20"/>
          <w:szCs w:val="20"/>
        </w:rPr>
        <w:t xml:space="preserve">The proportion of the required quota of currency that each International Monetary Fund (IMF) member country must provide to the IMF, but can designate for its own use. The reserve tranche portion of the quota can be accessed by the member nation at any time, whereas the rest of the member's quota is typically </w:t>
      </w:r>
      <w:r w:rsidR="002B62EF">
        <w:rPr>
          <w:rFonts w:ascii="Verdana" w:hAnsi="Verdana"/>
          <w:sz w:val="20"/>
          <w:szCs w:val="20"/>
        </w:rPr>
        <w:t>cannot be accessed</w:t>
      </w:r>
      <w:r w:rsidR="002B62EF" w:rsidRPr="002B62EF">
        <w:rPr>
          <w:rFonts w:ascii="Verdana" w:hAnsi="Verdana"/>
          <w:sz w:val="20"/>
          <w:szCs w:val="20"/>
        </w:rPr>
        <w:t>.</w:t>
      </w:r>
    </w:p>
    <w:p w:rsidR="00FC13FB" w:rsidRDefault="00FC13FB" w:rsidP="00B23759">
      <w:pPr>
        <w:spacing w:after="0" w:line="240" w:lineRule="auto"/>
        <w:jc w:val="both"/>
        <w:rPr>
          <w:rFonts w:ascii="Verdana" w:hAnsi="Verdana"/>
          <w:sz w:val="12"/>
        </w:rPr>
      </w:pPr>
    </w:p>
    <w:p w:rsidR="00FC13FB" w:rsidRDefault="00FC13FB" w:rsidP="00B23759">
      <w:pPr>
        <w:spacing w:after="0" w:line="240" w:lineRule="auto"/>
        <w:jc w:val="both"/>
        <w:rPr>
          <w:rFonts w:ascii="Verdana" w:hAnsi="Verdana"/>
          <w:sz w:val="12"/>
        </w:rPr>
      </w:pPr>
    </w:p>
    <w:p w:rsidR="00767EB3" w:rsidRPr="00767EB3" w:rsidRDefault="00767EB3" w:rsidP="00767EB3">
      <w:pPr>
        <w:spacing w:after="0" w:line="240" w:lineRule="auto"/>
        <w:jc w:val="both"/>
        <w:rPr>
          <w:rFonts w:ascii="Verdana" w:hAnsi="Verdana" w:cs="Helvetica"/>
          <w:b/>
          <w:color w:val="000000"/>
          <w:sz w:val="20"/>
          <w:szCs w:val="20"/>
        </w:rPr>
      </w:pPr>
      <w:r w:rsidRPr="00767EB3">
        <w:rPr>
          <w:rFonts w:ascii="Verdana" w:hAnsi="Verdana" w:cs="Helvetica"/>
          <w:b/>
          <w:color w:val="000000"/>
          <w:sz w:val="20"/>
          <w:szCs w:val="20"/>
        </w:rPr>
        <w:t>The International Monetary Fund</w:t>
      </w:r>
    </w:p>
    <w:p w:rsidR="00767EB3" w:rsidRDefault="00767EB3" w:rsidP="00767EB3">
      <w:pPr>
        <w:spacing w:after="0" w:line="240" w:lineRule="auto"/>
        <w:jc w:val="both"/>
        <w:rPr>
          <w:rFonts w:ascii="Verdana" w:hAnsi="Verdana" w:cs="Helvetica"/>
          <w:color w:val="000000"/>
          <w:sz w:val="20"/>
          <w:szCs w:val="20"/>
        </w:rPr>
      </w:pPr>
      <w:r w:rsidRPr="00767EB3">
        <w:rPr>
          <w:rFonts w:ascii="Verdana" w:hAnsi="Verdana" w:cs="Helvetica"/>
          <w:color w:val="000000"/>
          <w:sz w:val="20"/>
          <w:szCs w:val="20"/>
        </w:rPr>
        <w:t>The IMF was first conceived at a UN conference in 1944, among the 44 attending countries, before it was officially created in 1945. These countries wanted to globally stabilize exchange rates and financial communication between countries, especially following the disastrous Great Depression and World War II. Goals included international cooperation and trade, the reduction of poverty and financial crises, and economic growth. Although the Fund has evolved over the years to become what it is today and adapt to changing times, it still operates around the same guiding principles.</w:t>
      </w:r>
    </w:p>
    <w:p w:rsidR="00767EB3" w:rsidRPr="00767EB3" w:rsidRDefault="00767EB3" w:rsidP="00767EB3">
      <w:pPr>
        <w:spacing w:after="0" w:line="240" w:lineRule="auto"/>
        <w:jc w:val="both"/>
        <w:rPr>
          <w:rFonts w:ascii="Verdana" w:hAnsi="Verdana" w:cs="Helvetica"/>
          <w:color w:val="000000"/>
          <w:sz w:val="20"/>
          <w:szCs w:val="20"/>
        </w:rPr>
      </w:pPr>
    </w:p>
    <w:p w:rsidR="00767EB3" w:rsidRDefault="00767EB3" w:rsidP="00D42AD1">
      <w:pPr>
        <w:spacing w:after="0" w:line="240" w:lineRule="auto"/>
        <w:jc w:val="both"/>
        <w:rPr>
          <w:rFonts w:ascii="Verdana" w:hAnsi="Verdana" w:cs="Helvetica"/>
          <w:color w:val="000000"/>
          <w:sz w:val="20"/>
          <w:szCs w:val="20"/>
        </w:rPr>
      </w:pPr>
      <w:r w:rsidRPr="00767EB3">
        <w:rPr>
          <w:rFonts w:ascii="Verdana" w:hAnsi="Verdana" w:cs="Helvetica"/>
          <w:color w:val="000000"/>
          <w:sz w:val="20"/>
          <w:szCs w:val="20"/>
        </w:rPr>
        <w:t>The IMF played a large role in the economic restructuring of the post-World War II world. After the war, some countries were in economic distress, and others were reluctant to trade with certain countries after the fighting. The Fund helped smooth over the economic post-war transition period and restabilize the global economy so it could move toward prosperity, using systems such as fixed exchange rates.</w:t>
      </w:r>
    </w:p>
    <w:p w:rsidR="00767EB3" w:rsidRPr="00767EB3" w:rsidRDefault="00767EB3" w:rsidP="00D42AD1">
      <w:pPr>
        <w:spacing w:after="0" w:line="240" w:lineRule="auto"/>
        <w:jc w:val="both"/>
        <w:rPr>
          <w:rFonts w:ascii="Verdana" w:hAnsi="Verdana" w:cs="Helvetica"/>
          <w:color w:val="000000"/>
          <w:sz w:val="20"/>
          <w:szCs w:val="20"/>
        </w:rPr>
      </w:pPr>
    </w:p>
    <w:p w:rsidR="00FC13FB" w:rsidRDefault="00767EB3" w:rsidP="00165E25">
      <w:pPr>
        <w:spacing w:after="0" w:line="240" w:lineRule="auto"/>
        <w:jc w:val="both"/>
        <w:rPr>
          <w:rFonts w:ascii="Verdana" w:hAnsi="Verdana" w:cs="Helvetica"/>
          <w:color w:val="000000"/>
          <w:sz w:val="20"/>
          <w:szCs w:val="20"/>
        </w:rPr>
      </w:pPr>
      <w:r w:rsidRPr="00767EB3">
        <w:rPr>
          <w:rFonts w:ascii="Verdana" w:hAnsi="Verdana" w:cs="Helvetica"/>
          <w:color w:val="000000"/>
          <w:sz w:val="20"/>
          <w:szCs w:val="20"/>
        </w:rPr>
        <w:t>Currently, there are 188 member countries in the IMF, which is based out of Washington, D.C. Each country or region is represented by a member on the Fund's Executive Board and numerous staff members. The ratio of board members from each country is based on the country's global financial position, so that the most powerful countries in the global economy have the heaviest representation. The United States has the highest voting power, followed by Asian countries such as Japan and China and Western European countries like Britain, Germany, France and Italy.</w:t>
      </w:r>
    </w:p>
    <w:p w:rsidR="00767EB3" w:rsidRDefault="00767EB3" w:rsidP="00767EB3">
      <w:pPr>
        <w:rPr>
          <w:rFonts w:ascii="Verdana" w:hAnsi="Verdana" w:cs="Helvetica"/>
          <w:color w:val="000000"/>
          <w:sz w:val="20"/>
          <w:szCs w:val="20"/>
        </w:rPr>
      </w:pPr>
    </w:p>
    <w:p w:rsidR="00767EB3" w:rsidRDefault="00767EB3" w:rsidP="002B62EF">
      <w:pPr>
        <w:spacing w:after="0"/>
        <w:rPr>
          <w:rFonts w:ascii="Verdana" w:hAnsi="Verdana" w:cs="Helvetica"/>
          <w:b/>
          <w:color w:val="000000"/>
          <w:sz w:val="20"/>
          <w:szCs w:val="20"/>
        </w:rPr>
      </w:pPr>
      <w:r w:rsidRPr="00767EB3">
        <w:rPr>
          <w:rFonts w:ascii="Verdana" w:hAnsi="Verdana" w:cs="Helvetica"/>
          <w:b/>
          <w:color w:val="000000"/>
          <w:sz w:val="20"/>
          <w:szCs w:val="20"/>
        </w:rPr>
        <w:t>World Bank</w:t>
      </w:r>
    </w:p>
    <w:p w:rsidR="00767EB3" w:rsidRDefault="00D42AD1" w:rsidP="002B62EF">
      <w:pPr>
        <w:spacing w:after="0" w:line="240" w:lineRule="auto"/>
        <w:jc w:val="both"/>
        <w:rPr>
          <w:rFonts w:ascii="Verdana" w:hAnsi="Verdana" w:cs="Helvetica"/>
          <w:sz w:val="20"/>
          <w:szCs w:val="20"/>
        </w:rPr>
      </w:pPr>
      <w:r w:rsidRPr="00D42AD1">
        <w:rPr>
          <w:rFonts w:ascii="Verdana" w:hAnsi="Verdana" w:cs="Helvetica"/>
          <w:sz w:val="20"/>
          <w:szCs w:val="20"/>
        </w:rPr>
        <w:t>The World Bank was established in December 1945 at the United Nations Monetary and Financial Conference in Bretton Woods, New Hampshire. It opened for business in June 1946 and helped in the reconstruction of nations devastated by World War II. Since 1960s the World Bank has shifted its focus from the advanced industrialized nations to developing third-world countries.</w:t>
      </w:r>
    </w:p>
    <w:p w:rsidR="002B62EF" w:rsidRPr="002B62EF" w:rsidRDefault="002B62EF" w:rsidP="002B62EF">
      <w:pPr>
        <w:pStyle w:val="NormalWeb"/>
        <w:shd w:val="clear" w:color="auto" w:fill="FFFFFF"/>
        <w:spacing w:before="225" w:beforeAutospacing="0" w:after="0" w:afterAutospacing="0" w:line="311" w:lineRule="atLeast"/>
        <w:jc w:val="both"/>
        <w:rPr>
          <w:rFonts w:ascii="Verdana" w:hAnsi="Verdana"/>
          <w:b/>
          <w:sz w:val="20"/>
          <w:szCs w:val="21"/>
        </w:rPr>
      </w:pPr>
      <w:r w:rsidRPr="002B62EF">
        <w:rPr>
          <w:rFonts w:ascii="Verdana" w:hAnsi="Verdana"/>
          <w:b/>
          <w:sz w:val="20"/>
          <w:szCs w:val="21"/>
        </w:rPr>
        <w:t>World Bank performs the following functions:</w:t>
      </w:r>
    </w:p>
    <w:p w:rsidR="002B62EF" w:rsidRPr="002B62EF" w:rsidRDefault="002B62EF" w:rsidP="002B62EF">
      <w:pPr>
        <w:pStyle w:val="NormalWeb"/>
        <w:numPr>
          <w:ilvl w:val="0"/>
          <w:numId w:val="7"/>
        </w:numPr>
        <w:shd w:val="clear" w:color="auto" w:fill="FFFFFF"/>
        <w:spacing w:before="0" w:beforeAutospacing="0" w:after="0" w:afterAutospacing="0" w:line="311" w:lineRule="atLeast"/>
        <w:jc w:val="both"/>
        <w:rPr>
          <w:rFonts w:ascii="Verdana" w:hAnsi="Verdana"/>
          <w:sz w:val="20"/>
          <w:szCs w:val="21"/>
        </w:rPr>
      </w:pPr>
      <w:r w:rsidRPr="002B62EF">
        <w:rPr>
          <w:rFonts w:ascii="Verdana" w:hAnsi="Verdana"/>
          <w:sz w:val="20"/>
          <w:szCs w:val="21"/>
        </w:rPr>
        <w:t>Granting reconstruction loans to war devastated countries.</w:t>
      </w:r>
    </w:p>
    <w:p w:rsidR="002B62EF" w:rsidRPr="002B62EF" w:rsidRDefault="002B62EF" w:rsidP="002B62EF">
      <w:pPr>
        <w:pStyle w:val="NormalWeb"/>
        <w:numPr>
          <w:ilvl w:val="0"/>
          <w:numId w:val="7"/>
        </w:numPr>
        <w:shd w:val="clear" w:color="auto" w:fill="FFFFFF"/>
        <w:spacing w:before="0" w:beforeAutospacing="0" w:after="0" w:afterAutospacing="0" w:line="311" w:lineRule="atLeast"/>
        <w:jc w:val="both"/>
        <w:rPr>
          <w:rFonts w:ascii="Verdana" w:hAnsi="Verdana"/>
          <w:sz w:val="20"/>
          <w:szCs w:val="21"/>
        </w:rPr>
      </w:pPr>
      <w:r w:rsidRPr="002B62EF">
        <w:rPr>
          <w:rFonts w:ascii="Verdana" w:hAnsi="Verdana"/>
          <w:sz w:val="20"/>
          <w:szCs w:val="21"/>
        </w:rPr>
        <w:t>Granting developmental loans to underdeveloped countries.</w:t>
      </w:r>
    </w:p>
    <w:p w:rsidR="002B62EF" w:rsidRPr="002B62EF" w:rsidRDefault="002B62EF" w:rsidP="002B62EF">
      <w:pPr>
        <w:pStyle w:val="NormalWeb"/>
        <w:numPr>
          <w:ilvl w:val="0"/>
          <w:numId w:val="7"/>
        </w:numPr>
        <w:shd w:val="clear" w:color="auto" w:fill="FFFFFF"/>
        <w:spacing w:before="0" w:beforeAutospacing="0" w:after="0" w:afterAutospacing="0" w:line="311" w:lineRule="atLeast"/>
        <w:jc w:val="both"/>
        <w:rPr>
          <w:rFonts w:ascii="Verdana" w:hAnsi="Verdana"/>
          <w:sz w:val="20"/>
          <w:szCs w:val="21"/>
        </w:rPr>
      </w:pPr>
      <w:r w:rsidRPr="002B62EF">
        <w:rPr>
          <w:rFonts w:ascii="Verdana" w:hAnsi="Verdana"/>
          <w:sz w:val="20"/>
          <w:szCs w:val="21"/>
        </w:rPr>
        <w:t>Providing loans to governments for agriculture, irrigation, power, transport, water supply, educations, health, etc</w:t>
      </w:r>
    </w:p>
    <w:p w:rsidR="002B62EF" w:rsidRPr="002B62EF" w:rsidRDefault="002B62EF" w:rsidP="002B62EF">
      <w:pPr>
        <w:pStyle w:val="NormalWeb"/>
        <w:numPr>
          <w:ilvl w:val="0"/>
          <w:numId w:val="7"/>
        </w:numPr>
        <w:shd w:val="clear" w:color="auto" w:fill="FFFFFF"/>
        <w:spacing w:before="0" w:beforeAutospacing="0" w:after="0" w:afterAutospacing="0" w:line="311" w:lineRule="atLeast"/>
        <w:jc w:val="both"/>
        <w:rPr>
          <w:rFonts w:ascii="Verdana" w:hAnsi="Verdana"/>
          <w:sz w:val="20"/>
          <w:szCs w:val="21"/>
        </w:rPr>
      </w:pPr>
      <w:r w:rsidRPr="002B62EF">
        <w:rPr>
          <w:rFonts w:ascii="Verdana" w:hAnsi="Verdana"/>
          <w:sz w:val="20"/>
          <w:szCs w:val="21"/>
        </w:rPr>
        <w:t>Providing loans to private concerns for specified projects.</w:t>
      </w:r>
    </w:p>
    <w:p w:rsidR="002B62EF" w:rsidRPr="002B62EF" w:rsidRDefault="002B62EF" w:rsidP="002B62EF">
      <w:pPr>
        <w:pStyle w:val="NormalWeb"/>
        <w:numPr>
          <w:ilvl w:val="0"/>
          <w:numId w:val="7"/>
        </w:numPr>
        <w:shd w:val="clear" w:color="auto" w:fill="FFFFFF"/>
        <w:spacing w:before="0" w:beforeAutospacing="0" w:after="0" w:afterAutospacing="0" w:line="311" w:lineRule="atLeast"/>
        <w:jc w:val="both"/>
        <w:rPr>
          <w:rFonts w:ascii="Verdana" w:hAnsi="Verdana"/>
          <w:sz w:val="20"/>
          <w:szCs w:val="21"/>
        </w:rPr>
      </w:pPr>
      <w:r w:rsidRPr="002B62EF">
        <w:rPr>
          <w:rFonts w:ascii="Verdana" w:hAnsi="Verdana"/>
          <w:sz w:val="20"/>
          <w:szCs w:val="21"/>
        </w:rPr>
        <w:t>Promoting foreign investment by guaranteeing loans provided by other organisations.</w:t>
      </w:r>
    </w:p>
    <w:p w:rsidR="002B62EF" w:rsidRPr="002B62EF" w:rsidRDefault="002B62EF" w:rsidP="002B62EF">
      <w:pPr>
        <w:pStyle w:val="NormalWeb"/>
        <w:numPr>
          <w:ilvl w:val="0"/>
          <w:numId w:val="7"/>
        </w:numPr>
        <w:shd w:val="clear" w:color="auto" w:fill="FFFFFF"/>
        <w:spacing w:before="0" w:beforeAutospacing="0" w:after="0" w:afterAutospacing="0" w:line="311" w:lineRule="atLeast"/>
        <w:jc w:val="both"/>
        <w:rPr>
          <w:rFonts w:ascii="Verdana" w:hAnsi="Verdana"/>
          <w:sz w:val="20"/>
          <w:szCs w:val="21"/>
        </w:rPr>
      </w:pPr>
      <w:r>
        <w:rPr>
          <w:rFonts w:ascii="Verdana" w:hAnsi="Verdana"/>
          <w:sz w:val="20"/>
          <w:szCs w:val="21"/>
        </w:rPr>
        <w:t>P</w:t>
      </w:r>
      <w:r w:rsidRPr="002B62EF">
        <w:rPr>
          <w:rFonts w:ascii="Verdana" w:hAnsi="Verdana"/>
          <w:sz w:val="20"/>
          <w:szCs w:val="21"/>
        </w:rPr>
        <w:t>roviding technical, economic and monetary advice to member countries for specific projects</w:t>
      </w:r>
    </w:p>
    <w:p w:rsidR="002B62EF" w:rsidRPr="002B62EF" w:rsidRDefault="002B62EF" w:rsidP="002B62EF">
      <w:pPr>
        <w:pStyle w:val="NormalWeb"/>
        <w:numPr>
          <w:ilvl w:val="0"/>
          <w:numId w:val="7"/>
        </w:numPr>
        <w:shd w:val="clear" w:color="auto" w:fill="FFFFFF"/>
        <w:spacing w:before="0" w:beforeAutospacing="0" w:after="225" w:afterAutospacing="0" w:line="311" w:lineRule="atLeast"/>
        <w:jc w:val="both"/>
        <w:rPr>
          <w:rFonts w:ascii="Verdana" w:hAnsi="Verdana"/>
          <w:sz w:val="20"/>
          <w:szCs w:val="21"/>
        </w:rPr>
      </w:pPr>
      <w:r w:rsidRPr="002B62EF">
        <w:rPr>
          <w:rFonts w:ascii="Verdana" w:hAnsi="Verdana"/>
          <w:sz w:val="20"/>
          <w:szCs w:val="21"/>
        </w:rPr>
        <w:t>Encouraging industrial development of underdeveloped countries by promoting eco</w:t>
      </w:r>
      <w:r w:rsidRPr="002B62EF">
        <w:rPr>
          <w:rFonts w:ascii="Verdana" w:hAnsi="Verdana"/>
          <w:sz w:val="20"/>
          <w:szCs w:val="21"/>
        </w:rPr>
        <w:softHyphen/>
        <w:t>nomic reforms.</w:t>
      </w:r>
    </w:p>
    <w:p w:rsidR="002B62EF" w:rsidRPr="00D42AD1" w:rsidRDefault="002B62EF" w:rsidP="00D42AD1">
      <w:pPr>
        <w:spacing w:after="0" w:line="240" w:lineRule="auto"/>
        <w:jc w:val="both"/>
        <w:rPr>
          <w:rFonts w:ascii="Verdana" w:hAnsi="Verdana" w:cs="Helvetica"/>
          <w:sz w:val="20"/>
          <w:szCs w:val="20"/>
        </w:rPr>
      </w:pPr>
    </w:p>
    <w:p w:rsidR="00767EB3" w:rsidRPr="00767EB3" w:rsidRDefault="00767EB3" w:rsidP="00767EB3">
      <w:pPr>
        <w:spacing w:after="0" w:line="240" w:lineRule="auto"/>
        <w:rPr>
          <w:rFonts w:ascii="Verdana" w:hAnsi="Verdana" w:cs="Helvetica"/>
          <w:b/>
          <w:color w:val="000000"/>
          <w:sz w:val="20"/>
          <w:szCs w:val="20"/>
        </w:rPr>
      </w:pPr>
      <w:r w:rsidRPr="00767EB3">
        <w:rPr>
          <w:rFonts w:ascii="Verdana" w:hAnsi="Verdana" w:cs="Helvetica"/>
          <w:b/>
          <w:color w:val="000000"/>
          <w:sz w:val="20"/>
          <w:szCs w:val="20"/>
        </w:rPr>
        <w:t>IMF vs. World Bank</w:t>
      </w:r>
    </w:p>
    <w:p w:rsidR="00767EB3" w:rsidRDefault="00767EB3" w:rsidP="00D42AD1">
      <w:pPr>
        <w:spacing w:line="240" w:lineRule="auto"/>
        <w:jc w:val="both"/>
        <w:rPr>
          <w:rFonts w:ascii="Verdana" w:hAnsi="Verdana" w:cs="Helvetica"/>
          <w:color w:val="000000"/>
          <w:sz w:val="20"/>
          <w:szCs w:val="20"/>
        </w:rPr>
      </w:pPr>
      <w:r w:rsidRPr="00767EB3">
        <w:rPr>
          <w:rFonts w:ascii="Verdana" w:hAnsi="Verdana" w:cs="Helvetica"/>
          <w:color w:val="000000"/>
          <w:sz w:val="20"/>
          <w:szCs w:val="20"/>
        </w:rPr>
        <w:t>The IMF works hand-in-hand with the World Bank, and although they are two separate entities, their interests are aligned, and they were created together. While the IMF provides only shorter-term loans that are funded by member quotas, the World Bank focuses on long-term economic solutions and the reduction of poverty and is funded by both member contributions and bonds. The IMF is more focused on economic policy solutions, while the World Bank offers assistance in such programs as building necessary public facilities and preventing disease.</w:t>
      </w:r>
    </w:p>
    <w:p w:rsidR="00D90C5B" w:rsidRDefault="00D90C5B" w:rsidP="00D42AD1">
      <w:pPr>
        <w:spacing w:line="240" w:lineRule="auto"/>
        <w:jc w:val="both"/>
        <w:rPr>
          <w:rFonts w:ascii="Verdana" w:hAnsi="Verdana" w:cs="Helvetica"/>
          <w:b/>
          <w:color w:val="000000"/>
          <w:sz w:val="20"/>
          <w:szCs w:val="20"/>
        </w:rPr>
      </w:pPr>
    </w:p>
    <w:p w:rsidR="002B62EF" w:rsidRDefault="002B62EF" w:rsidP="00D42AD1">
      <w:pPr>
        <w:spacing w:line="240" w:lineRule="auto"/>
        <w:jc w:val="both"/>
        <w:rPr>
          <w:rFonts w:ascii="Verdana" w:hAnsi="Verdana" w:cs="Helvetica"/>
          <w:b/>
          <w:color w:val="000000"/>
          <w:sz w:val="20"/>
          <w:szCs w:val="20"/>
        </w:rPr>
      </w:pPr>
      <w:r w:rsidRPr="002B62EF">
        <w:rPr>
          <w:rFonts w:ascii="Verdana" w:hAnsi="Verdana" w:cs="Helvetica"/>
          <w:b/>
          <w:color w:val="000000"/>
          <w:sz w:val="20"/>
          <w:szCs w:val="20"/>
        </w:rPr>
        <w:lastRenderedPageBreak/>
        <w:t>Asian Development Bank</w:t>
      </w:r>
    </w:p>
    <w:p w:rsidR="007619D7" w:rsidRPr="007619D7" w:rsidRDefault="007619D7" w:rsidP="007619D7">
      <w:pPr>
        <w:spacing w:line="240" w:lineRule="auto"/>
        <w:jc w:val="both"/>
        <w:rPr>
          <w:rFonts w:ascii="Verdana" w:hAnsi="Verdana" w:cs="Helvetica"/>
          <w:color w:val="000000"/>
          <w:sz w:val="20"/>
          <w:szCs w:val="20"/>
        </w:rPr>
      </w:pPr>
      <w:r w:rsidRPr="007619D7">
        <w:rPr>
          <w:rFonts w:ascii="Verdana" w:hAnsi="Verdana" w:cs="Helvetica"/>
          <w:color w:val="000000"/>
          <w:sz w:val="20"/>
          <w:szCs w:val="20"/>
        </w:rPr>
        <w:t>The ADB was founded in 1966 with the goal of eradicating poverty in the region. The Asian Development Bank (ADB) is a multilateral development finance institution whose mission is to reduce poverty in the Asia Pacific region.</w:t>
      </w:r>
    </w:p>
    <w:p w:rsidR="007619D7" w:rsidRPr="0023450C" w:rsidRDefault="006211A6" w:rsidP="007619D7">
      <w:pPr>
        <w:spacing w:line="240" w:lineRule="auto"/>
        <w:jc w:val="both"/>
        <w:rPr>
          <w:rFonts w:ascii="Verdana" w:hAnsi="Verdana" w:cs="Helvetica"/>
          <w:b/>
          <w:color w:val="000000"/>
          <w:sz w:val="20"/>
          <w:szCs w:val="20"/>
        </w:rPr>
      </w:pPr>
      <w:r w:rsidRPr="0023450C">
        <w:rPr>
          <w:rFonts w:ascii="Verdana" w:hAnsi="Verdana" w:cs="Helvetica"/>
          <w:b/>
          <w:color w:val="000000"/>
          <w:sz w:val="20"/>
          <w:szCs w:val="20"/>
        </w:rPr>
        <w:t>Functions</w:t>
      </w:r>
      <w:r w:rsidR="007619D7" w:rsidRPr="0023450C">
        <w:rPr>
          <w:rFonts w:ascii="Verdana" w:hAnsi="Verdana" w:cs="Helvetica"/>
          <w:b/>
          <w:color w:val="000000"/>
          <w:sz w:val="20"/>
          <w:szCs w:val="20"/>
        </w:rPr>
        <w:t>:</w:t>
      </w:r>
    </w:p>
    <w:p w:rsidR="007619D7" w:rsidRPr="007619D7" w:rsidRDefault="007619D7" w:rsidP="007619D7">
      <w:pPr>
        <w:spacing w:line="240" w:lineRule="auto"/>
        <w:jc w:val="both"/>
        <w:rPr>
          <w:rFonts w:ascii="Verdana" w:hAnsi="Verdana" w:cs="Helvetica"/>
          <w:color w:val="000000"/>
          <w:sz w:val="20"/>
          <w:szCs w:val="20"/>
        </w:rPr>
      </w:pPr>
      <w:r w:rsidRPr="007619D7">
        <w:rPr>
          <w:rFonts w:ascii="Verdana" w:hAnsi="Verdana" w:cs="Helvetica"/>
          <w:color w:val="000000"/>
          <w:sz w:val="20"/>
          <w:szCs w:val="20"/>
        </w:rPr>
        <w:t>i. Provides loans and equity investments to its Developing Member Countries (DMCs)</w:t>
      </w:r>
    </w:p>
    <w:p w:rsidR="007619D7" w:rsidRPr="007619D7" w:rsidRDefault="007619D7" w:rsidP="007619D7">
      <w:pPr>
        <w:spacing w:line="240" w:lineRule="auto"/>
        <w:jc w:val="both"/>
        <w:rPr>
          <w:rFonts w:ascii="Verdana" w:hAnsi="Verdana" w:cs="Helvetica"/>
          <w:color w:val="000000"/>
          <w:sz w:val="20"/>
          <w:szCs w:val="20"/>
        </w:rPr>
      </w:pPr>
      <w:r w:rsidRPr="007619D7">
        <w:rPr>
          <w:rFonts w:ascii="Verdana" w:hAnsi="Verdana" w:cs="Helvetica"/>
          <w:color w:val="000000"/>
          <w:sz w:val="20"/>
          <w:szCs w:val="20"/>
        </w:rPr>
        <w:t>ii. Provides technical assistance for the planning and execution of development projects and programs and for advisory services</w:t>
      </w:r>
    </w:p>
    <w:p w:rsidR="007619D7" w:rsidRPr="007619D7" w:rsidRDefault="007619D7" w:rsidP="007619D7">
      <w:pPr>
        <w:spacing w:line="240" w:lineRule="auto"/>
        <w:jc w:val="both"/>
        <w:rPr>
          <w:rFonts w:ascii="Verdana" w:hAnsi="Verdana" w:cs="Helvetica"/>
          <w:color w:val="000000"/>
          <w:sz w:val="20"/>
          <w:szCs w:val="20"/>
        </w:rPr>
      </w:pPr>
      <w:r w:rsidRPr="007619D7">
        <w:rPr>
          <w:rFonts w:ascii="Verdana" w:hAnsi="Verdana" w:cs="Helvetica"/>
          <w:color w:val="000000"/>
          <w:sz w:val="20"/>
          <w:szCs w:val="20"/>
        </w:rPr>
        <w:t>iii. Promotes and facilitates investment of public and private capital for development</w:t>
      </w:r>
    </w:p>
    <w:p w:rsidR="007619D7" w:rsidRDefault="007619D7" w:rsidP="007619D7">
      <w:pPr>
        <w:spacing w:line="240" w:lineRule="auto"/>
        <w:jc w:val="both"/>
        <w:rPr>
          <w:rFonts w:ascii="Verdana" w:hAnsi="Verdana" w:cs="Helvetica"/>
          <w:color w:val="000000"/>
          <w:sz w:val="20"/>
          <w:szCs w:val="20"/>
        </w:rPr>
      </w:pPr>
      <w:r w:rsidRPr="007619D7">
        <w:rPr>
          <w:rFonts w:ascii="Verdana" w:hAnsi="Verdana" w:cs="Helvetica"/>
          <w:color w:val="000000"/>
          <w:sz w:val="20"/>
          <w:szCs w:val="20"/>
        </w:rPr>
        <w:t>iv. Assists in coordinating development policies and plans of its DMCs</w:t>
      </w:r>
    </w:p>
    <w:p w:rsidR="00421AF3" w:rsidRDefault="00421AF3" w:rsidP="00257FFD">
      <w:pPr>
        <w:spacing w:line="240" w:lineRule="auto"/>
        <w:jc w:val="both"/>
        <w:rPr>
          <w:rFonts w:ascii="Verdana" w:hAnsi="Verdana" w:cs="Helvetica"/>
          <w:color w:val="000000"/>
          <w:sz w:val="20"/>
          <w:szCs w:val="20"/>
        </w:rPr>
      </w:pPr>
    </w:p>
    <w:p w:rsidR="0024277E" w:rsidRDefault="0024277E" w:rsidP="00257FFD">
      <w:pPr>
        <w:spacing w:line="240" w:lineRule="auto"/>
        <w:jc w:val="both"/>
        <w:rPr>
          <w:rFonts w:ascii="Verdana" w:hAnsi="Verdana" w:cs="Helvetica"/>
          <w:color w:val="000000"/>
          <w:sz w:val="20"/>
          <w:szCs w:val="20"/>
        </w:rPr>
      </w:pPr>
    </w:p>
    <w:p w:rsidR="00421AF3" w:rsidRPr="00421AF3" w:rsidRDefault="00421AF3" w:rsidP="00257FFD">
      <w:pPr>
        <w:spacing w:line="240" w:lineRule="auto"/>
        <w:jc w:val="both"/>
        <w:rPr>
          <w:rFonts w:ascii="Verdana" w:hAnsi="Verdana" w:cs="Helvetica"/>
          <w:b/>
          <w:color w:val="000000"/>
          <w:sz w:val="20"/>
          <w:szCs w:val="20"/>
        </w:rPr>
      </w:pPr>
      <w:r w:rsidRPr="00421AF3">
        <w:rPr>
          <w:rFonts w:ascii="Verdana" w:hAnsi="Verdana" w:cs="Helvetica"/>
          <w:b/>
          <w:color w:val="000000"/>
          <w:sz w:val="20"/>
          <w:szCs w:val="20"/>
        </w:rPr>
        <w:t>Balance of Trade and Balance of payments</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In today’s world, all countries import some goods an</w:t>
      </w:r>
      <w:r w:rsidR="00421AF3">
        <w:rPr>
          <w:rFonts w:ascii="Verdana" w:hAnsi="Verdana" w:cs="Helvetica"/>
          <w:color w:val="000000"/>
          <w:sz w:val="20"/>
          <w:szCs w:val="20"/>
        </w:rPr>
        <w:t>d services from other countries</w:t>
      </w:r>
      <w:r w:rsidRPr="00257FFD">
        <w:rPr>
          <w:rFonts w:ascii="Verdana" w:hAnsi="Verdana" w:cs="Helvetica"/>
          <w:color w:val="000000"/>
          <w:sz w:val="20"/>
          <w:szCs w:val="20"/>
        </w:rPr>
        <w:t xml:space="preserve"> and also export certain other goods and services which are surplus in their country. The difference between the value of goods and services exported out of a country and the value of goods and services imported into the country</w:t>
      </w:r>
      <w:r w:rsidR="00421AF3">
        <w:rPr>
          <w:rFonts w:ascii="Verdana" w:hAnsi="Verdana" w:cs="Helvetica"/>
          <w:color w:val="000000"/>
          <w:sz w:val="20"/>
          <w:szCs w:val="20"/>
        </w:rPr>
        <w:t xml:space="preserve"> is balance of trade</w:t>
      </w:r>
      <w:r w:rsidRPr="00257FFD">
        <w:rPr>
          <w:rFonts w:ascii="Verdana" w:hAnsi="Verdana" w:cs="Helvetica"/>
          <w:color w:val="000000"/>
          <w:sz w:val="20"/>
          <w:szCs w:val="20"/>
        </w:rPr>
        <w:t>.</w:t>
      </w:r>
      <w:r w:rsidR="00421AF3">
        <w:rPr>
          <w:rFonts w:ascii="Verdana" w:hAnsi="Verdana" w:cs="Helvetica"/>
          <w:color w:val="000000"/>
          <w:sz w:val="20"/>
          <w:szCs w:val="20"/>
        </w:rPr>
        <w:t xml:space="preserve"> </w:t>
      </w:r>
      <w:r w:rsidRPr="00257FFD">
        <w:rPr>
          <w:rFonts w:ascii="Verdana" w:hAnsi="Verdana" w:cs="Helvetica"/>
          <w:color w:val="000000"/>
          <w:sz w:val="20"/>
          <w:szCs w:val="20"/>
        </w:rPr>
        <w:t>If a country has a balance of trade deficit, it imports more than it exports, and if it has a balance of trade surplus, it exports more than it imports.</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The balance is said to be favorable when the value of the exports exceeded that of  the imports (i.e.</w:t>
      </w:r>
      <w:r w:rsidR="00421AF3">
        <w:rPr>
          <w:rFonts w:ascii="Verdana" w:hAnsi="Verdana" w:cs="Helvetica"/>
          <w:color w:val="000000"/>
          <w:sz w:val="20"/>
          <w:szCs w:val="20"/>
        </w:rPr>
        <w:t xml:space="preserve"> </w:t>
      </w:r>
      <w:r w:rsidRPr="00257FFD">
        <w:rPr>
          <w:rFonts w:ascii="Verdana" w:hAnsi="Verdana" w:cs="Helvetica"/>
          <w:color w:val="000000"/>
          <w:sz w:val="20"/>
          <w:szCs w:val="20"/>
        </w:rPr>
        <w:t>exports exceed imports),  and unfavorable when the value of the imports exceeded that of the exports (i.e. imports exceed exports).</w:t>
      </w:r>
      <w:r w:rsidR="00421AF3">
        <w:rPr>
          <w:rFonts w:ascii="Verdana" w:hAnsi="Verdana" w:cs="Helvetica"/>
          <w:color w:val="000000"/>
          <w:sz w:val="20"/>
          <w:szCs w:val="20"/>
        </w:rPr>
        <w:t xml:space="preserve"> </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Balance of Payment is a system of recording all the economic transactions of a country, with the rest of the world over a period, say one year.</w:t>
      </w:r>
      <w:r w:rsidR="00421AF3">
        <w:rPr>
          <w:rFonts w:ascii="Verdana" w:hAnsi="Verdana" w:cs="Helvetica"/>
          <w:color w:val="000000"/>
          <w:sz w:val="20"/>
          <w:szCs w:val="20"/>
        </w:rPr>
        <w:t xml:space="preserve"> </w:t>
      </w:r>
      <w:r w:rsidRPr="00257FFD">
        <w:rPr>
          <w:rFonts w:ascii="Verdana" w:hAnsi="Verdana" w:cs="Helvetica"/>
          <w:color w:val="000000"/>
          <w:sz w:val="20"/>
          <w:szCs w:val="20"/>
        </w:rPr>
        <w:t xml:space="preserve">Typically, the </w:t>
      </w:r>
      <w:r w:rsidR="00421AF3" w:rsidRPr="00257FFD">
        <w:rPr>
          <w:rFonts w:ascii="Verdana" w:hAnsi="Verdana" w:cs="Helvetica"/>
          <w:color w:val="000000"/>
          <w:sz w:val="20"/>
          <w:szCs w:val="20"/>
        </w:rPr>
        <w:t>transactions</w:t>
      </w:r>
      <w:r w:rsidRPr="00257FFD">
        <w:rPr>
          <w:rFonts w:ascii="Verdana" w:hAnsi="Verdana" w:cs="Helvetica"/>
          <w:color w:val="000000"/>
          <w:sz w:val="20"/>
          <w:szCs w:val="20"/>
        </w:rPr>
        <w:t xml:space="preserve"> included in BoP are country's exports and imports of goods, services, financial cap</w:t>
      </w:r>
      <w:r w:rsidR="00421AF3">
        <w:rPr>
          <w:rFonts w:ascii="Verdana" w:hAnsi="Verdana" w:cs="Helvetica"/>
          <w:color w:val="000000"/>
          <w:sz w:val="20"/>
          <w:szCs w:val="20"/>
        </w:rPr>
        <w:t>ital, and financial transfers. Thus, in nut</w:t>
      </w:r>
      <w:r w:rsidRPr="00257FFD">
        <w:rPr>
          <w:rFonts w:ascii="Verdana" w:hAnsi="Verdana" w:cs="Helvetica"/>
          <w:color w:val="000000"/>
          <w:sz w:val="20"/>
          <w:szCs w:val="20"/>
        </w:rPr>
        <w:t>shell we can say, the BoP accounts summarize international transactions for a specific period, u</w:t>
      </w:r>
      <w:r w:rsidR="00421AF3">
        <w:rPr>
          <w:rFonts w:ascii="Verdana" w:hAnsi="Verdana" w:cs="Helvetica"/>
          <w:color w:val="000000"/>
          <w:sz w:val="20"/>
          <w:szCs w:val="20"/>
        </w:rPr>
        <w:t xml:space="preserve">sually a year, and are prepared </w:t>
      </w:r>
      <w:r w:rsidRPr="00257FFD">
        <w:rPr>
          <w:rFonts w:ascii="Verdana" w:hAnsi="Verdana" w:cs="Helvetica"/>
          <w:color w:val="000000"/>
          <w:sz w:val="20"/>
          <w:szCs w:val="20"/>
        </w:rPr>
        <w:t>in a single currency, typically the domestic currency for the country concerned.</w:t>
      </w:r>
    </w:p>
    <w:p w:rsidR="00257FFD" w:rsidRPr="009D591B" w:rsidRDefault="009D591B" w:rsidP="00257FFD">
      <w:pPr>
        <w:spacing w:line="240" w:lineRule="auto"/>
        <w:jc w:val="both"/>
        <w:rPr>
          <w:rFonts w:ascii="Verdana" w:hAnsi="Verdana" w:cs="Helvetica"/>
          <w:b/>
          <w:color w:val="000000"/>
          <w:sz w:val="20"/>
          <w:szCs w:val="20"/>
        </w:rPr>
      </w:pPr>
      <w:r w:rsidRPr="009D591B">
        <w:rPr>
          <w:rFonts w:ascii="Verdana" w:hAnsi="Verdana" w:cs="Helvetica"/>
          <w:b/>
          <w:color w:val="000000"/>
          <w:sz w:val="20"/>
          <w:szCs w:val="20"/>
        </w:rPr>
        <w:t>It</w:t>
      </w:r>
      <w:r w:rsidR="00257FFD" w:rsidRPr="009D591B">
        <w:rPr>
          <w:rFonts w:ascii="Verdana" w:hAnsi="Verdana" w:cs="Helvetica"/>
          <w:b/>
          <w:color w:val="000000"/>
          <w:sz w:val="20"/>
          <w:szCs w:val="20"/>
        </w:rPr>
        <w:t xml:space="preserve"> can</w:t>
      </w:r>
      <w:r w:rsidRPr="009D591B">
        <w:rPr>
          <w:rFonts w:ascii="Verdana" w:hAnsi="Verdana" w:cs="Helvetica"/>
          <w:b/>
          <w:color w:val="000000"/>
          <w:sz w:val="20"/>
          <w:szCs w:val="20"/>
        </w:rPr>
        <w:t xml:space="preserve"> be</w:t>
      </w:r>
      <w:r w:rsidR="00257FFD" w:rsidRPr="009D591B">
        <w:rPr>
          <w:rFonts w:ascii="Verdana" w:hAnsi="Verdana" w:cs="Helvetica"/>
          <w:b/>
          <w:color w:val="000000"/>
          <w:sz w:val="20"/>
          <w:szCs w:val="20"/>
        </w:rPr>
        <w:t xml:space="preserve"> conclude</w:t>
      </w:r>
      <w:r w:rsidRPr="009D591B">
        <w:rPr>
          <w:rFonts w:ascii="Verdana" w:hAnsi="Verdana" w:cs="Helvetica"/>
          <w:b/>
          <w:color w:val="000000"/>
          <w:sz w:val="20"/>
          <w:szCs w:val="20"/>
        </w:rPr>
        <w:t>d that:</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The balance of payments (BOP) is an accounting of a country's international transactions for a particular time period.</w:t>
      </w:r>
      <w:r w:rsidR="00421AF3">
        <w:rPr>
          <w:rFonts w:ascii="Verdana" w:hAnsi="Verdana" w:cs="Helvetica"/>
          <w:color w:val="000000"/>
          <w:sz w:val="20"/>
          <w:szCs w:val="20"/>
        </w:rPr>
        <w:t xml:space="preserve"> </w:t>
      </w:r>
      <w:r w:rsidRPr="00257FFD">
        <w:rPr>
          <w:rFonts w:ascii="Verdana" w:hAnsi="Verdana" w:cs="Helvetica"/>
          <w:color w:val="000000"/>
          <w:sz w:val="20"/>
          <w:szCs w:val="20"/>
        </w:rPr>
        <w:t xml:space="preserve">Any transaction that causes </w:t>
      </w:r>
      <w:r w:rsidRPr="009D591B">
        <w:rPr>
          <w:rFonts w:ascii="Verdana" w:hAnsi="Verdana" w:cs="Helvetica"/>
          <w:b/>
          <w:color w:val="000000"/>
          <w:sz w:val="20"/>
          <w:szCs w:val="20"/>
        </w:rPr>
        <w:t>money to flow</w:t>
      </w:r>
      <w:r w:rsidRPr="00257FFD">
        <w:rPr>
          <w:rFonts w:ascii="Verdana" w:hAnsi="Verdana" w:cs="Helvetica"/>
          <w:color w:val="000000"/>
          <w:sz w:val="20"/>
          <w:szCs w:val="20"/>
        </w:rPr>
        <w:t xml:space="preserve"> into a country is a credit to its BOP account, and any transaction that causes money to flow out is a debit.</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 xml:space="preserve">The BOP includes the </w:t>
      </w:r>
      <w:r w:rsidRPr="009D591B">
        <w:rPr>
          <w:rFonts w:ascii="Verdana" w:hAnsi="Verdana" w:cs="Helvetica"/>
          <w:i/>
          <w:color w:val="000000"/>
          <w:sz w:val="20"/>
          <w:szCs w:val="20"/>
        </w:rPr>
        <w:t>current account</w:t>
      </w:r>
      <w:r w:rsidRPr="00257FFD">
        <w:rPr>
          <w:rFonts w:ascii="Verdana" w:hAnsi="Verdana" w:cs="Helvetica"/>
          <w:color w:val="000000"/>
          <w:sz w:val="20"/>
          <w:szCs w:val="20"/>
        </w:rPr>
        <w:t xml:space="preserve">, which mainly measures the flows of goods and services; the </w:t>
      </w:r>
      <w:r w:rsidRPr="0024277E">
        <w:rPr>
          <w:rFonts w:ascii="Verdana" w:hAnsi="Verdana" w:cs="Helvetica"/>
          <w:i/>
          <w:color w:val="000000"/>
          <w:sz w:val="20"/>
          <w:szCs w:val="20"/>
        </w:rPr>
        <w:t>capital account</w:t>
      </w:r>
      <w:r w:rsidRPr="00257FFD">
        <w:rPr>
          <w:rFonts w:ascii="Verdana" w:hAnsi="Verdana" w:cs="Helvetica"/>
          <w:color w:val="000000"/>
          <w:sz w:val="20"/>
          <w:szCs w:val="20"/>
        </w:rPr>
        <w:t xml:space="preserve">, which consists of capital transfers and the acquisition and disposal of non-produced, non-financial assets; and the </w:t>
      </w:r>
      <w:r w:rsidRPr="0024277E">
        <w:rPr>
          <w:rFonts w:ascii="Verdana" w:hAnsi="Verdana" w:cs="Helvetica"/>
          <w:i/>
          <w:color w:val="000000"/>
          <w:sz w:val="20"/>
          <w:szCs w:val="20"/>
        </w:rPr>
        <w:t>financial account</w:t>
      </w:r>
      <w:r w:rsidRPr="00257FFD">
        <w:rPr>
          <w:rFonts w:ascii="Verdana" w:hAnsi="Verdana" w:cs="Helvetica"/>
          <w:color w:val="000000"/>
          <w:sz w:val="20"/>
          <w:szCs w:val="20"/>
        </w:rPr>
        <w:t>, which records investment flows.</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The BOT is typically the biggest bulk of a country's balance of payments as it makes up total imports and exports.</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 xml:space="preserve">BOP is said to be favorable balance of payments, when more payments are coming in than going out, and will be </w:t>
      </w:r>
      <w:r w:rsidR="0024277E" w:rsidRPr="00257FFD">
        <w:rPr>
          <w:rFonts w:ascii="Verdana" w:hAnsi="Verdana" w:cs="Helvetica"/>
          <w:color w:val="000000"/>
          <w:sz w:val="20"/>
          <w:szCs w:val="20"/>
        </w:rPr>
        <w:t>unfavorable</w:t>
      </w:r>
      <w:r w:rsidRPr="00257FFD">
        <w:rPr>
          <w:rFonts w:ascii="Verdana" w:hAnsi="Verdana" w:cs="Helvetica"/>
          <w:color w:val="000000"/>
          <w:sz w:val="20"/>
          <w:szCs w:val="20"/>
        </w:rPr>
        <w:t xml:space="preserve"> when less payments are coming in than what is going out.</w:t>
      </w:r>
    </w:p>
    <w:p w:rsidR="00257FFD" w:rsidRPr="00257FFD" w:rsidRDefault="00257FFD" w:rsidP="00257FFD">
      <w:pPr>
        <w:spacing w:line="240" w:lineRule="auto"/>
        <w:jc w:val="both"/>
        <w:rPr>
          <w:rFonts w:ascii="Verdana" w:hAnsi="Verdana" w:cs="Helvetica"/>
          <w:color w:val="000000"/>
          <w:sz w:val="20"/>
          <w:szCs w:val="20"/>
        </w:rPr>
      </w:pPr>
      <w:r w:rsidRPr="00257FFD">
        <w:rPr>
          <w:rFonts w:ascii="Verdana" w:hAnsi="Verdana" w:cs="Helvetica"/>
          <w:color w:val="000000"/>
          <w:sz w:val="20"/>
          <w:szCs w:val="20"/>
        </w:rPr>
        <w:t xml:space="preserve"> </w:t>
      </w:r>
    </w:p>
    <w:p w:rsidR="00257FFD" w:rsidRDefault="00257FFD" w:rsidP="007619D7">
      <w:pPr>
        <w:spacing w:line="240" w:lineRule="auto"/>
        <w:jc w:val="both"/>
        <w:rPr>
          <w:rFonts w:ascii="Verdana" w:hAnsi="Verdana" w:cs="Helvetica"/>
          <w:color w:val="000000"/>
          <w:sz w:val="20"/>
          <w:szCs w:val="20"/>
        </w:rPr>
      </w:pPr>
    </w:p>
    <w:p w:rsidR="0024277E" w:rsidRDefault="0024277E" w:rsidP="007619D7">
      <w:pPr>
        <w:spacing w:line="240" w:lineRule="auto"/>
        <w:jc w:val="both"/>
        <w:rPr>
          <w:rFonts w:ascii="Verdana" w:hAnsi="Verdana" w:cs="Helvetica"/>
          <w:color w:val="000000"/>
          <w:sz w:val="20"/>
          <w:szCs w:val="20"/>
        </w:rPr>
      </w:pPr>
    </w:p>
    <w:p w:rsidR="0024277E" w:rsidRDefault="0024277E" w:rsidP="007619D7">
      <w:pPr>
        <w:spacing w:line="240" w:lineRule="auto"/>
        <w:jc w:val="both"/>
        <w:rPr>
          <w:rFonts w:ascii="Verdana" w:hAnsi="Verdana" w:cs="Helvetica"/>
          <w:b/>
          <w:color w:val="000000"/>
          <w:sz w:val="20"/>
          <w:szCs w:val="20"/>
        </w:rPr>
      </w:pPr>
    </w:p>
    <w:p w:rsidR="0023450C" w:rsidRPr="0024277E" w:rsidRDefault="0024277E" w:rsidP="007619D7">
      <w:pPr>
        <w:spacing w:line="240" w:lineRule="auto"/>
        <w:jc w:val="both"/>
        <w:rPr>
          <w:rFonts w:ascii="Verdana" w:hAnsi="Verdana" w:cs="Helvetica"/>
          <w:b/>
          <w:color w:val="000000"/>
          <w:sz w:val="20"/>
          <w:szCs w:val="20"/>
        </w:rPr>
      </w:pPr>
      <w:r w:rsidRPr="0024277E">
        <w:rPr>
          <w:rFonts w:ascii="Verdana" w:hAnsi="Verdana" w:cs="Helvetica"/>
          <w:b/>
          <w:color w:val="000000"/>
          <w:sz w:val="20"/>
          <w:szCs w:val="20"/>
        </w:rPr>
        <w:t>Difference between Balance of</w:t>
      </w:r>
      <w:r>
        <w:rPr>
          <w:rFonts w:ascii="Verdana" w:hAnsi="Verdana" w:cs="Helvetica"/>
          <w:b/>
          <w:color w:val="000000"/>
          <w:sz w:val="20"/>
          <w:szCs w:val="20"/>
        </w:rPr>
        <w:t xml:space="preserve"> T</w:t>
      </w:r>
      <w:r w:rsidRPr="0024277E">
        <w:rPr>
          <w:rFonts w:ascii="Verdana" w:hAnsi="Verdana" w:cs="Helvetica"/>
          <w:b/>
          <w:color w:val="000000"/>
          <w:sz w:val="20"/>
          <w:szCs w:val="20"/>
        </w:rPr>
        <w:t>rade and Balance of payments</w:t>
      </w:r>
    </w:p>
    <w:tbl>
      <w:tblPr>
        <w:tblW w:w="5000" w:type="pct"/>
        <w:jc w:val="center"/>
        <w:tblCellSpacing w:w="20" w:type="dxa"/>
        <w:tblCellMar>
          <w:left w:w="0" w:type="dxa"/>
          <w:right w:w="0" w:type="dxa"/>
        </w:tblCellMar>
        <w:tblLook w:val="04A0"/>
      </w:tblPr>
      <w:tblGrid>
        <w:gridCol w:w="2209"/>
        <w:gridCol w:w="4334"/>
        <w:gridCol w:w="4337"/>
      </w:tblGrid>
      <w:tr w:rsidR="00421AF3" w:rsidRPr="00223C7B" w:rsidTr="00421AF3">
        <w:trPr>
          <w:trHeight w:val="450"/>
          <w:tblCellSpacing w:w="20" w:type="dxa"/>
          <w:jc w:val="center"/>
        </w:trPr>
        <w:tc>
          <w:tcPr>
            <w:tcW w:w="987" w:type="pct"/>
            <w:shd w:val="clear" w:color="auto" w:fill="auto"/>
            <w:hideMark/>
          </w:tcPr>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b/>
                <w:bCs/>
                <w:sz w:val="20"/>
                <w:szCs w:val="20"/>
              </w:rPr>
              <w:t>Basis of Difference</w:t>
            </w:r>
          </w:p>
        </w:tc>
        <w:tc>
          <w:tcPr>
            <w:tcW w:w="1974" w:type="pct"/>
            <w:shd w:val="clear" w:color="auto" w:fill="auto"/>
            <w:hideMark/>
          </w:tcPr>
          <w:p w:rsidR="00421AF3" w:rsidRPr="0023450C" w:rsidRDefault="00421AF3" w:rsidP="009D591B">
            <w:pPr>
              <w:spacing w:after="0" w:line="240" w:lineRule="auto"/>
              <w:jc w:val="center"/>
              <w:rPr>
                <w:rFonts w:ascii="Verdana" w:eastAsia="Times New Roman" w:hAnsi="Verdana" w:cs="Times New Roman"/>
                <w:sz w:val="20"/>
                <w:szCs w:val="20"/>
              </w:rPr>
            </w:pPr>
            <w:r w:rsidRPr="0023450C">
              <w:rPr>
                <w:rFonts w:ascii="Verdana" w:eastAsia="Times New Roman" w:hAnsi="Verdana" w:cs="Times New Roman"/>
                <w:b/>
                <w:bCs/>
                <w:sz w:val="20"/>
                <w:szCs w:val="20"/>
              </w:rPr>
              <w:t>Balance of Trade (BOT)</w:t>
            </w:r>
          </w:p>
        </w:tc>
        <w:tc>
          <w:tcPr>
            <w:tcW w:w="1966" w:type="pct"/>
            <w:shd w:val="clear" w:color="auto" w:fill="auto"/>
            <w:hideMark/>
          </w:tcPr>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 </w:t>
            </w:r>
            <w:r w:rsidRPr="0023450C">
              <w:rPr>
                <w:rFonts w:ascii="Verdana" w:eastAsia="Times New Roman" w:hAnsi="Verdana" w:cs="Times New Roman"/>
                <w:b/>
                <w:bCs/>
                <w:sz w:val="20"/>
                <w:szCs w:val="20"/>
              </w:rPr>
              <w:t>Balance of  Payment (BOP)</w:t>
            </w:r>
          </w:p>
        </w:tc>
      </w:tr>
      <w:tr w:rsidR="00421AF3" w:rsidRPr="00223C7B" w:rsidTr="00421AF3">
        <w:trPr>
          <w:trHeight w:val="90"/>
          <w:tblCellSpacing w:w="20" w:type="dxa"/>
          <w:jc w:val="center"/>
        </w:trPr>
        <w:tc>
          <w:tcPr>
            <w:tcW w:w="987" w:type="pct"/>
            <w:shd w:val="clear" w:color="auto" w:fill="auto"/>
            <w:hideMark/>
          </w:tcPr>
          <w:p w:rsidR="00421AF3" w:rsidRPr="0023450C" w:rsidRDefault="00421AF3" w:rsidP="00421AF3">
            <w:pPr>
              <w:spacing w:after="0" w:line="9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74" w:type="pct"/>
            <w:shd w:val="clear" w:color="auto" w:fill="auto"/>
            <w:hideMark/>
          </w:tcPr>
          <w:p w:rsidR="00421AF3" w:rsidRPr="0023450C" w:rsidRDefault="00421AF3" w:rsidP="00421AF3">
            <w:pPr>
              <w:spacing w:after="0" w:line="9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66" w:type="pct"/>
            <w:shd w:val="clear" w:color="auto" w:fill="auto"/>
            <w:hideMark/>
          </w:tcPr>
          <w:p w:rsidR="00421AF3" w:rsidRPr="0023450C" w:rsidRDefault="00421AF3" w:rsidP="00421AF3">
            <w:pPr>
              <w:spacing w:after="0" w:line="90" w:lineRule="atLeast"/>
              <w:rPr>
                <w:rFonts w:ascii="Verdana" w:eastAsia="Times New Roman" w:hAnsi="Verdana" w:cs="Calibri"/>
                <w:sz w:val="20"/>
                <w:szCs w:val="20"/>
              </w:rPr>
            </w:pPr>
            <w:r w:rsidRPr="0023450C">
              <w:rPr>
                <w:rFonts w:ascii="Verdana" w:eastAsia="Times New Roman" w:hAnsi="Verdana" w:cs="Calibri"/>
                <w:sz w:val="20"/>
                <w:szCs w:val="20"/>
              </w:rPr>
              <w:t> </w:t>
            </w:r>
          </w:p>
        </w:tc>
      </w:tr>
      <w:tr w:rsidR="00421AF3" w:rsidRPr="00223C7B" w:rsidTr="00421AF3">
        <w:trPr>
          <w:trHeight w:val="735"/>
          <w:tblCellSpacing w:w="20" w:type="dxa"/>
          <w:jc w:val="center"/>
        </w:trPr>
        <w:tc>
          <w:tcPr>
            <w:tcW w:w="987" w:type="pct"/>
            <w:shd w:val="clear" w:color="auto" w:fill="auto"/>
            <w:hideMark/>
          </w:tcPr>
          <w:p w:rsidR="00421AF3" w:rsidRPr="0023450C" w:rsidRDefault="00421AF3" w:rsidP="00421AF3">
            <w:pPr>
              <w:spacing w:after="24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1. Definition</w:t>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t> </w:t>
            </w:r>
          </w:p>
        </w:tc>
        <w:tc>
          <w:tcPr>
            <w:tcW w:w="1974" w:type="pct"/>
            <w:shd w:val="clear" w:color="auto" w:fill="auto"/>
            <w:hideMark/>
          </w:tcPr>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Balance of Trade is defined as 'difference between export and import of goods and services'</w:t>
            </w:r>
          </w:p>
        </w:tc>
        <w:tc>
          <w:tcPr>
            <w:tcW w:w="1966" w:type="pct"/>
            <w:shd w:val="clear" w:color="auto" w:fill="auto"/>
            <w:hideMark/>
          </w:tcPr>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Balance of Payment is defined as the 'flow of cash between domestic country and all other foreign countries'. It includes not only import and export of goods and services but also includes financial capital transfer.</w:t>
            </w:r>
          </w:p>
        </w:tc>
      </w:tr>
      <w:tr w:rsidR="00421AF3" w:rsidRPr="00223C7B" w:rsidTr="00421AF3">
        <w:trPr>
          <w:trHeight w:val="60"/>
          <w:tblCellSpacing w:w="20" w:type="dxa"/>
          <w:jc w:val="center"/>
        </w:trPr>
        <w:tc>
          <w:tcPr>
            <w:tcW w:w="987" w:type="pct"/>
            <w:shd w:val="clear" w:color="auto" w:fill="auto"/>
            <w:hideMark/>
          </w:tcPr>
          <w:p w:rsidR="00421AF3" w:rsidRPr="0023450C" w:rsidRDefault="00421AF3" w:rsidP="00421AF3">
            <w:pPr>
              <w:spacing w:after="0" w:line="6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74" w:type="pct"/>
            <w:shd w:val="clear" w:color="auto" w:fill="auto"/>
            <w:hideMark/>
          </w:tcPr>
          <w:p w:rsidR="00421AF3" w:rsidRPr="0023450C" w:rsidRDefault="00421AF3" w:rsidP="00421AF3">
            <w:pPr>
              <w:spacing w:after="0" w:line="6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66" w:type="pct"/>
            <w:shd w:val="clear" w:color="auto" w:fill="auto"/>
            <w:hideMark/>
          </w:tcPr>
          <w:p w:rsidR="00421AF3" w:rsidRPr="0023450C" w:rsidRDefault="00421AF3" w:rsidP="00421AF3">
            <w:pPr>
              <w:spacing w:after="0" w:line="60" w:lineRule="atLeast"/>
              <w:rPr>
                <w:rFonts w:ascii="Verdana" w:eastAsia="Times New Roman" w:hAnsi="Verdana" w:cs="Calibri"/>
                <w:sz w:val="20"/>
                <w:szCs w:val="20"/>
              </w:rPr>
            </w:pPr>
            <w:r w:rsidRPr="0023450C">
              <w:rPr>
                <w:rFonts w:ascii="Verdana" w:eastAsia="Times New Roman" w:hAnsi="Verdana" w:cs="Calibri"/>
                <w:sz w:val="20"/>
                <w:szCs w:val="20"/>
              </w:rPr>
              <w:t> </w:t>
            </w:r>
          </w:p>
        </w:tc>
      </w:tr>
      <w:tr w:rsidR="00421AF3" w:rsidRPr="00223C7B" w:rsidTr="00421AF3">
        <w:trPr>
          <w:trHeight w:val="1125"/>
          <w:tblCellSpacing w:w="20" w:type="dxa"/>
          <w:jc w:val="center"/>
        </w:trPr>
        <w:tc>
          <w:tcPr>
            <w:tcW w:w="987" w:type="pct"/>
            <w:shd w:val="clear" w:color="auto" w:fill="auto"/>
            <w:hideMark/>
          </w:tcPr>
          <w:p w:rsidR="00421AF3" w:rsidRPr="0023450C" w:rsidRDefault="00421AF3" w:rsidP="00421AF3">
            <w:pPr>
              <w:spacing w:after="24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2. How</w:t>
            </w:r>
            <w:r w:rsidRPr="0023450C">
              <w:rPr>
                <w:rFonts w:ascii="Verdana" w:eastAsia="Times New Roman" w:hAnsi="Verdana" w:cs="Times New Roman"/>
                <w:sz w:val="20"/>
                <w:szCs w:val="20"/>
              </w:rPr>
              <w:t xml:space="preserve"> </w:t>
            </w:r>
            <w:r w:rsidRPr="00223C7B">
              <w:rPr>
                <w:rFonts w:ascii="Verdana" w:eastAsia="Times New Roman" w:hAnsi="Verdana" w:cs="Times New Roman"/>
                <w:sz w:val="20"/>
                <w:szCs w:val="20"/>
              </w:rPr>
              <w:t>c</w:t>
            </w:r>
            <w:r w:rsidR="00223C7B" w:rsidRPr="00223C7B">
              <w:rPr>
                <w:rFonts w:ascii="Verdana" w:eastAsia="Times New Roman" w:hAnsi="Verdana" w:cs="Times New Roman"/>
                <w:sz w:val="20"/>
                <w:szCs w:val="20"/>
              </w:rPr>
              <w:t>alculated</w:t>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t> </w:t>
            </w:r>
          </w:p>
        </w:tc>
        <w:tc>
          <w:tcPr>
            <w:tcW w:w="1974" w:type="pct"/>
            <w:shd w:val="clear" w:color="auto" w:fill="auto"/>
            <w:hideMark/>
          </w:tcPr>
          <w:p w:rsidR="00421AF3" w:rsidRPr="0023450C" w:rsidRDefault="00421AF3" w:rsidP="00421AF3">
            <w:pPr>
              <w:spacing w:after="24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BOT = Net Earning on Exports  - Net payment made for imports</w:t>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t> </w:t>
            </w:r>
          </w:p>
        </w:tc>
        <w:tc>
          <w:tcPr>
            <w:tcW w:w="1966" w:type="pct"/>
            <w:shd w:val="clear" w:color="auto" w:fill="auto"/>
            <w:hideMark/>
          </w:tcPr>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BOP = BOT + (Net Earning  on foreign investment i.e. payments made to foreign investors) + Cas</w:t>
            </w:r>
            <w:r w:rsidRPr="00223C7B">
              <w:rPr>
                <w:rFonts w:ascii="Verdana" w:eastAsia="Times New Roman" w:hAnsi="Verdana" w:cs="Times New Roman"/>
                <w:sz w:val="20"/>
                <w:szCs w:val="20"/>
              </w:rPr>
              <w:t>h Transfer + Capital Account +/</w:t>
            </w:r>
            <w:r w:rsidRPr="0023450C">
              <w:rPr>
                <w:rFonts w:ascii="Verdana" w:eastAsia="Times New Roman" w:hAnsi="Verdana" w:cs="Times New Roman"/>
                <w:sz w:val="20"/>
                <w:szCs w:val="20"/>
              </w:rPr>
              <w:t>- Balancing Item</w:t>
            </w:r>
            <w:r w:rsidRPr="0023450C">
              <w:rPr>
                <w:rFonts w:ascii="Verdana" w:eastAsia="Times New Roman" w:hAnsi="Verdana" w:cs="Times New Roman"/>
                <w:sz w:val="20"/>
                <w:szCs w:val="20"/>
              </w:rPr>
              <w:br/>
            </w:r>
            <w:r w:rsidRPr="0023450C">
              <w:rPr>
                <w:rFonts w:ascii="Verdana" w:eastAsia="Times New Roman" w:hAnsi="Verdana" w:cs="Times New Roman"/>
                <w:b/>
                <w:bCs/>
                <w:sz w:val="20"/>
                <w:szCs w:val="20"/>
              </w:rPr>
              <w:t>or</w:t>
            </w:r>
            <w:r w:rsidRPr="0023450C">
              <w:rPr>
                <w:rFonts w:ascii="Verdana" w:eastAsia="Times New Roman" w:hAnsi="Verdana" w:cs="Times New Roman"/>
                <w:sz w:val="20"/>
                <w:szCs w:val="20"/>
              </w:rPr>
              <w:t> </w:t>
            </w:r>
            <w:r w:rsidRPr="0023450C">
              <w:rPr>
                <w:rFonts w:ascii="Verdana" w:eastAsia="Times New Roman" w:hAnsi="Verdana" w:cs="Times New Roman"/>
                <w:sz w:val="20"/>
                <w:szCs w:val="20"/>
              </w:rPr>
              <w:br/>
              <w:t>BOP = Current Account + Capital Account  +</w:t>
            </w:r>
            <w:r w:rsidRPr="00223C7B">
              <w:rPr>
                <w:rFonts w:ascii="Verdana" w:eastAsia="Times New Roman" w:hAnsi="Verdana" w:cs="Times New Roman"/>
                <w:sz w:val="20"/>
                <w:szCs w:val="20"/>
              </w:rPr>
              <w:t>/</w:t>
            </w:r>
            <w:r w:rsidRPr="0023450C">
              <w:rPr>
                <w:rFonts w:ascii="Verdana" w:eastAsia="Times New Roman" w:hAnsi="Verdana" w:cs="Times New Roman"/>
                <w:sz w:val="20"/>
                <w:szCs w:val="20"/>
              </w:rPr>
              <w:t>- Balancing item ( Errors and omissions)</w:t>
            </w:r>
          </w:p>
        </w:tc>
      </w:tr>
      <w:tr w:rsidR="00421AF3" w:rsidRPr="00223C7B" w:rsidTr="00421AF3">
        <w:trPr>
          <w:trHeight w:val="180"/>
          <w:tblCellSpacing w:w="20" w:type="dxa"/>
          <w:jc w:val="center"/>
        </w:trPr>
        <w:tc>
          <w:tcPr>
            <w:tcW w:w="987" w:type="pct"/>
            <w:shd w:val="clear" w:color="auto" w:fill="auto"/>
            <w:hideMark/>
          </w:tcPr>
          <w:p w:rsidR="00421AF3" w:rsidRPr="0023450C" w:rsidRDefault="00421AF3" w:rsidP="00421AF3">
            <w:pPr>
              <w:spacing w:after="0" w:line="18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74" w:type="pct"/>
            <w:shd w:val="clear" w:color="auto" w:fill="auto"/>
            <w:hideMark/>
          </w:tcPr>
          <w:p w:rsidR="00421AF3" w:rsidRPr="0023450C" w:rsidRDefault="00421AF3" w:rsidP="00421AF3">
            <w:pPr>
              <w:spacing w:after="0" w:line="18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66" w:type="pct"/>
            <w:shd w:val="clear" w:color="auto" w:fill="auto"/>
            <w:hideMark/>
          </w:tcPr>
          <w:p w:rsidR="00421AF3" w:rsidRPr="0023450C" w:rsidRDefault="00421AF3" w:rsidP="00421AF3">
            <w:pPr>
              <w:spacing w:after="0" w:line="180" w:lineRule="atLeast"/>
              <w:rPr>
                <w:rFonts w:ascii="Verdana" w:eastAsia="Times New Roman" w:hAnsi="Verdana" w:cs="Calibri"/>
                <w:sz w:val="20"/>
                <w:szCs w:val="20"/>
              </w:rPr>
            </w:pPr>
          </w:p>
        </w:tc>
      </w:tr>
      <w:tr w:rsidR="00421AF3" w:rsidRPr="00223C7B" w:rsidTr="00421AF3">
        <w:trPr>
          <w:trHeight w:val="945"/>
          <w:tblCellSpacing w:w="20" w:type="dxa"/>
          <w:jc w:val="center"/>
        </w:trPr>
        <w:tc>
          <w:tcPr>
            <w:tcW w:w="987" w:type="pct"/>
            <w:shd w:val="clear" w:color="auto" w:fill="auto"/>
            <w:hideMark/>
          </w:tcPr>
          <w:p w:rsidR="00421AF3" w:rsidRPr="0023450C" w:rsidRDefault="00421AF3" w:rsidP="00421AF3">
            <w:pPr>
              <w:spacing w:after="24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3. When considered as  favorable</w:t>
            </w:r>
            <w:r w:rsidRPr="0023450C">
              <w:rPr>
                <w:rFonts w:ascii="Verdana" w:eastAsia="Times New Roman" w:hAnsi="Verdana" w:cs="Times New Roman"/>
                <w:sz w:val="20"/>
                <w:szCs w:val="20"/>
              </w:rPr>
              <w:t>  or </w:t>
            </w:r>
            <w:r w:rsidRPr="0023450C">
              <w:rPr>
                <w:rFonts w:ascii="Verdana" w:eastAsia="Times New Roman" w:hAnsi="Verdana" w:cs="Times New Roman"/>
                <w:sz w:val="20"/>
                <w:szCs w:val="20"/>
              </w:rPr>
              <w:br/>
            </w:r>
            <w:r w:rsidRPr="00223C7B">
              <w:rPr>
                <w:rFonts w:ascii="Verdana" w:eastAsia="Times New Roman" w:hAnsi="Verdana" w:cs="Times New Roman"/>
                <w:sz w:val="20"/>
                <w:szCs w:val="20"/>
              </w:rPr>
              <w:t>unfavorable</w:t>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t> </w:t>
            </w:r>
          </w:p>
        </w:tc>
        <w:tc>
          <w:tcPr>
            <w:tcW w:w="1974" w:type="pct"/>
            <w:shd w:val="clear" w:color="auto" w:fill="auto"/>
            <w:hideMark/>
          </w:tcPr>
          <w:p w:rsidR="00421AF3" w:rsidRPr="0023450C" w:rsidRDefault="00421AF3" w:rsidP="00421AF3">
            <w:pPr>
              <w:spacing w:after="24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 xml:space="preserve">If export is more than import, at that time, BOT will be </w:t>
            </w:r>
            <w:r w:rsidRPr="00223C7B">
              <w:rPr>
                <w:rFonts w:ascii="Verdana" w:eastAsia="Times New Roman" w:hAnsi="Verdana" w:cs="Times New Roman"/>
                <w:sz w:val="20"/>
                <w:szCs w:val="20"/>
              </w:rPr>
              <w:t>favorable</w:t>
            </w:r>
            <w:r w:rsidRPr="0023450C">
              <w:rPr>
                <w:rFonts w:ascii="Verdana" w:eastAsia="Times New Roman" w:hAnsi="Verdana" w:cs="Times New Roman"/>
                <w:sz w:val="20"/>
                <w:szCs w:val="20"/>
              </w:rPr>
              <w:t xml:space="preserve">. If import is more than export, at that time, BOT will be </w:t>
            </w:r>
            <w:r w:rsidRPr="00223C7B">
              <w:rPr>
                <w:rFonts w:ascii="Verdana" w:eastAsia="Times New Roman" w:hAnsi="Verdana" w:cs="Times New Roman"/>
                <w:sz w:val="20"/>
                <w:szCs w:val="20"/>
              </w:rPr>
              <w:t>unfavorable</w:t>
            </w:r>
            <w:r w:rsidRPr="0023450C">
              <w:rPr>
                <w:rFonts w:ascii="Verdana" w:eastAsia="Times New Roman" w:hAnsi="Verdana" w:cs="Times New Roman"/>
                <w:sz w:val="20"/>
                <w:szCs w:val="20"/>
              </w:rPr>
              <w:t>.</w:t>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t> </w:t>
            </w:r>
          </w:p>
        </w:tc>
        <w:tc>
          <w:tcPr>
            <w:tcW w:w="1966" w:type="pct"/>
            <w:shd w:val="clear" w:color="auto" w:fill="auto"/>
            <w:hideMark/>
          </w:tcPr>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Balance of Payment will be </w:t>
            </w:r>
            <w:r w:rsidRPr="00223C7B">
              <w:rPr>
                <w:rFonts w:ascii="Verdana" w:eastAsia="Times New Roman" w:hAnsi="Verdana" w:cs="Times New Roman"/>
                <w:sz w:val="20"/>
                <w:szCs w:val="20"/>
              </w:rPr>
              <w:t>favorable</w:t>
            </w:r>
            <w:r w:rsidRPr="0023450C">
              <w:rPr>
                <w:rFonts w:ascii="Verdana" w:eastAsia="Times New Roman" w:hAnsi="Verdana" w:cs="Times New Roman"/>
                <w:sz w:val="20"/>
                <w:szCs w:val="20"/>
              </w:rPr>
              <w:t>, if the country has surplus in</w:t>
            </w:r>
            <w:r w:rsidR="00FD1F8D" w:rsidRPr="00223C7B">
              <w:rPr>
                <w:rFonts w:ascii="Verdana" w:eastAsia="Times New Roman" w:hAnsi="Verdana" w:cs="Times New Roman"/>
                <w:sz w:val="20"/>
                <w:szCs w:val="20"/>
              </w:rPr>
              <w:t xml:space="preserve"> current account for paying all past loans in the</w:t>
            </w:r>
            <w:r w:rsidRPr="0023450C">
              <w:rPr>
                <w:rFonts w:ascii="Verdana" w:eastAsia="Times New Roman" w:hAnsi="Verdana" w:cs="Times New Roman"/>
                <w:sz w:val="20"/>
                <w:szCs w:val="20"/>
              </w:rPr>
              <w:t xml:space="preserve"> capital account.</w:t>
            </w:r>
          </w:p>
          <w:p w:rsidR="00421AF3" w:rsidRPr="0023450C" w:rsidRDefault="00421AF3" w:rsidP="00421AF3">
            <w:pPr>
              <w:spacing w:after="0" w:line="240" w:lineRule="auto"/>
              <w:rPr>
                <w:rFonts w:ascii="Verdana" w:eastAsia="Times New Roman" w:hAnsi="Verdana" w:cs="Times New Roman"/>
                <w:sz w:val="20"/>
                <w:szCs w:val="20"/>
              </w:rPr>
            </w:pPr>
            <w:r w:rsidRPr="0023450C">
              <w:rPr>
                <w:rFonts w:ascii="Verdana" w:eastAsia="Times New Roman" w:hAnsi="Verdana" w:cs="Times New Roman"/>
                <w:sz w:val="20"/>
                <w:szCs w:val="20"/>
              </w:rPr>
              <w:br/>
              <w:t xml:space="preserve">Balance of payment will be </w:t>
            </w:r>
            <w:r w:rsidR="00FD1F8D" w:rsidRPr="00223C7B">
              <w:rPr>
                <w:rFonts w:ascii="Verdana" w:eastAsia="Times New Roman" w:hAnsi="Verdana" w:cs="Times New Roman"/>
                <w:sz w:val="20"/>
                <w:szCs w:val="20"/>
              </w:rPr>
              <w:t>unfavorable</w:t>
            </w:r>
            <w:r w:rsidRPr="0023450C">
              <w:rPr>
                <w:rFonts w:ascii="Verdana" w:eastAsia="Times New Roman" w:hAnsi="Verdana" w:cs="Times New Roman"/>
                <w:sz w:val="20"/>
                <w:szCs w:val="20"/>
              </w:rPr>
              <w:t>, if  country has current account deficit and it took more loan from foreigners. After this, it has to pay high interest on extra loan and this will make  BOP </w:t>
            </w:r>
            <w:r w:rsidRPr="0023450C">
              <w:rPr>
                <w:rFonts w:ascii="Verdana" w:eastAsia="Times New Roman" w:hAnsi="Verdana" w:cs="Times New Roman"/>
                <w:sz w:val="20"/>
                <w:szCs w:val="20"/>
              </w:rPr>
              <w:br/>
            </w:r>
            <w:r w:rsidR="00FD1F8D" w:rsidRPr="00223C7B">
              <w:rPr>
                <w:rFonts w:ascii="Verdana" w:eastAsia="Times New Roman" w:hAnsi="Verdana" w:cs="Times New Roman"/>
                <w:sz w:val="20"/>
                <w:szCs w:val="20"/>
              </w:rPr>
              <w:t>unfavorable</w:t>
            </w:r>
            <w:r w:rsidRPr="0023450C">
              <w:rPr>
                <w:rFonts w:ascii="Verdana" w:eastAsia="Times New Roman" w:hAnsi="Verdana" w:cs="Times New Roman"/>
                <w:sz w:val="20"/>
                <w:szCs w:val="20"/>
              </w:rPr>
              <w:t>.</w:t>
            </w:r>
          </w:p>
        </w:tc>
      </w:tr>
      <w:tr w:rsidR="00421AF3" w:rsidRPr="00223C7B" w:rsidTr="00421AF3">
        <w:trPr>
          <w:trHeight w:val="270"/>
          <w:tblCellSpacing w:w="20" w:type="dxa"/>
          <w:jc w:val="center"/>
        </w:trPr>
        <w:tc>
          <w:tcPr>
            <w:tcW w:w="987" w:type="pct"/>
            <w:shd w:val="clear" w:color="auto" w:fill="auto"/>
            <w:hideMark/>
          </w:tcPr>
          <w:p w:rsidR="00421AF3" w:rsidRPr="0023450C" w:rsidRDefault="00421AF3" w:rsidP="00421AF3">
            <w:pPr>
              <w:spacing w:after="0" w:line="33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74" w:type="pct"/>
            <w:shd w:val="clear" w:color="auto" w:fill="auto"/>
            <w:hideMark/>
          </w:tcPr>
          <w:p w:rsidR="00421AF3" w:rsidRPr="0023450C" w:rsidRDefault="00421AF3" w:rsidP="00421AF3">
            <w:pPr>
              <w:spacing w:after="0" w:line="330"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66" w:type="pct"/>
            <w:shd w:val="clear" w:color="auto" w:fill="auto"/>
            <w:hideMark/>
          </w:tcPr>
          <w:p w:rsidR="00421AF3" w:rsidRPr="0023450C" w:rsidRDefault="00421AF3" w:rsidP="00421AF3">
            <w:pPr>
              <w:spacing w:after="0" w:line="330" w:lineRule="atLeast"/>
              <w:rPr>
                <w:rFonts w:ascii="Verdana" w:eastAsia="Times New Roman" w:hAnsi="Verdana" w:cs="Calibri"/>
                <w:sz w:val="20"/>
                <w:szCs w:val="20"/>
              </w:rPr>
            </w:pPr>
            <w:r w:rsidRPr="0023450C">
              <w:rPr>
                <w:rFonts w:ascii="Verdana" w:eastAsia="Times New Roman" w:hAnsi="Verdana" w:cs="Calibri"/>
                <w:sz w:val="20"/>
                <w:szCs w:val="20"/>
              </w:rPr>
              <w:t> </w:t>
            </w:r>
          </w:p>
        </w:tc>
      </w:tr>
      <w:tr w:rsidR="00421AF3" w:rsidRPr="00223C7B" w:rsidTr="00421AF3">
        <w:trPr>
          <w:trHeight w:val="585"/>
          <w:tblCellSpacing w:w="20" w:type="dxa"/>
          <w:jc w:val="center"/>
        </w:trPr>
        <w:tc>
          <w:tcPr>
            <w:tcW w:w="987" w:type="pct"/>
            <w:shd w:val="clear" w:color="auto" w:fill="auto"/>
            <w:hideMark/>
          </w:tcPr>
          <w:p w:rsidR="00421AF3" w:rsidRPr="0023450C" w:rsidRDefault="00FD1F8D" w:rsidP="00421AF3">
            <w:pPr>
              <w:spacing w:after="24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4. Solution to being  unfavo</w:t>
            </w:r>
            <w:r w:rsidR="00421AF3" w:rsidRPr="0023450C">
              <w:rPr>
                <w:rFonts w:ascii="Verdana" w:eastAsia="Times New Roman" w:hAnsi="Verdana" w:cs="Times New Roman"/>
                <w:sz w:val="20"/>
                <w:szCs w:val="20"/>
              </w:rPr>
              <w:t>rable </w:t>
            </w:r>
          </w:p>
        </w:tc>
        <w:tc>
          <w:tcPr>
            <w:tcW w:w="1974" w:type="pct"/>
            <w:shd w:val="clear" w:color="auto" w:fill="auto"/>
            <w:hideMark/>
          </w:tcPr>
          <w:p w:rsidR="00421AF3" w:rsidRPr="0023450C" w:rsidRDefault="00223C7B" w:rsidP="00421AF3">
            <w:pPr>
              <w:spacing w:after="24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To b</w:t>
            </w:r>
            <w:r w:rsidR="00421AF3" w:rsidRPr="0023450C">
              <w:rPr>
                <w:rFonts w:ascii="Verdana" w:eastAsia="Times New Roman" w:hAnsi="Verdana" w:cs="Times New Roman"/>
                <w:sz w:val="20"/>
                <w:szCs w:val="20"/>
              </w:rPr>
              <w:t>uy goods and services </w:t>
            </w:r>
            <w:r w:rsidR="00421AF3" w:rsidRPr="0023450C">
              <w:rPr>
                <w:rFonts w:ascii="Verdana" w:eastAsia="Times New Roman" w:hAnsi="Verdana" w:cs="Times New Roman"/>
                <w:sz w:val="20"/>
                <w:szCs w:val="20"/>
              </w:rPr>
              <w:br/>
              <w:t>from domestic country.</w:t>
            </w:r>
          </w:p>
        </w:tc>
        <w:tc>
          <w:tcPr>
            <w:tcW w:w="1966" w:type="pct"/>
            <w:shd w:val="clear" w:color="auto" w:fill="auto"/>
            <w:hideMark/>
          </w:tcPr>
          <w:p w:rsidR="00421AF3" w:rsidRPr="0023450C" w:rsidRDefault="00421AF3" w:rsidP="00421AF3">
            <w:pPr>
              <w:spacing w:after="240" w:line="240" w:lineRule="auto"/>
              <w:rPr>
                <w:rFonts w:ascii="Verdana" w:eastAsia="Times New Roman" w:hAnsi="Verdana" w:cs="Times New Roman"/>
                <w:sz w:val="20"/>
                <w:szCs w:val="20"/>
              </w:rPr>
            </w:pPr>
            <w:r w:rsidRPr="0023450C">
              <w:rPr>
                <w:rFonts w:ascii="Verdana" w:eastAsia="Times New Roman" w:hAnsi="Verdana" w:cs="Times New Roman"/>
                <w:sz w:val="20"/>
                <w:szCs w:val="20"/>
              </w:rPr>
              <w:t>To stop taking of loan from foreign countries.</w:t>
            </w:r>
          </w:p>
        </w:tc>
      </w:tr>
      <w:tr w:rsidR="00421AF3" w:rsidRPr="00223C7B" w:rsidTr="00421AF3">
        <w:trPr>
          <w:trHeight w:val="165"/>
          <w:tblCellSpacing w:w="20" w:type="dxa"/>
          <w:jc w:val="center"/>
        </w:trPr>
        <w:tc>
          <w:tcPr>
            <w:tcW w:w="987" w:type="pct"/>
            <w:shd w:val="clear" w:color="auto" w:fill="auto"/>
            <w:hideMark/>
          </w:tcPr>
          <w:p w:rsidR="00421AF3" w:rsidRPr="0023450C" w:rsidRDefault="00421AF3" w:rsidP="00421AF3">
            <w:pPr>
              <w:spacing w:after="0" w:line="165"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74" w:type="pct"/>
            <w:shd w:val="clear" w:color="auto" w:fill="auto"/>
            <w:hideMark/>
          </w:tcPr>
          <w:p w:rsidR="00421AF3" w:rsidRPr="0023450C" w:rsidRDefault="00421AF3" w:rsidP="00421AF3">
            <w:pPr>
              <w:spacing w:after="0" w:line="165" w:lineRule="atLeast"/>
              <w:rPr>
                <w:rFonts w:ascii="Verdana" w:eastAsia="Times New Roman" w:hAnsi="Verdana" w:cs="Calibri"/>
                <w:sz w:val="20"/>
                <w:szCs w:val="20"/>
              </w:rPr>
            </w:pPr>
            <w:r w:rsidRPr="0023450C">
              <w:rPr>
                <w:rFonts w:ascii="Verdana" w:eastAsia="Times New Roman" w:hAnsi="Verdana" w:cs="Calibri"/>
                <w:sz w:val="20"/>
                <w:szCs w:val="20"/>
              </w:rPr>
              <w:t> </w:t>
            </w:r>
          </w:p>
        </w:tc>
        <w:tc>
          <w:tcPr>
            <w:tcW w:w="1966" w:type="pct"/>
            <w:shd w:val="clear" w:color="auto" w:fill="auto"/>
            <w:hideMark/>
          </w:tcPr>
          <w:p w:rsidR="00421AF3" w:rsidRPr="0023450C" w:rsidRDefault="00421AF3" w:rsidP="00421AF3">
            <w:pPr>
              <w:spacing w:after="0" w:line="165" w:lineRule="atLeast"/>
              <w:rPr>
                <w:rFonts w:ascii="Verdana" w:eastAsia="Times New Roman" w:hAnsi="Verdana" w:cs="Calibri"/>
                <w:sz w:val="20"/>
                <w:szCs w:val="20"/>
              </w:rPr>
            </w:pPr>
            <w:r w:rsidRPr="0023450C">
              <w:rPr>
                <w:rFonts w:ascii="Verdana" w:eastAsia="Times New Roman" w:hAnsi="Verdana" w:cs="Calibri"/>
                <w:sz w:val="20"/>
                <w:szCs w:val="20"/>
              </w:rPr>
              <w:t> </w:t>
            </w:r>
          </w:p>
        </w:tc>
      </w:tr>
      <w:tr w:rsidR="00421AF3" w:rsidRPr="00223C7B" w:rsidTr="00421AF3">
        <w:trPr>
          <w:trHeight w:val="210"/>
          <w:tblCellSpacing w:w="20" w:type="dxa"/>
          <w:jc w:val="center"/>
        </w:trPr>
        <w:tc>
          <w:tcPr>
            <w:tcW w:w="987" w:type="pct"/>
            <w:shd w:val="clear" w:color="auto" w:fill="auto"/>
            <w:hideMark/>
          </w:tcPr>
          <w:p w:rsidR="00421AF3" w:rsidRPr="0023450C" w:rsidRDefault="00421AF3" w:rsidP="00421AF3">
            <w:pPr>
              <w:spacing w:after="240" w:line="210" w:lineRule="atLeast"/>
              <w:rPr>
                <w:rFonts w:ascii="Verdana" w:eastAsia="Times New Roman" w:hAnsi="Verdana" w:cs="Times New Roman"/>
                <w:sz w:val="20"/>
                <w:szCs w:val="20"/>
              </w:rPr>
            </w:pPr>
            <w:r w:rsidRPr="0023450C">
              <w:rPr>
                <w:rFonts w:ascii="Verdana" w:eastAsia="Times New Roman" w:hAnsi="Verdana" w:cs="Times New Roman"/>
                <w:sz w:val="20"/>
                <w:szCs w:val="20"/>
              </w:rPr>
              <w:t>5. Factors</w:t>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r>
            <w:r w:rsidRPr="0023450C">
              <w:rPr>
                <w:rFonts w:ascii="Verdana" w:eastAsia="Times New Roman" w:hAnsi="Verdana" w:cs="Times New Roman"/>
                <w:sz w:val="20"/>
                <w:szCs w:val="20"/>
              </w:rPr>
              <w:br/>
              <w:t> </w:t>
            </w:r>
          </w:p>
        </w:tc>
        <w:tc>
          <w:tcPr>
            <w:tcW w:w="1974" w:type="pct"/>
            <w:shd w:val="clear" w:color="auto" w:fill="auto"/>
            <w:hideMark/>
          </w:tcPr>
          <w:p w:rsidR="0024277E" w:rsidRPr="00223C7B" w:rsidRDefault="0024277E" w:rsidP="00421AF3">
            <w:pPr>
              <w:spacing w:after="0" w:line="210" w:lineRule="atLeast"/>
              <w:rPr>
                <w:rFonts w:ascii="Verdana" w:eastAsia="Times New Roman" w:hAnsi="Verdana" w:cs="Times New Roman"/>
                <w:sz w:val="20"/>
                <w:szCs w:val="20"/>
              </w:rPr>
            </w:pPr>
            <w:r w:rsidRPr="00223C7B">
              <w:rPr>
                <w:rFonts w:ascii="Verdana" w:eastAsia="Times New Roman" w:hAnsi="Verdana" w:cs="Times New Roman"/>
                <w:sz w:val="20"/>
                <w:szCs w:val="20"/>
              </w:rPr>
              <w:t>Main factors which affect BOT:</w:t>
            </w:r>
          </w:p>
          <w:p w:rsidR="0024277E" w:rsidRPr="00223C7B" w:rsidRDefault="0024277E" w:rsidP="0024277E">
            <w:pPr>
              <w:pStyle w:val="ListParagraph"/>
              <w:numPr>
                <w:ilvl w:val="0"/>
                <w:numId w:val="8"/>
              </w:numPr>
              <w:spacing w:after="0" w:line="210" w:lineRule="atLeast"/>
              <w:rPr>
                <w:rFonts w:ascii="Verdana" w:eastAsia="Times New Roman" w:hAnsi="Verdana" w:cs="Times New Roman"/>
                <w:sz w:val="20"/>
                <w:szCs w:val="20"/>
              </w:rPr>
            </w:pPr>
            <w:r w:rsidRPr="00223C7B">
              <w:rPr>
                <w:rFonts w:ascii="Verdana" w:eastAsia="Times New Roman" w:hAnsi="Verdana" w:cs="Times New Roman"/>
                <w:sz w:val="20"/>
                <w:szCs w:val="20"/>
              </w:rPr>
              <w:t>cost of production</w:t>
            </w:r>
          </w:p>
          <w:p w:rsidR="0024277E" w:rsidRPr="00223C7B" w:rsidRDefault="0024277E" w:rsidP="0024277E">
            <w:pPr>
              <w:pStyle w:val="ListParagraph"/>
              <w:numPr>
                <w:ilvl w:val="0"/>
                <w:numId w:val="8"/>
              </w:numPr>
              <w:spacing w:after="0" w:line="210" w:lineRule="atLeast"/>
              <w:rPr>
                <w:rFonts w:ascii="Verdana" w:eastAsia="Times New Roman" w:hAnsi="Verdana" w:cs="Times New Roman"/>
                <w:sz w:val="20"/>
                <w:szCs w:val="20"/>
              </w:rPr>
            </w:pPr>
            <w:r w:rsidRPr="00223C7B">
              <w:rPr>
                <w:rFonts w:ascii="Verdana" w:eastAsia="Times New Roman" w:hAnsi="Verdana" w:cs="Times New Roman"/>
                <w:sz w:val="20"/>
                <w:szCs w:val="20"/>
              </w:rPr>
              <w:t>a</w:t>
            </w:r>
            <w:r w:rsidR="00421AF3" w:rsidRPr="00223C7B">
              <w:rPr>
                <w:rFonts w:ascii="Verdana" w:eastAsia="Times New Roman" w:hAnsi="Verdana" w:cs="Times New Roman"/>
                <w:sz w:val="20"/>
                <w:szCs w:val="20"/>
              </w:rPr>
              <w:t>vailability </w:t>
            </w:r>
            <w:r w:rsidRPr="00223C7B">
              <w:rPr>
                <w:rFonts w:ascii="Verdana" w:eastAsia="Times New Roman" w:hAnsi="Verdana" w:cs="Times New Roman"/>
                <w:sz w:val="20"/>
                <w:szCs w:val="20"/>
              </w:rPr>
              <w:t>of raw materials</w:t>
            </w:r>
          </w:p>
          <w:p w:rsidR="0024277E" w:rsidRPr="00223C7B" w:rsidRDefault="0024277E" w:rsidP="0024277E">
            <w:pPr>
              <w:pStyle w:val="ListParagraph"/>
              <w:numPr>
                <w:ilvl w:val="0"/>
                <w:numId w:val="8"/>
              </w:numPr>
              <w:spacing w:after="0" w:line="210" w:lineRule="atLeast"/>
              <w:rPr>
                <w:rFonts w:ascii="Verdana" w:eastAsia="Times New Roman" w:hAnsi="Verdana" w:cs="Times New Roman"/>
                <w:sz w:val="20"/>
                <w:szCs w:val="20"/>
              </w:rPr>
            </w:pPr>
            <w:r w:rsidRPr="00223C7B">
              <w:rPr>
                <w:rFonts w:ascii="Verdana" w:eastAsia="Times New Roman" w:hAnsi="Verdana" w:cs="Times New Roman"/>
                <w:sz w:val="20"/>
                <w:szCs w:val="20"/>
              </w:rPr>
              <w:t>Exchange rate</w:t>
            </w:r>
          </w:p>
          <w:p w:rsidR="00421AF3" w:rsidRPr="00223C7B" w:rsidRDefault="00421AF3" w:rsidP="0024277E">
            <w:pPr>
              <w:pStyle w:val="ListParagraph"/>
              <w:numPr>
                <w:ilvl w:val="0"/>
                <w:numId w:val="8"/>
              </w:numPr>
              <w:spacing w:after="0" w:line="210" w:lineRule="atLeast"/>
              <w:rPr>
                <w:rFonts w:ascii="Verdana" w:eastAsia="Times New Roman" w:hAnsi="Verdana" w:cs="Times New Roman"/>
                <w:sz w:val="20"/>
                <w:szCs w:val="20"/>
              </w:rPr>
            </w:pPr>
            <w:r w:rsidRPr="00223C7B">
              <w:rPr>
                <w:rFonts w:ascii="Verdana" w:eastAsia="Times New Roman" w:hAnsi="Verdana" w:cs="Times New Roman"/>
                <w:sz w:val="20"/>
                <w:szCs w:val="20"/>
              </w:rPr>
              <w:t>Prices of goods manufactured at home</w:t>
            </w:r>
          </w:p>
        </w:tc>
        <w:tc>
          <w:tcPr>
            <w:tcW w:w="1966" w:type="pct"/>
            <w:shd w:val="clear" w:color="auto" w:fill="auto"/>
            <w:hideMark/>
          </w:tcPr>
          <w:p w:rsidR="0024277E" w:rsidRPr="00223C7B" w:rsidRDefault="0024277E" w:rsidP="0024277E">
            <w:pPr>
              <w:spacing w:after="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Main factors which affect BOP:</w:t>
            </w:r>
          </w:p>
          <w:p w:rsidR="0024277E" w:rsidRPr="00223C7B" w:rsidRDefault="0024277E" w:rsidP="0024277E">
            <w:pPr>
              <w:spacing w:after="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 xml:space="preserve">1. </w:t>
            </w:r>
            <w:r w:rsidR="00421AF3" w:rsidRPr="0023450C">
              <w:rPr>
                <w:rFonts w:ascii="Verdana" w:eastAsia="Times New Roman" w:hAnsi="Verdana" w:cs="Times New Roman"/>
                <w:sz w:val="20"/>
                <w:szCs w:val="20"/>
              </w:rPr>
              <w:t>Con</w:t>
            </w:r>
            <w:r w:rsidRPr="00223C7B">
              <w:rPr>
                <w:rFonts w:ascii="Verdana" w:eastAsia="Times New Roman" w:hAnsi="Verdana" w:cs="Times New Roman"/>
                <w:sz w:val="20"/>
                <w:szCs w:val="20"/>
              </w:rPr>
              <w:t>ditions of foreign lenders.</w:t>
            </w:r>
          </w:p>
          <w:p w:rsidR="0024277E" w:rsidRPr="00223C7B" w:rsidRDefault="0024277E" w:rsidP="0024277E">
            <w:pPr>
              <w:spacing w:after="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 xml:space="preserve">2. </w:t>
            </w:r>
            <w:r w:rsidR="00421AF3" w:rsidRPr="0023450C">
              <w:rPr>
                <w:rFonts w:ascii="Verdana" w:eastAsia="Times New Roman" w:hAnsi="Verdana" w:cs="Times New Roman"/>
                <w:sz w:val="20"/>
                <w:szCs w:val="20"/>
              </w:rPr>
              <w:t>Economic policy of Govt. </w:t>
            </w:r>
          </w:p>
          <w:p w:rsidR="00421AF3" w:rsidRPr="0023450C" w:rsidRDefault="0024277E" w:rsidP="0024277E">
            <w:pPr>
              <w:spacing w:after="0" w:line="240" w:lineRule="auto"/>
              <w:rPr>
                <w:rFonts w:ascii="Verdana" w:eastAsia="Times New Roman" w:hAnsi="Verdana" w:cs="Times New Roman"/>
                <w:sz w:val="20"/>
                <w:szCs w:val="20"/>
              </w:rPr>
            </w:pPr>
            <w:r w:rsidRPr="00223C7B">
              <w:rPr>
                <w:rFonts w:ascii="Verdana" w:eastAsia="Times New Roman" w:hAnsi="Verdana" w:cs="Times New Roman"/>
                <w:sz w:val="20"/>
                <w:szCs w:val="20"/>
              </w:rPr>
              <w:t xml:space="preserve">3. </w:t>
            </w:r>
            <w:r w:rsidR="00421AF3" w:rsidRPr="0023450C">
              <w:rPr>
                <w:rFonts w:ascii="Verdana" w:eastAsia="Times New Roman" w:hAnsi="Verdana" w:cs="Times New Roman"/>
                <w:sz w:val="20"/>
                <w:szCs w:val="20"/>
              </w:rPr>
              <w:t>all the factors of BOT</w:t>
            </w:r>
          </w:p>
        </w:tc>
      </w:tr>
    </w:tbl>
    <w:p w:rsidR="00E7282A" w:rsidRPr="007619D7" w:rsidRDefault="00E7282A" w:rsidP="00E7282A">
      <w:pPr>
        <w:spacing w:line="240" w:lineRule="auto"/>
        <w:jc w:val="both"/>
        <w:rPr>
          <w:rFonts w:ascii="Verdana" w:hAnsi="Verdana" w:cs="Helvetica"/>
          <w:color w:val="000000"/>
          <w:sz w:val="20"/>
          <w:szCs w:val="20"/>
        </w:rPr>
      </w:pPr>
    </w:p>
    <w:p w:rsidR="0023450C" w:rsidRDefault="0023450C" w:rsidP="007619D7">
      <w:pPr>
        <w:spacing w:line="240" w:lineRule="auto"/>
        <w:jc w:val="both"/>
        <w:rPr>
          <w:rFonts w:ascii="Verdana" w:hAnsi="Verdana" w:cs="Helvetica"/>
          <w:color w:val="000000"/>
          <w:sz w:val="20"/>
          <w:szCs w:val="20"/>
        </w:rPr>
      </w:pPr>
    </w:p>
    <w:sectPr w:rsidR="0023450C" w:rsidSect="00EB505C">
      <w:headerReference w:type="default" r:id="rId7"/>
      <w:footerReference w:type="default" r:id="rId8"/>
      <w:pgSz w:w="12240" w:h="15840"/>
      <w:pgMar w:top="720" w:right="720" w:bottom="720" w:left="720"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FAA" w:rsidRDefault="00E85FAA" w:rsidP="00EB505C">
      <w:pPr>
        <w:spacing w:after="0" w:line="240" w:lineRule="auto"/>
      </w:pPr>
      <w:r>
        <w:separator/>
      </w:r>
    </w:p>
  </w:endnote>
  <w:endnote w:type="continuationSeparator" w:id="1">
    <w:p w:rsidR="00E85FAA" w:rsidRDefault="00E85FAA" w:rsidP="00EB5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0477"/>
      <w:docPartObj>
        <w:docPartGallery w:val="Page Numbers (Top of Page)"/>
        <w:docPartUnique/>
      </w:docPartObj>
    </w:sdtPr>
    <w:sdtContent>
      <w:p w:rsidR="00EB505C" w:rsidRDefault="00EB505C" w:rsidP="00EB505C">
        <w:pPr>
          <w:pStyle w:val="Footer"/>
          <w:jc w:val="center"/>
        </w:pPr>
        <w:r>
          <w:t xml:space="preserve">Page </w:t>
        </w:r>
        <w:r w:rsidR="00246E10">
          <w:rPr>
            <w:b/>
            <w:sz w:val="24"/>
            <w:szCs w:val="24"/>
          </w:rPr>
          <w:fldChar w:fldCharType="begin"/>
        </w:r>
        <w:r>
          <w:rPr>
            <w:b/>
          </w:rPr>
          <w:instrText xml:space="preserve"> PAGE </w:instrText>
        </w:r>
        <w:r w:rsidR="00246E10">
          <w:rPr>
            <w:b/>
            <w:sz w:val="24"/>
            <w:szCs w:val="24"/>
          </w:rPr>
          <w:fldChar w:fldCharType="separate"/>
        </w:r>
        <w:r w:rsidR="00FA3DE8">
          <w:rPr>
            <w:b/>
            <w:noProof/>
          </w:rPr>
          <w:t>1</w:t>
        </w:r>
        <w:r w:rsidR="00246E10">
          <w:rPr>
            <w:b/>
            <w:sz w:val="24"/>
            <w:szCs w:val="24"/>
          </w:rPr>
          <w:fldChar w:fldCharType="end"/>
        </w:r>
        <w:r>
          <w:t xml:space="preserve"> of </w:t>
        </w:r>
        <w:r w:rsidR="00246E10">
          <w:rPr>
            <w:b/>
            <w:sz w:val="24"/>
            <w:szCs w:val="24"/>
          </w:rPr>
          <w:fldChar w:fldCharType="begin"/>
        </w:r>
        <w:r>
          <w:rPr>
            <w:b/>
          </w:rPr>
          <w:instrText xml:space="preserve"> NUMPAGES  </w:instrText>
        </w:r>
        <w:r w:rsidR="00246E10">
          <w:rPr>
            <w:b/>
            <w:sz w:val="24"/>
            <w:szCs w:val="24"/>
          </w:rPr>
          <w:fldChar w:fldCharType="separate"/>
        </w:r>
        <w:r w:rsidR="00FA3DE8">
          <w:rPr>
            <w:b/>
            <w:noProof/>
          </w:rPr>
          <w:t>4</w:t>
        </w:r>
        <w:r w:rsidR="00246E10">
          <w:rPr>
            <w:b/>
            <w:sz w:val="24"/>
            <w:szCs w:val="24"/>
          </w:rPr>
          <w:fldChar w:fldCharType="end"/>
        </w:r>
      </w:p>
    </w:sdtContent>
  </w:sdt>
  <w:p w:rsidR="00EB505C" w:rsidRDefault="00EB50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FAA" w:rsidRDefault="00E85FAA" w:rsidP="00EB505C">
      <w:pPr>
        <w:spacing w:after="0" w:line="240" w:lineRule="auto"/>
      </w:pPr>
      <w:r>
        <w:separator/>
      </w:r>
    </w:p>
  </w:footnote>
  <w:footnote w:type="continuationSeparator" w:id="1">
    <w:p w:rsidR="00E85FAA" w:rsidRDefault="00E85FAA" w:rsidP="00EB50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05C" w:rsidRPr="00215DA2" w:rsidRDefault="00EB505C" w:rsidP="00EB505C">
    <w:pPr>
      <w:pStyle w:val="Header"/>
      <w:jc w:val="right"/>
      <w:rPr>
        <w:rFonts w:ascii="Georgia" w:hAnsi="Georgia"/>
        <w:color w:val="000000" w:themeColor="text1"/>
        <w:sz w:val="20"/>
      </w:rPr>
    </w:pPr>
    <w:r w:rsidRPr="00215DA2">
      <w:rPr>
        <w:rFonts w:ascii="Georgia" w:hAnsi="Georgia"/>
        <w:color w:val="000000" w:themeColor="text1"/>
        <w:sz w:val="20"/>
      </w:rPr>
      <w:t>©2016 CA Jaideep Gupta, All rights reserved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0DF8"/>
    <w:multiLevelType w:val="hybridMultilevel"/>
    <w:tmpl w:val="D6E6C36A"/>
    <w:lvl w:ilvl="0" w:tplc="71FA08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D68AB"/>
    <w:multiLevelType w:val="hybridMultilevel"/>
    <w:tmpl w:val="780E487A"/>
    <w:lvl w:ilvl="0" w:tplc="71FA0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94487"/>
    <w:multiLevelType w:val="hybridMultilevel"/>
    <w:tmpl w:val="34DC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B5D6D"/>
    <w:multiLevelType w:val="hybridMultilevel"/>
    <w:tmpl w:val="EEDE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5452D"/>
    <w:multiLevelType w:val="hybridMultilevel"/>
    <w:tmpl w:val="25547B2C"/>
    <w:lvl w:ilvl="0" w:tplc="71FA0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461D9"/>
    <w:multiLevelType w:val="hybridMultilevel"/>
    <w:tmpl w:val="CCB6EA6C"/>
    <w:lvl w:ilvl="0" w:tplc="1286FF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30553"/>
    <w:multiLevelType w:val="hybridMultilevel"/>
    <w:tmpl w:val="EF50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E1601"/>
    <w:multiLevelType w:val="hybridMultilevel"/>
    <w:tmpl w:val="8F00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5D72FB"/>
    <w:rsid w:val="001357A3"/>
    <w:rsid w:val="00165E25"/>
    <w:rsid w:val="00223C7B"/>
    <w:rsid w:val="0023450C"/>
    <w:rsid w:val="0024277E"/>
    <w:rsid w:val="00246E10"/>
    <w:rsid w:val="00257FFD"/>
    <w:rsid w:val="002B62EF"/>
    <w:rsid w:val="003320F1"/>
    <w:rsid w:val="00337BCA"/>
    <w:rsid w:val="0036621F"/>
    <w:rsid w:val="00421AF3"/>
    <w:rsid w:val="005745A3"/>
    <w:rsid w:val="005D72FB"/>
    <w:rsid w:val="006142C6"/>
    <w:rsid w:val="006211A6"/>
    <w:rsid w:val="00694790"/>
    <w:rsid w:val="007619D7"/>
    <w:rsid w:val="00767EB3"/>
    <w:rsid w:val="0083745A"/>
    <w:rsid w:val="008C7A8C"/>
    <w:rsid w:val="008D6FA4"/>
    <w:rsid w:val="00992EB4"/>
    <w:rsid w:val="009D591B"/>
    <w:rsid w:val="00A25149"/>
    <w:rsid w:val="00AE7CAA"/>
    <w:rsid w:val="00B23759"/>
    <w:rsid w:val="00B97CBF"/>
    <w:rsid w:val="00BC6CF7"/>
    <w:rsid w:val="00C505FA"/>
    <w:rsid w:val="00D42AD1"/>
    <w:rsid w:val="00D55EDD"/>
    <w:rsid w:val="00D90C5B"/>
    <w:rsid w:val="00DF0A6A"/>
    <w:rsid w:val="00DF101D"/>
    <w:rsid w:val="00E7282A"/>
    <w:rsid w:val="00E85FAA"/>
    <w:rsid w:val="00EB505C"/>
    <w:rsid w:val="00EE614E"/>
    <w:rsid w:val="00F14A6E"/>
    <w:rsid w:val="00F83250"/>
    <w:rsid w:val="00FA3DE8"/>
    <w:rsid w:val="00FA4844"/>
    <w:rsid w:val="00FB314F"/>
    <w:rsid w:val="00FC13FB"/>
    <w:rsid w:val="00FD1F8D"/>
    <w:rsid w:val="00FD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2FB"/>
    <w:rPr>
      <w:rFonts w:ascii="Tahoma" w:hAnsi="Tahoma" w:cs="Tahoma"/>
      <w:sz w:val="16"/>
      <w:szCs w:val="16"/>
    </w:rPr>
  </w:style>
  <w:style w:type="paragraph" w:customStyle="1" w:styleId="Default">
    <w:name w:val="Default"/>
    <w:rsid w:val="005D72FB"/>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83745A"/>
    <w:pPr>
      <w:ind w:left="720"/>
      <w:contextualSpacing/>
    </w:pPr>
  </w:style>
  <w:style w:type="paragraph" w:styleId="Header">
    <w:name w:val="header"/>
    <w:basedOn w:val="Normal"/>
    <w:link w:val="HeaderChar"/>
    <w:uiPriority w:val="99"/>
    <w:unhideWhenUsed/>
    <w:rsid w:val="00EB5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5C"/>
  </w:style>
  <w:style w:type="paragraph" w:styleId="Footer">
    <w:name w:val="footer"/>
    <w:basedOn w:val="Normal"/>
    <w:link w:val="FooterChar"/>
    <w:uiPriority w:val="99"/>
    <w:unhideWhenUsed/>
    <w:rsid w:val="00EB5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5C"/>
  </w:style>
  <w:style w:type="character" w:customStyle="1" w:styleId="apple-converted-space">
    <w:name w:val="apple-converted-space"/>
    <w:basedOn w:val="DefaultParagraphFont"/>
    <w:rsid w:val="00DF0A6A"/>
  </w:style>
  <w:style w:type="character" w:styleId="Hyperlink">
    <w:name w:val="Hyperlink"/>
    <w:basedOn w:val="DefaultParagraphFont"/>
    <w:uiPriority w:val="99"/>
    <w:semiHidden/>
    <w:unhideWhenUsed/>
    <w:rsid w:val="00DF0A6A"/>
    <w:rPr>
      <w:color w:val="0000FF"/>
      <w:u w:val="single"/>
    </w:rPr>
  </w:style>
  <w:style w:type="paragraph" w:styleId="NormalWeb">
    <w:name w:val="Normal (Web)"/>
    <w:basedOn w:val="Normal"/>
    <w:uiPriority w:val="99"/>
    <w:semiHidden/>
    <w:unhideWhenUsed/>
    <w:rsid w:val="00FC13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2EF"/>
    <w:rPr>
      <w:i/>
      <w:iCs/>
    </w:rPr>
  </w:style>
</w:styles>
</file>

<file path=word/webSettings.xml><?xml version="1.0" encoding="utf-8"?>
<w:webSettings xmlns:r="http://schemas.openxmlformats.org/officeDocument/2006/relationships" xmlns:w="http://schemas.openxmlformats.org/wordprocessingml/2006/main">
  <w:divs>
    <w:div w:id="375811411">
      <w:bodyDiv w:val="1"/>
      <w:marLeft w:val="0"/>
      <w:marRight w:val="0"/>
      <w:marTop w:val="0"/>
      <w:marBottom w:val="0"/>
      <w:divBdr>
        <w:top w:val="none" w:sz="0" w:space="0" w:color="auto"/>
        <w:left w:val="none" w:sz="0" w:space="0" w:color="auto"/>
        <w:bottom w:val="none" w:sz="0" w:space="0" w:color="auto"/>
        <w:right w:val="none" w:sz="0" w:space="0" w:color="auto"/>
      </w:divBdr>
    </w:div>
    <w:div w:id="576985840">
      <w:bodyDiv w:val="1"/>
      <w:marLeft w:val="0"/>
      <w:marRight w:val="0"/>
      <w:marTop w:val="0"/>
      <w:marBottom w:val="0"/>
      <w:divBdr>
        <w:top w:val="none" w:sz="0" w:space="0" w:color="auto"/>
        <w:left w:val="none" w:sz="0" w:space="0" w:color="auto"/>
        <w:bottom w:val="none" w:sz="0" w:space="0" w:color="auto"/>
        <w:right w:val="none" w:sz="0" w:space="0" w:color="auto"/>
      </w:divBdr>
    </w:div>
    <w:div w:id="1152797042">
      <w:bodyDiv w:val="1"/>
      <w:marLeft w:val="0"/>
      <w:marRight w:val="0"/>
      <w:marTop w:val="0"/>
      <w:marBottom w:val="0"/>
      <w:divBdr>
        <w:top w:val="none" w:sz="0" w:space="0" w:color="auto"/>
        <w:left w:val="none" w:sz="0" w:space="0" w:color="auto"/>
        <w:bottom w:val="none" w:sz="0" w:space="0" w:color="auto"/>
        <w:right w:val="none" w:sz="0" w:space="0" w:color="auto"/>
      </w:divBdr>
    </w:div>
    <w:div w:id="14204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2016-07-24T12:32:00Z</dcterms:created>
  <dcterms:modified xsi:type="dcterms:W3CDTF">2016-08-12T17:16:00Z</dcterms:modified>
</cp:coreProperties>
</file>