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FF" w:rsidRDefault="00B46F79" w:rsidP="003D60E7">
      <w:pPr>
        <w:pStyle w:val="Title"/>
        <w:jc w:val="both"/>
        <w:rPr>
          <w:rFonts w:ascii="Verdana" w:hAnsi="Verdana"/>
          <w:b/>
          <w:color w:val="000000" w:themeColor="text1"/>
          <w:sz w:val="22"/>
          <w:szCs w:val="20"/>
          <w:lang w:val="en-US"/>
        </w:rPr>
      </w:pPr>
      <w:r>
        <w:rPr>
          <w:rFonts w:ascii="Verdana" w:hAnsi="Verdana"/>
          <w:b/>
          <w:color w:val="000000" w:themeColor="text1"/>
          <w:sz w:val="22"/>
          <w:szCs w:val="20"/>
          <w:lang w:val="en-US"/>
        </w:rPr>
        <w:t>Depreciation</w:t>
      </w:r>
    </w:p>
    <w:p w:rsidR="00B46F79" w:rsidRDefault="00B46F79" w:rsidP="003D60E7">
      <w:pPr>
        <w:jc w:val="both"/>
        <w:rPr>
          <w:rFonts w:ascii="Verdana" w:hAnsi="Verdana"/>
          <w:sz w:val="20"/>
          <w:szCs w:val="20"/>
          <w:lang w:val="en-US"/>
        </w:rPr>
      </w:pPr>
      <w:r>
        <w:rPr>
          <w:rFonts w:ascii="Verdana" w:hAnsi="Verdana"/>
          <w:sz w:val="20"/>
          <w:szCs w:val="20"/>
          <w:lang w:val="en-US"/>
        </w:rPr>
        <w:t>Depreciation is the permanent and continuous decrease in the book value of a fixed asset due to use, passage of time, obsolescence, expiration of legal rights or nay other cause.</w:t>
      </w:r>
    </w:p>
    <w:p w:rsidR="00B46F79" w:rsidRDefault="00B46F79" w:rsidP="003D60E7">
      <w:pPr>
        <w:jc w:val="both"/>
        <w:rPr>
          <w:rFonts w:ascii="Verdana" w:hAnsi="Verdana"/>
          <w:sz w:val="20"/>
          <w:szCs w:val="20"/>
          <w:lang w:val="en-US"/>
        </w:rPr>
      </w:pPr>
    </w:p>
    <w:p w:rsidR="00B46F79" w:rsidRDefault="00B46F79" w:rsidP="003D60E7">
      <w:pPr>
        <w:jc w:val="both"/>
        <w:rPr>
          <w:rFonts w:ascii="Verdana" w:hAnsi="Verdana"/>
          <w:sz w:val="20"/>
          <w:szCs w:val="20"/>
          <w:lang w:val="en-US"/>
        </w:rPr>
      </w:pPr>
      <w:r>
        <w:rPr>
          <w:rFonts w:ascii="Verdana" w:hAnsi="Verdana"/>
          <w:sz w:val="20"/>
          <w:szCs w:val="20"/>
          <w:lang w:val="en-US"/>
        </w:rPr>
        <w:t>Fixed assets are used in the business to derive benefit for more than one accounting period. Periodic profit (i.e. profit for an accounting period which is typically 1 year) is measured by charging the cost against the periodic revenue. Since fixed assets enable generation of periodic revenue, an appropriate proportion of the cost of the fixed assets which is believed to be used or expired for</w:t>
      </w:r>
      <w:r w:rsidR="003D60E7">
        <w:rPr>
          <w:rFonts w:ascii="Verdana" w:hAnsi="Verdana"/>
          <w:sz w:val="20"/>
          <w:szCs w:val="20"/>
          <w:lang w:val="en-US"/>
        </w:rPr>
        <w:t xml:space="preserve"> generation of periodic revenue, needs to be charged as cost of the fixed assets is termed as depreciation.</w:t>
      </w:r>
    </w:p>
    <w:p w:rsidR="003D60E7" w:rsidRDefault="003D60E7" w:rsidP="003D60E7">
      <w:pPr>
        <w:jc w:val="both"/>
        <w:rPr>
          <w:rFonts w:ascii="Verdana" w:hAnsi="Verdana"/>
          <w:sz w:val="20"/>
          <w:szCs w:val="20"/>
          <w:lang w:val="en-US"/>
        </w:rPr>
      </w:pPr>
    </w:p>
    <w:p w:rsidR="003D60E7" w:rsidRDefault="003D60E7" w:rsidP="003D60E7">
      <w:pPr>
        <w:jc w:val="both"/>
        <w:rPr>
          <w:rFonts w:ascii="Verdana" w:hAnsi="Verdana"/>
          <w:sz w:val="20"/>
          <w:szCs w:val="20"/>
          <w:lang w:val="en-US"/>
        </w:rPr>
      </w:pPr>
      <w:r>
        <w:rPr>
          <w:rFonts w:ascii="Verdana" w:hAnsi="Verdana"/>
          <w:sz w:val="20"/>
          <w:szCs w:val="20"/>
          <w:lang w:val="en-US"/>
        </w:rPr>
        <w:t>Depreciation accounting is a system of accounting which aims to distribute cost of the fixed asset (less salvage value, if any) over the estimated useful life of the asset in a systematic and rational manner.</w:t>
      </w:r>
    </w:p>
    <w:p w:rsidR="003D60E7" w:rsidRDefault="003D60E7" w:rsidP="003D60E7">
      <w:pPr>
        <w:jc w:val="both"/>
        <w:rPr>
          <w:rFonts w:ascii="Verdana" w:hAnsi="Verdana"/>
          <w:sz w:val="20"/>
          <w:szCs w:val="20"/>
          <w:lang w:val="en-US"/>
        </w:rPr>
      </w:pPr>
    </w:p>
    <w:p w:rsidR="005F113C" w:rsidRDefault="005F113C" w:rsidP="003D60E7">
      <w:pPr>
        <w:jc w:val="both"/>
        <w:rPr>
          <w:rFonts w:ascii="Verdana" w:hAnsi="Verdana"/>
          <w:b/>
          <w:sz w:val="20"/>
          <w:szCs w:val="20"/>
          <w:lang w:val="en-US"/>
        </w:rPr>
      </w:pPr>
    </w:p>
    <w:p w:rsidR="003D60E7" w:rsidRDefault="00A914AD" w:rsidP="003D60E7">
      <w:pPr>
        <w:jc w:val="both"/>
        <w:rPr>
          <w:rFonts w:ascii="Verdana" w:hAnsi="Verdana"/>
          <w:b/>
          <w:sz w:val="20"/>
          <w:szCs w:val="20"/>
          <w:lang w:val="en-US"/>
        </w:rPr>
      </w:pPr>
      <w:r>
        <w:rPr>
          <w:rFonts w:ascii="Verdana" w:hAnsi="Verdana"/>
          <w:b/>
          <w:sz w:val="20"/>
          <w:szCs w:val="20"/>
          <w:lang w:val="en-US"/>
        </w:rPr>
        <w:t>Causes of Depreciation:</w:t>
      </w:r>
    </w:p>
    <w:p w:rsidR="00A914AD" w:rsidRDefault="00A914AD" w:rsidP="00A914AD">
      <w:pPr>
        <w:pStyle w:val="ListParagraph"/>
        <w:numPr>
          <w:ilvl w:val="0"/>
          <w:numId w:val="25"/>
        </w:numPr>
        <w:jc w:val="both"/>
        <w:rPr>
          <w:rFonts w:ascii="Verdana" w:hAnsi="Verdana"/>
          <w:sz w:val="20"/>
          <w:szCs w:val="20"/>
          <w:lang w:val="en-US"/>
        </w:rPr>
      </w:pPr>
      <w:r>
        <w:rPr>
          <w:rFonts w:ascii="Verdana" w:hAnsi="Verdana"/>
          <w:sz w:val="20"/>
          <w:szCs w:val="20"/>
          <w:lang w:val="en-US"/>
        </w:rPr>
        <w:t>Physical wear and tear: The decrease in the value of the fixed asset due to use.</w:t>
      </w:r>
    </w:p>
    <w:p w:rsidR="00A914AD" w:rsidRDefault="00A914AD" w:rsidP="00A914AD">
      <w:pPr>
        <w:pStyle w:val="ListParagraph"/>
        <w:numPr>
          <w:ilvl w:val="0"/>
          <w:numId w:val="25"/>
        </w:numPr>
        <w:jc w:val="both"/>
        <w:rPr>
          <w:rFonts w:ascii="Verdana" w:hAnsi="Verdana"/>
          <w:sz w:val="20"/>
          <w:szCs w:val="20"/>
          <w:lang w:val="en-US"/>
        </w:rPr>
      </w:pPr>
      <w:r>
        <w:rPr>
          <w:rFonts w:ascii="Verdana" w:hAnsi="Verdana"/>
          <w:sz w:val="20"/>
          <w:szCs w:val="20"/>
          <w:lang w:val="en-US"/>
        </w:rPr>
        <w:t>Passage of time: when the assets are exposed to forces of nature like wind, rain, sun, etc. their value may decrease even if they are not put to use.</w:t>
      </w:r>
    </w:p>
    <w:p w:rsidR="00A914AD" w:rsidRDefault="00A914AD" w:rsidP="00A914AD">
      <w:pPr>
        <w:pStyle w:val="ListParagraph"/>
        <w:numPr>
          <w:ilvl w:val="0"/>
          <w:numId w:val="25"/>
        </w:numPr>
        <w:jc w:val="both"/>
        <w:rPr>
          <w:rFonts w:ascii="Verdana" w:hAnsi="Verdana"/>
          <w:sz w:val="20"/>
          <w:szCs w:val="20"/>
          <w:lang w:val="en-US"/>
        </w:rPr>
      </w:pPr>
      <w:r>
        <w:rPr>
          <w:rFonts w:ascii="Verdana" w:hAnsi="Verdana"/>
          <w:sz w:val="20"/>
          <w:szCs w:val="20"/>
          <w:lang w:val="en-US"/>
        </w:rPr>
        <w:t>Technological obsolescence: with improvement in technology an earlier fixed asset may become obsolete before its expected useful life.</w:t>
      </w:r>
    </w:p>
    <w:p w:rsidR="00A914AD" w:rsidRDefault="00A914AD" w:rsidP="00A914AD">
      <w:pPr>
        <w:pStyle w:val="ListParagraph"/>
        <w:numPr>
          <w:ilvl w:val="0"/>
          <w:numId w:val="25"/>
        </w:numPr>
        <w:jc w:val="both"/>
        <w:rPr>
          <w:rFonts w:ascii="Verdana" w:hAnsi="Verdana"/>
          <w:sz w:val="20"/>
          <w:szCs w:val="20"/>
          <w:lang w:val="en-US"/>
        </w:rPr>
      </w:pPr>
      <w:r>
        <w:rPr>
          <w:rFonts w:ascii="Verdana" w:hAnsi="Verdana"/>
          <w:sz w:val="20"/>
          <w:szCs w:val="20"/>
          <w:lang w:val="en-US"/>
        </w:rPr>
        <w:t>Expiration of le</w:t>
      </w:r>
      <w:r w:rsidR="00021FAE">
        <w:rPr>
          <w:rFonts w:ascii="Verdana" w:hAnsi="Verdana"/>
          <w:sz w:val="20"/>
          <w:szCs w:val="20"/>
          <w:lang w:val="en-US"/>
        </w:rPr>
        <w:t>gal rights: When the use of an asset, say patents, is governed by time bound arrangement, the value of the asset decreases with time.</w:t>
      </w:r>
    </w:p>
    <w:p w:rsidR="00021FAE" w:rsidRDefault="00021FAE" w:rsidP="00021FAE">
      <w:pPr>
        <w:jc w:val="both"/>
        <w:rPr>
          <w:rFonts w:ascii="Verdana" w:hAnsi="Verdana"/>
          <w:sz w:val="20"/>
          <w:szCs w:val="20"/>
          <w:lang w:val="en-US"/>
        </w:rPr>
      </w:pPr>
    </w:p>
    <w:p w:rsidR="005F113C" w:rsidRDefault="005F113C" w:rsidP="00021FAE">
      <w:pPr>
        <w:jc w:val="both"/>
        <w:rPr>
          <w:rFonts w:ascii="Verdana" w:hAnsi="Verdana"/>
          <w:b/>
          <w:sz w:val="20"/>
          <w:szCs w:val="20"/>
          <w:lang w:val="en-US"/>
        </w:rPr>
      </w:pPr>
    </w:p>
    <w:p w:rsidR="00021FAE" w:rsidRDefault="00021FAE" w:rsidP="00021FAE">
      <w:pPr>
        <w:jc w:val="both"/>
        <w:rPr>
          <w:rFonts w:ascii="Verdana" w:hAnsi="Verdana"/>
          <w:b/>
          <w:sz w:val="20"/>
          <w:szCs w:val="20"/>
          <w:lang w:val="en-US"/>
        </w:rPr>
      </w:pPr>
      <w:r>
        <w:rPr>
          <w:rFonts w:ascii="Verdana" w:hAnsi="Verdana"/>
          <w:b/>
          <w:sz w:val="20"/>
          <w:szCs w:val="20"/>
          <w:lang w:val="en-US"/>
        </w:rPr>
        <w:t>Need for charging depreciation:</w:t>
      </w:r>
    </w:p>
    <w:p w:rsidR="00021FAE" w:rsidRDefault="00021FAE" w:rsidP="00021FAE">
      <w:pPr>
        <w:pStyle w:val="ListParagraph"/>
        <w:numPr>
          <w:ilvl w:val="0"/>
          <w:numId w:val="26"/>
        </w:numPr>
        <w:jc w:val="both"/>
        <w:rPr>
          <w:rFonts w:ascii="Verdana" w:hAnsi="Verdana"/>
          <w:sz w:val="20"/>
          <w:szCs w:val="20"/>
          <w:lang w:val="en-US"/>
        </w:rPr>
      </w:pPr>
      <w:r>
        <w:rPr>
          <w:rFonts w:ascii="Verdana" w:hAnsi="Verdana"/>
          <w:sz w:val="20"/>
          <w:szCs w:val="20"/>
          <w:lang w:val="en-US"/>
        </w:rPr>
        <w:t>To ascertain the true results of operations of an organization it is necessary to charge the depreciation (cost) against the income (revenue) in each accounting period.</w:t>
      </w:r>
    </w:p>
    <w:p w:rsidR="00021FAE" w:rsidRDefault="00021FAE" w:rsidP="00021FAE">
      <w:pPr>
        <w:pStyle w:val="ListParagraph"/>
        <w:numPr>
          <w:ilvl w:val="0"/>
          <w:numId w:val="26"/>
        </w:numPr>
        <w:jc w:val="both"/>
        <w:rPr>
          <w:rFonts w:ascii="Verdana" w:hAnsi="Verdana"/>
          <w:sz w:val="20"/>
          <w:szCs w:val="20"/>
          <w:lang w:val="en-US"/>
        </w:rPr>
      </w:pPr>
      <w:r>
        <w:rPr>
          <w:rFonts w:ascii="Verdana" w:hAnsi="Verdana"/>
          <w:sz w:val="20"/>
          <w:szCs w:val="20"/>
          <w:lang w:val="en-US"/>
        </w:rPr>
        <w:t>To present true and fair financial position because if depreciation is not charged, the unexpired cost of the asset would be overstated.</w:t>
      </w:r>
    </w:p>
    <w:p w:rsidR="00021FAE" w:rsidRDefault="00021FAE" w:rsidP="00021FAE">
      <w:pPr>
        <w:pStyle w:val="ListParagraph"/>
        <w:numPr>
          <w:ilvl w:val="0"/>
          <w:numId w:val="26"/>
        </w:numPr>
        <w:jc w:val="both"/>
        <w:rPr>
          <w:rFonts w:ascii="Verdana" w:hAnsi="Verdana"/>
          <w:sz w:val="20"/>
          <w:szCs w:val="20"/>
          <w:lang w:val="en-US"/>
        </w:rPr>
      </w:pPr>
      <w:r>
        <w:rPr>
          <w:rFonts w:ascii="Verdana" w:hAnsi="Verdana"/>
          <w:sz w:val="20"/>
          <w:szCs w:val="20"/>
          <w:lang w:val="en-US"/>
        </w:rPr>
        <w:t>To ascertain true cost of production</w:t>
      </w:r>
      <w:r w:rsidR="00D372A0">
        <w:rPr>
          <w:rFonts w:ascii="Verdana" w:hAnsi="Verdana"/>
          <w:sz w:val="20"/>
          <w:szCs w:val="20"/>
          <w:lang w:val="en-US"/>
        </w:rPr>
        <w:t xml:space="preserve"> by including depreciation as an item of cost.</w:t>
      </w:r>
    </w:p>
    <w:p w:rsidR="00D372A0" w:rsidRDefault="00D372A0" w:rsidP="00021FAE">
      <w:pPr>
        <w:pStyle w:val="ListParagraph"/>
        <w:numPr>
          <w:ilvl w:val="0"/>
          <w:numId w:val="26"/>
        </w:numPr>
        <w:jc w:val="both"/>
        <w:rPr>
          <w:rFonts w:ascii="Verdana" w:hAnsi="Verdana"/>
          <w:sz w:val="20"/>
          <w:szCs w:val="20"/>
          <w:lang w:val="en-US"/>
        </w:rPr>
      </w:pPr>
      <w:r>
        <w:rPr>
          <w:rFonts w:ascii="Verdana" w:hAnsi="Verdana"/>
          <w:sz w:val="20"/>
          <w:szCs w:val="20"/>
          <w:lang w:val="en-US"/>
        </w:rPr>
        <w:t>For company form of organization, it is compulsory to charge depreciation.</w:t>
      </w:r>
    </w:p>
    <w:p w:rsidR="00D372A0" w:rsidRDefault="00D372A0" w:rsidP="00021FAE">
      <w:pPr>
        <w:pStyle w:val="ListParagraph"/>
        <w:numPr>
          <w:ilvl w:val="0"/>
          <w:numId w:val="26"/>
        </w:numPr>
        <w:jc w:val="both"/>
        <w:rPr>
          <w:rFonts w:ascii="Verdana" w:hAnsi="Verdana"/>
          <w:sz w:val="20"/>
          <w:szCs w:val="20"/>
          <w:lang w:val="en-US"/>
        </w:rPr>
      </w:pPr>
      <w:r>
        <w:rPr>
          <w:rFonts w:ascii="Verdana" w:hAnsi="Verdana"/>
          <w:sz w:val="20"/>
          <w:szCs w:val="20"/>
          <w:lang w:val="en-US"/>
        </w:rPr>
        <w:t>The amount of depreciation provision can be invested annually to provide funds for replacement of the asset at the end of its useful life.</w:t>
      </w:r>
    </w:p>
    <w:p w:rsidR="00D372A0" w:rsidRDefault="00D372A0" w:rsidP="00D372A0">
      <w:pPr>
        <w:jc w:val="both"/>
        <w:rPr>
          <w:rFonts w:ascii="Verdana" w:hAnsi="Verdana"/>
          <w:sz w:val="20"/>
          <w:szCs w:val="20"/>
          <w:lang w:val="en-US"/>
        </w:rPr>
      </w:pPr>
    </w:p>
    <w:p w:rsidR="005F113C" w:rsidRDefault="005F113C" w:rsidP="00D372A0">
      <w:pPr>
        <w:jc w:val="both"/>
        <w:rPr>
          <w:rFonts w:ascii="Verdana" w:hAnsi="Verdana"/>
          <w:b/>
          <w:sz w:val="20"/>
          <w:szCs w:val="20"/>
          <w:lang w:val="en-US"/>
        </w:rPr>
      </w:pPr>
    </w:p>
    <w:p w:rsidR="00D372A0" w:rsidRDefault="00D372A0" w:rsidP="00D372A0">
      <w:pPr>
        <w:jc w:val="both"/>
        <w:rPr>
          <w:rFonts w:ascii="Verdana" w:hAnsi="Verdana"/>
          <w:b/>
          <w:sz w:val="20"/>
          <w:szCs w:val="20"/>
          <w:lang w:val="en-US"/>
        </w:rPr>
      </w:pPr>
      <w:r>
        <w:rPr>
          <w:rFonts w:ascii="Verdana" w:hAnsi="Verdana"/>
          <w:b/>
          <w:sz w:val="20"/>
          <w:szCs w:val="20"/>
          <w:lang w:val="en-US"/>
        </w:rPr>
        <w:t>Methods of calculating depreciation:</w:t>
      </w:r>
    </w:p>
    <w:p w:rsidR="005F113C" w:rsidRDefault="005F113C" w:rsidP="00D372A0">
      <w:pPr>
        <w:jc w:val="both"/>
        <w:rPr>
          <w:rFonts w:ascii="Verdana" w:hAnsi="Verdana"/>
          <w:b/>
          <w:sz w:val="20"/>
          <w:szCs w:val="20"/>
          <w:lang w:val="en-US"/>
        </w:rPr>
      </w:pPr>
    </w:p>
    <w:p w:rsidR="00D372A0" w:rsidRDefault="00D372A0" w:rsidP="00D372A0">
      <w:pPr>
        <w:pStyle w:val="ListParagraph"/>
        <w:numPr>
          <w:ilvl w:val="0"/>
          <w:numId w:val="27"/>
        </w:numPr>
        <w:jc w:val="both"/>
        <w:rPr>
          <w:rFonts w:ascii="Verdana" w:hAnsi="Verdana"/>
          <w:sz w:val="20"/>
          <w:szCs w:val="20"/>
          <w:lang w:val="en-US"/>
        </w:rPr>
      </w:pPr>
      <w:r w:rsidRPr="00D047F0">
        <w:rPr>
          <w:rFonts w:ascii="Verdana" w:hAnsi="Verdana"/>
          <w:b/>
          <w:sz w:val="20"/>
          <w:szCs w:val="20"/>
          <w:lang w:val="en-US"/>
        </w:rPr>
        <w:t>Straight Line Method (SLM):</w:t>
      </w:r>
      <w:r>
        <w:rPr>
          <w:rFonts w:ascii="Verdana" w:hAnsi="Verdana"/>
          <w:sz w:val="20"/>
          <w:szCs w:val="20"/>
          <w:lang w:val="en-US"/>
        </w:rPr>
        <w:t xml:space="preserve"> Under SLM, a fixed and equal amount in the form of depreciation, according to a fixed percentage on the original cost, is written off during each accounting period over the expected useful life of the asset.</w:t>
      </w:r>
    </w:p>
    <w:p w:rsidR="00D047F0" w:rsidRDefault="00D047F0" w:rsidP="00D047F0">
      <w:pPr>
        <w:jc w:val="both"/>
        <w:rPr>
          <w:rFonts w:ascii="Verdana" w:hAnsi="Verdana"/>
          <w:sz w:val="20"/>
          <w:szCs w:val="20"/>
          <w:lang w:val="en-US"/>
        </w:rPr>
      </w:pPr>
    </w:p>
    <w:p w:rsidR="00D047F0" w:rsidRDefault="00D047F0" w:rsidP="00D047F0">
      <w:pPr>
        <w:ind w:firstLine="720"/>
        <w:jc w:val="both"/>
        <w:rPr>
          <w:rFonts w:ascii="Verdana" w:hAnsi="Verdana"/>
          <w:sz w:val="20"/>
          <w:szCs w:val="20"/>
          <w:lang w:val="en-US"/>
        </w:rPr>
      </w:pPr>
      <w:r>
        <w:rPr>
          <w:rFonts w:ascii="Verdana" w:hAnsi="Verdana"/>
          <w:sz w:val="20"/>
          <w:szCs w:val="20"/>
          <w:lang w:val="en-US"/>
        </w:rPr>
        <w:t>How to calculate depreciation under SLM?</w:t>
      </w:r>
    </w:p>
    <w:p w:rsidR="00D047F0" w:rsidRDefault="00D047F0" w:rsidP="00D047F0">
      <w:pPr>
        <w:ind w:firstLine="720"/>
        <w:jc w:val="both"/>
        <w:rPr>
          <w:rFonts w:ascii="Verdana" w:hAnsi="Verdana"/>
          <w:sz w:val="20"/>
          <w:szCs w:val="20"/>
          <w:lang w:val="en-US"/>
        </w:rPr>
      </w:pPr>
    </w:p>
    <w:p w:rsidR="00D047F0" w:rsidRPr="003A0FCB" w:rsidRDefault="00D047F0" w:rsidP="00D047F0">
      <w:pPr>
        <w:pStyle w:val="ListParagraph"/>
        <w:numPr>
          <w:ilvl w:val="0"/>
          <w:numId w:val="30"/>
        </w:numPr>
        <w:ind w:left="1080" w:hanging="360"/>
        <w:jc w:val="both"/>
        <w:rPr>
          <w:rFonts w:ascii="Verdana" w:hAnsi="Verdana"/>
          <w:sz w:val="22"/>
          <w:szCs w:val="20"/>
          <w:lang w:val="en-US"/>
        </w:rPr>
      </w:pPr>
      <m:oMath>
        <m:r>
          <m:rPr>
            <m:sty m:val="p"/>
          </m:rPr>
          <w:rPr>
            <w:rFonts w:ascii="Cambria Math" w:hAnsi="Cambria Math"/>
            <w:sz w:val="22"/>
            <w:szCs w:val="20"/>
            <w:lang w:val="en-US"/>
          </w:rPr>
          <m:t>Amount of depreciation</m:t>
        </m:r>
        <m:r>
          <m:rPr>
            <m:sty m:val="p"/>
          </m:rPr>
          <w:rPr>
            <w:rFonts w:ascii="Cambria Math" w:hAnsi="Cambria Math" w:cs="Cambria Math"/>
            <w:sz w:val="22"/>
            <w:szCs w:val="20"/>
            <w:lang w:val="en-US"/>
          </w:rPr>
          <m:t>=</m:t>
        </m:r>
        <m:f>
          <m:fPr>
            <m:ctrlPr>
              <w:rPr>
                <w:rFonts w:ascii="Cambria Math" w:hAnsi="Cambria Math"/>
                <w:sz w:val="22"/>
                <w:szCs w:val="20"/>
                <w:lang w:val="en-US"/>
              </w:rPr>
            </m:ctrlPr>
          </m:fPr>
          <m:num>
            <m:r>
              <m:rPr>
                <m:sty m:val="p"/>
              </m:rPr>
              <w:rPr>
                <w:rFonts w:ascii="Cambria Math" w:hAnsi="Cambria Math" w:cs="Cambria Math"/>
                <w:sz w:val="22"/>
                <w:szCs w:val="20"/>
                <w:lang w:val="en-US"/>
              </w:rPr>
              <m:t>Original cost -Residual value</m:t>
            </m:r>
          </m:num>
          <m:den>
            <m:r>
              <m:rPr>
                <m:sty m:val="p"/>
              </m:rPr>
              <w:rPr>
                <w:rFonts w:ascii="Cambria Math" w:hAnsi="Cambria Math" w:cs="Cambria Math"/>
                <w:sz w:val="22"/>
                <w:szCs w:val="20"/>
                <w:lang w:val="en-US"/>
              </w:rPr>
              <m:t>Expected useful life of the asset</m:t>
            </m:r>
          </m:den>
        </m:f>
      </m:oMath>
    </w:p>
    <w:p w:rsidR="00D047F0" w:rsidRDefault="00D047F0" w:rsidP="00D047F0">
      <w:pPr>
        <w:jc w:val="both"/>
        <w:rPr>
          <w:rFonts w:ascii="Verdana" w:hAnsi="Verdana"/>
          <w:sz w:val="20"/>
          <w:szCs w:val="20"/>
          <w:lang w:val="en-US"/>
        </w:rPr>
      </w:pPr>
    </w:p>
    <w:p w:rsidR="00D047F0" w:rsidRPr="00FF0322" w:rsidRDefault="00D047F0" w:rsidP="00D047F0">
      <w:pPr>
        <w:pStyle w:val="ListParagraph"/>
        <w:numPr>
          <w:ilvl w:val="0"/>
          <w:numId w:val="30"/>
        </w:numPr>
        <w:ind w:left="1080" w:hanging="360"/>
        <w:jc w:val="both"/>
        <w:rPr>
          <w:rFonts w:ascii="Verdana" w:hAnsi="Verdana"/>
          <w:lang w:val="en-US"/>
        </w:rPr>
      </w:pPr>
      <m:oMath>
        <m:r>
          <m:rPr>
            <m:sty m:val="p"/>
          </m:rPr>
          <w:rPr>
            <w:rFonts w:ascii="Cambria Math" w:hAnsi="Cambria Math"/>
            <w:sz w:val="22"/>
            <w:szCs w:val="20"/>
            <w:lang w:val="en-US"/>
          </w:rPr>
          <m:t>Rate of depreciation</m:t>
        </m:r>
        <m:r>
          <m:rPr>
            <m:sty m:val="p"/>
          </m:rPr>
          <w:rPr>
            <w:rFonts w:ascii="Cambria Math" w:hAnsi="Cambria Math" w:cs="Cambria Math"/>
            <w:sz w:val="22"/>
            <w:szCs w:val="20"/>
            <w:lang w:val="en-US"/>
          </w:rPr>
          <m:t>=</m:t>
        </m:r>
        <m:f>
          <m:fPr>
            <m:ctrlPr>
              <w:rPr>
                <w:rFonts w:ascii="Cambria Math" w:hAnsi="Cambria Math"/>
                <w:sz w:val="22"/>
                <w:szCs w:val="20"/>
                <w:lang w:val="en-US"/>
              </w:rPr>
            </m:ctrlPr>
          </m:fPr>
          <m:num>
            <m:r>
              <m:rPr>
                <m:sty m:val="p"/>
              </m:rPr>
              <w:rPr>
                <w:rFonts w:ascii="Cambria Math" w:hAnsi="Cambria Math" w:cs="Cambria Math"/>
                <w:sz w:val="22"/>
                <w:szCs w:val="20"/>
                <w:lang w:val="en-US"/>
              </w:rPr>
              <m:t>Amount of depreciation</m:t>
            </m:r>
          </m:num>
          <m:den>
            <m:r>
              <m:rPr>
                <m:sty m:val="p"/>
              </m:rPr>
              <w:rPr>
                <w:rFonts w:ascii="Cambria Math" w:hAnsi="Cambria Math" w:cs="Cambria Math"/>
                <w:sz w:val="22"/>
                <w:szCs w:val="20"/>
                <w:lang w:val="en-US"/>
              </w:rPr>
              <m:t>Original cost of the asset</m:t>
            </m:r>
          </m:den>
        </m:f>
        <m:r>
          <m:rPr>
            <m:sty m:val="p"/>
          </m:rPr>
          <w:rPr>
            <w:rFonts w:ascii="Cambria Math" w:hAnsi="Cambria Math"/>
            <w:sz w:val="22"/>
            <w:szCs w:val="20"/>
            <w:lang w:val="en-US"/>
          </w:rPr>
          <m:t xml:space="preserve"> x 100</m:t>
        </m:r>
      </m:oMath>
    </w:p>
    <w:p w:rsidR="00FF0322" w:rsidRPr="00FF0322" w:rsidRDefault="00FF0322" w:rsidP="00FF0322">
      <w:pPr>
        <w:pStyle w:val="ListParagraph"/>
        <w:rPr>
          <w:rFonts w:ascii="Verdana" w:hAnsi="Verdana"/>
          <w:lang w:val="en-US"/>
        </w:rPr>
      </w:pPr>
    </w:p>
    <w:p w:rsidR="00FF0322" w:rsidRPr="00AE7BDA" w:rsidRDefault="00AE7BDA" w:rsidP="00FF0322">
      <w:pPr>
        <w:jc w:val="both"/>
        <w:rPr>
          <w:rFonts w:ascii="Verdana" w:hAnsi="Verdana"/>
          <w:b/>
          <w:sz w:val="20"/>
          <w:szCs w:val="20"/>
          <w:lang w:val="en-US"/>
        </w:rPr>
      </w:pPr>
      <w:r w:rsidRPr="00AE7BDA">
        <w:rPr>
          <w:rFonts w:ascii="Verdana" w:hAnsi="Verdana"/>
          <w:b/>
          <w:sz w:val="20"/>
          <w:szCs w:val="20"/>
          <w:lang w:val="en-US"/>
        </w:rPr>
        <w:t>I</w:t>
      </w:r>
      <w:r w:rsidR="00FF0322" w:rsidRPr="00AE7BDA">
        <w:rPr>
          <w:rFonts w:ascii="Verdana" w:hAnsi="Verdana"/>
          <w:b/>
          <w:sz w:val="20"/>
          <w:szCs w:val="20"/>
          <w:lang w:val="en-US"/>
        </w:rPr>
        <w:t>llustration:</w:t>
      </w:r>
    </w:p>
    <w:p w:rsidR="00FF0322" w:rsidRDefault="00FF0322" w:rsidP="00FF0322">
      <w:pPr>
        <w:jc w:val="both"/>
        <w:rPr>
          <w:rFonts w:ascii="Verdana" w:hAnsi="Verdana"/>
          <w:sz w:val="20"/>
          <w:szCs w:val="20"/>
          <w:lang w:val="en-US"/>
        </w:rPr>
      </w:pPr>
      <w:r>
        <w:rPr>
          <w:rFonts w:ascii="Verdana" w:hAnsi="Verdana"/>
          <w:sz w:val="20"/>
          <w:szCs w:val="20"/>
          <w:lang w:val="en-US"/>
        </w:rPr>
        <w:t>Original cost of the asset Rs. 1,00,000; residual value (or salvage value) Rs. 20,000; expected life of the asset</w:t>
      </w:r>
      <w:r w:rsidR="00EB2FDB">
        <w:rPr>
          <w:rFonts w:ascii="Verdana" w:hAnsi="Verdana"/>
          <w:sz w:val="20"/>
          <w:szCs w:val="20"/>
          <w:lang w:val="en-US"/>
        </w:rPr>
        <w:t xml:space="preserve"> 5 years.</w:t>
      </w:r>
    </w:p>
    <w:p w:rsidR="00EB2FDB" w:rsidRDefault="00EB2FDB" w:rsidP="00FF0322">
      <w:pPr>
        <w:jc w:val="both"/>
        <w:rPr>
          <w:rFonts w:ascii="Verdana" w:hAnsi="Verdana"/>
          <w:sz w:val="20"/>
          <w:szCs w:val="20"/>
          <w:lang w:val="en-US"/>
        </w:rPr>
      </w:pPr>
    </w:p>
    <w:p w:rsidR="00EB2FDB" w:rsidRPr="00EB2FDB" w:rsidRDefault="00EB2FDB" w:rsidP="00FF0322">
      <w:pPr>
        <w:jc w:val="both"/>
        <w:rPr>
          <w:rFonts w:ascii="Verdana" w:hAnsi="Verdana"/>
          <w:sz w:val="20"/>
          <w:szCs w:val="20"/>
          <w:lang w:val="en-US"/>
        </w:rPr>
      </w:pPr>
      <w:r>
        <w:rPr>
          <w:rFonts w:ascii="Verdana" w:hAnsi="Verdana"/>
          <w:sz w:val="20"/>
          <w:szCs w:val="20"/>
          <w:lang w:val="en-US"/>
        </w:rPr>
        <w:t xml:space="preserve">Amount of depreciation = </w:t>
      </w:r>
      <w:r w:rsidRPr="00EB2FDB">
        <w:rPr>
          <w:rFonts w:ascii="Verdana" w:hAnsi="Verdana"/>
          <w:sz w:val="20"/>
          <w:szCs w:val="20"/>
          <w:u w:val="single"/>
          <w:lang w:val="en-US"/>
        </w:rPr>
        <w:t>Rs. 1,00,000 – Rs. 20,000</w:t>
      </w:r>
      <w:r>
        <w:rPr>
          <w:rFonts w:ascii="Verdana" w:hAnsi="Verdana"/>
          <w:sz w:val="20"/>
          <w:szCs w:val="20"/>
          <w:lang w:val="en-US"/>
        </w:rPr>
        <w:t xml:space="preserve">  = Rs. 16,000</w:t>
      </w:r>
    </w:p>
    <w:p w:rsidR="00EB2FDB" w:rsidRDefault="00EB2FDB" w:rsidP="00FF0322">
      <w:pPr>
        <w:jc w:val="both"/>
        <w:rPr>
          <w:rFonts w:ascii="Verdana" w:hAnsi="Verdana"/>
          <w:sz w:val="20"/>
          <w:szCs w:val="20"/>
          <w:lang w:val="en-US"/>
        </w:rPr>
      </w:pP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t>5 years</w:t>
      </w:r>
    </w:p>
    <w:p w:rsidR="00EB2FDB" w:rsidRDefault="00EB2FDB" w:rsidP="00FF0322">
      <w:pPr>
        <w:jc w:val="both"/>
        <w:rPr>
          <w:rFonts w:ascii="Verdana" w:hAnsi="Verdana"/>
          <w:sz w:val="20"/>
          <w:szCs w:val="20"/>
          <w:lang w:val="en-US"/>
        </w:rPr>
      </w:pPr>
    </w:p>
    <w:p w:rsidR="00EB2FDB" w:rsidRPr="00EB2FDB" w:rsidRDefault="00EB2FDB" w:rsidP="00FF0322">
      <w:pPr>
        <w:jc w:val="both"/>
        <w:rPr>
          <w:rFonts w:ascii="Verdana" w:hAnsi="Verdana"/>
          <w:sz w:val="20"/>
          <w:szCs w:val="20"/>
          <w:lang w:val="en-US"/>
        </w:rPr>
      </w:pPr>
      <w:r>
        <w:rPr>
          <w:rFonts w:ascii="Verdana" w:hAnsi="Verdana"/>
          <w:sz w:val="20"/>
          <w:szCs w:val="20"/>
          <w:lang w:val="en-US"/>
        </w:rPr>
        <w:t>Rate of depreciation =</w:t>
      </w:r>
      <w:r w:rsidRPr="00EB2FDB">
        <w:rPr>
          <w:rFonts w:ascii="Verdana" w:hAnsi="Verdana"/>
          <w:sz w:val="20"/>
          <w:szCs w:val="20"/>
          <w:u w:val="single"/>
          <w:lang w:val="en-US"/>
        </w:rPr>
        <w:t xml:space="preserve">   Rs. 16,000</w:t>
      </w:r>
      <w:r>
        <w:rPr>
          <w:rFonts w:ascii="Verdana" w:hAnsi="Verdana"/>
          <w:sz w:val="20"/>
          <w:szCs w:val="20"/>
          <w:u w:val="single"/>
          <w:lang w:val="en-US"/>
        </w:rPr>
        <w:t xml:space="preserve"> </w:t>
      </w:r>
      <w:r>
        <w:rPr>
          <w:rFonts w:ascii="Verdana" w:hAnsi="Verdana"/>
          <w:sz w:val="20"/>
          <w:szCs w:val="20"/>
          <w:lang w:val="en-US"/>
        </w:rPr>
        <w:t xml:space="preserve"> x 100  = 16% per year</w:t>
      </w:r>
    </w:p>
    <w:p w:rsidR="00EB2FDB" w:rsidRDefault="00EB2FDB" w:rsidP="00FF0322">
      <w:pPr>
        <w:jc w:val="both"/>
        <w:rPr>
          <w:rFonts w:ascii="Verdana" w:hAnsi="Verdana"/>
          <w:sz w:val="20"/>
          <w:szCs w:val="20"/>
          <w:lang w:val="en-US"/>
        </w:rPr>
      </w:pPr>
      <w:r>
        <w:rPr>
          <w:rFonts w:ascii="Verdana" w:hAnsi="Verdana"/>
          <w:sz w:val="20"/>
          <w:szCs w:val="20"/>
          <w:lang w:val="en-US"/>
        </w:rPr>
        <w:tab/>
      </w:r>
      <w:r>
        <w:rPr>
          <w:rFonts w:ascii="Verdana" w:hAnsi="Verdana"/>
          <w:sz w:val="20"/>
          <w:szCs w:val="20"/>
          <w:lang w:val="en-US"/>
        </w:rPr>
        <w:tab/>
      </w:r>
      <w:r>
        <w:rPr>
          <w:rFonts w:ascii="Verdana" w:hAnsi="Verdana"/>
          <w:sz w:val="20"/>
          <w:szCs w:val="20"/>
          <w:lang w:val="en-US"/>
        </w:rPr>
        <w:tab/>
        <w:t xml:space="preserve">  Rs. 1,00,000</w:t>
      </w:r>
    </w:p>
    <w:p w:rsidR="00FF6850" w:rsidRDefault="00FF6850" w:rsidP="00FF0322">
      <w:pPr>
        <w:jc w:val="both"/>
        <w:rPr>
          <w:rFonts w:ascii="Verdana" w:hAnsi="Verdana"/>
          <w:sz w:val="20"/>
          <w:szCs w:val="20"/>
          <w:lang w:val="en-US"/>
        </w:rPr>
      </w:pPr>
    </w:p>
    <w:p w:rsidR="00FF6850" w:rsidRDefault="00FF6850" w:rsidP="00FF0322">
      <w:pPr>
        <w:jc w:val="both"/>
        <w:rPr>
          <w:rFonts w:ascii="Verdana" w:hAnsi="Verdana"/>
          <w:sz w:val="20"/>
          <w:szCs w:val="20"/>
          <w:lang w:val="en-US"/>
        </w:rPr>
      </w:pPr>
    </w:p>
    <w:p w:rsidR="003A3FB7" w:rsidRDefault="003A3FB7" w:rsidP="00FF0322">
      <w:pPr>
        <w:jc w:val="both"/>
        <w:rPr>
          <w:rFonts w:ascii="Verdana" w:hAnsi="Verdana"/>
          <w:b/>
          <w:sz w:val="20"/>
          <w:szCs w:val="20"/>
          <w:lang w:val="en-US"/>
        </w:rPr>
      </w:pPr>
    </w:p>
    <w:p w:rsidR="00FF6850" w:rsidRDefault="00FF6850" w:rsidP="00FF0322">
      <w:pPr>
        <w:jc w:val="both"/>
        <w:rPr>
          <w:rFonts w:ascii="Verdana" w:hAnsi="Verdana"/>
          <w:b/>
          <w:sz w:val="20"/>
          <w:szCs w:val="20"/>
          <w:lang w:val="en-US"/>
        </w:rPr>
      </w:pPr>
      <w:r w:rsidRPr="00AE7BDA">
        <w:rPr>
          <w:rFonts w:ascii="Verdana" w:hAnsi="Verdana"/>
          <w:b/>
          <w:sz w:val="20"/>
          <w:szCs w:val="20"/>
          <w:lang w:val="en-US"/>
        </w:rPr>
        <w:lastRenderedPageBreak/>
        <w:t xml:space="preserve">Calculation of depreciation and book value over the life of the asset </w:t>
      </w:r>
      <w:r w:rsidR="00F7213A">
        <w:rPr>
          <w:rFonts w:ascii="Verdana" w:hAnsi="Verdana"/>
          <w:b/>
          <w:sz w:val="20"/>
          <w:szCs w:val="20"/>
          <w:lang w:val="en-US"/>
        </w:rPr>
        <w:t>under SLM</w:t>
      </w:r>
    </w:p>
    <w:p w:rsidR="00F7213A" w:rsidRDefault="00F7213A" w:rsidP="00FF0322">
      <w:pPr>
        <w:jc w:val="both"/>
        <w:rPr>
          <w:rFonts w:ascii="Verdana" w:hAnsi="Verdana"/>
          <w:sz w:val="20"/>
          <w:szCs w:val="20"/>
          <w:lang w:val="en-US"/>
        </w:rPr>
      </w:pPr>
    </w:p>
    <w:tbl>
      <w:tblPr>
        <w:tblStyle w:val="TableGrid"/>
        <w:tblW w:w="0" w:type="auto"/>
        <w:tblLook w:val="04A0"/>
      </w:tblPr>
      <w:tblGrid>
        <w:gridCol w:w="5238"/>
        <w:gridCol w:w="1710"/>
      </w:tblGrid>
      <w:tr w:rsidR="00FF6850" w:rsidTr="00AE7BDA">
        <w:tc>
          <w:tcPr>
            <w:tcW w:w="5238" w:type="dxa"/>
          </w:tcPr>
          <w:p w:rsidR="00FF6850" w:rsidRDefault="00FF6850" w:rsidP="00FF6850">
            <w:pPr>
              <w:ind w:left="630"/>
              <w:jc w:val="both"/>
              <w:rPr>
                <w:rFonts w:ascii="Verdana" w:hAnsi="Verdana"/>
                <w:sz w:val="20"/>
                <w:szCs w:val="20"/>
                <w:lang w:val="en-US"/>
              </w:rPr>
            </w:pPr>
            <w:r>
              <w:rPr>
                <w:rFonts w:ascii="Verdana" w:hAnsi="Verdana"/>
                <w:sz w:val="20"/>
                <w:szCs w:val="20"/>
                <w:lang w:val="en-US"/>
              </w:rPr>
              <w:t>Original cost</w:t>
            </w:r>
          </w:p>
        </w:tc>
        <w:tc>
          <w:tcPr>
            <w:tcW w:w="1710" w:type="dxa"/>
          </w:tcPr>
          <w:p w:rsidR="00FF6850" w:rsidRDefault="00FF6850" w:rsidP="00FF0322">
            <w:pPr>
              <w:jc w:val="both"/>
              <w:rPr>
                <w:rFonts w:ascii="Verdana" w:hAnsi="Verdana"/>
                <w:sz w:val="20"/>
                <w:szCs w:val="20"/>
                <w:lang w:val="en-US"/>
              </w:rPr>
            </w:pPr>
            <w:r>
              <w:rPr>
                <w:rFonts w:ascii="Verdana" w:hAnsi="Verdana"/>
                <w:sz w:val="20"/>
                <w:szCs w:val="20"/>
                <w:lang w:val="en-US"/>
              </w:rPr>
              <w:t>Rs. 1,00,000</w:t>
            </w:r>
          </w:p>
        </w:tc>
      </w:tr>
      <w:tr w:rsidR="00FF6850" w:rsidTr="00AE7BDA">
        <w:tc>
          <w:tcPr>
            <w:tcW w:w="5238" w:type="dxa"/>
          </w:tcPr>
          <w:p w:rsidR="00FF6850" w:rsidRDefault="00FF6850" w:rsidP="00FF0322">
            <w:pPr>
              <w:jc w:val="both"/>
              <w:rPr>
                <w:rFonts w:ascii="Verdana" w:hAnsi="Verdana"/>
                <w:sz w:val="20"/>
                <w:szCs w:val="20"/>
                <w:lang w:val="en-US"/>
              </w:rPr>
            </w:pPr>
            <w:r>
              <w:rPr>
                <w:rFonts w:ascii="Verdana" w:hAnsi="Verdana"/>
                <w:sz w:val="20"/>
                <w:szCs w:val="20"/>
                <w:lang w:val="en-US"/>
              </w:rPr>
              <w:t>Less: Depreciation at the end of Year 1</w:t>
            </w:r>
          </w:p>
        </w:tc>
        <w:tc>
          <w:tcPr>
            <w:tcW w:w="1710" w:type="dxa"/>
          </w:tcPr>
          <w:p w:rsidR="00FF6850" w:rsidRDefault="00FF6850" w:rsidP="00FF0322">
            <w:pPr>
              <w:jc w:val="both"/>
              <w:rPr>
                <w:rFonts w:ascii="Verdana" w:hAnsi="Verdana"/>
                <w:sz w:val="20"/>
                <w:szCs w:val="20"/>
                <w:lang w:val="en-US"/>
              </w:rPr>
            </w:pPr>
            <w:r>
              <w:rPr>
                <w:rFonts w:ascii="Verdana" w:hAnsi="Verdana"/>
                <w:sz w:val="20"/>
                <w:szCs w:val="20"/>
                <w:lang w:val="en-US"/>
              </w:rPr>
              <w:t>Rs.   16,000</w:t>
            </w:r>
          </w:p>
        </w:tc>
      </w:tr>
      <w:tr w:rsidR="00FF6850" w:rsidTr="00AE7BDA">
        <w:tc>
          <w:tcPr>
            <w:tcW w:w="5238" w:type="dxa"/>
          </w:tcPr>
          <w:p w:rsidR="00FF6850" w:rsidRDefault="00FF6850" w:rsidP="00FF6850">
            <w:pPr>
              <w:ind w:left="630"/>
              <w:jc w:val="both"/>
              <w:rPr>
                <w:rFonts w:ascii="Verdana" w:hAnsi="Verdana"/>
                <w:sz w:val="20"/>
                <w:szCs w:val="20"/>
                <w:lang w:val="en-US"/>
              </w:rPr>
            </w:pPr>
            <w:r>
              <w:rPr>
                <w:rFonts w:ascii="Verdana" w:hAnsi="Verdana"/>
                <w:sz w:val="20"/>
                <w:szCs w:val="20"/>
                <w:lang w:val="en-US"/>
              </w:rPr>
              <w:t>Book Value at the beginning of Year 2</w:t>
            </w:r>
          </w:p>
        </w:tc>
        <w:tc>
          <w:tcPr>
            <w:tcW w:w="1710" w:type="dxa"/>
          </w:tcPr>
          <w:p w:rsidR="00FF6850" w:rsidRDefault="00FF6850" w:rsidP="00FF0322">
            <w:pPr>
              <w:jc w:val="both"/>
              <w:rPr>
                <w:rFonts w:ascii="Verdana" w:hAnsi="Verdana"/>
                <w:sz w:val="20"/>
                <w:szCs w:val="20"/>
                <w:lang w:val="en-US"/>
              </w:rPr>
            </w:pPr>
            <w:r>
              <w:rPr>
                <w:rFonts w:ascii="Verdana" w:hAnsi="Verdana"/>
                <w:sz w:val="20"/>
                <w:szCs w:val="20"/>
                <w:lang w:val="en-US"/>
              </w:rPr>
              <w:t>Rs.   84,000</w:t>
            </w:r>
          </w:p>
        </w:tc>
      </w:tr>
      <w:tr w:rsidR="006A7502" w:rsidTr="00AE7BDA">
        <w:tc>
          <w:tcPr>
            <w:tcW w:w="5238" w:type="dxa"/>
          </w:tcPr>
          <w:p w:rsidR="006A7502" w:rsidRDefault="006A7502" w:rsidP="00E83285">
            <w:pPr>
              <w:jc w:val="both"/>
              <w:rPr>
                <w:rFonts w:ascii="Verdana" w:hAnsi="Verdana"/>
                <w:sz w:val="20"/>
                <w:szCs w:val="20"/>
                <w:lang w:val="en-US"/>
              </w:rPr>
            </w:pPr>
            <w:r>
              <w:rPr>
                <w:rFonts w:ascii="Verdana" w:hAnsi="Verdana"/>
                <w:sz w:val="20"/>
                <w:szCs w:val="20"/>
                <w:lang w:val="en-US"/>
              </w:rPr>
              <w:t xml:space="preserve">Less: Depreciation at the end of Year </w:t>
            </w:r>
            <w:r>
              <w:rPr>
                <w:rFonts w:ascii="Verdana" w:hAnsi="Verdana"/>
                <w:sz w:val="20"/>
                <w:szCs w:val="20"/>
                <w:lang w:val="en-US"/>
              </w:rPr>
              <w:t>2</w:t>
            </w:r>
          </w:p>
        </w:tc>
        <w:tc>
          <w:tcPr>
            <w:tcW w:w="1710" w:type="dxa"/>
          </w:tcPr>
          <w:p w:rsidR="006A7502" w:rsidRDefault="006A7502" w:rsidP="00E83285">
            <w:pPr>
              <w:jc w:val="both"/>
              <w:rPr>
                <w:rFonts w:ascii="Verdana" w:hAnsi="Verdana"/>
                <w:sz w:val="20"/>
                <w:szCs w:val="20"/>
                <w:lang w:val="en-US"/>
              </w:rPr>
            </w:pPr>
            <w:r>
              <w:rPr>
                <w:rFonts w:ascii="Verdana" w:hAnsi="Verdana"/>
                <w:sz w:val="20"/>
                <w:szCs w:val="20"/>
                <w:lang w:val="en-US"/>
              </w:rPr>
              <w:t>Rs.   16,000</w:t>
            </w:r>
          </w:p>
        </w:tc>
      </w:tr>
      <w:tr w:rsidR="006A7502" w:rsidTr="00AE7BDA">
        <w:tc>
          <w:tcPr>
            <w:tcW w:w="5238" w:type="dxa"/>
          </w:tcPr>
          <w:p w:rsidR="006A7502" w:rsidRDefault="006A7502" w:rsidP="00E83285">
            <w:pPr>
              <w:ind w:left="630"/>
              <w:jc w:val="both"/>
              <w:rPr>
                <w:rFonts w:ascii="Verdana" w:hAnsi="Verdana"/>
                <w:sz w:val="20"/>
                <w:szCs w:val="20"/>
                <w:lang w:val="en-US"/>
              </w:rPr>
            </w:pPr>
            <w:r>
              <w:rPr>
                <w:rFonts w:ascii="Verdana" w:hAnsi="Verdana"/>
                <w:sz w:val="20"/>
                <w:szCs w:val="20"/>
                <w:lang w:val="en-US"/>
              </w:rPr>
              <w:t xml:space="preserve">Book Value at the beginning of Year </w:t>
            </w:r>
            <w:r>
              <w:rPr>
                <w:rFonts w:ascii="Verdana" w:hAnsi="Verdana"/>
                <w:sz w:val="20"/>
                <w:szCs w:val="20"/>
                <w:lang w:val="en-US"/>
              </w:rPr>
              <w:t>3</w:t>
            </w:r>
          </w:p>
        </w:tc>
        <w:tc>
          <w:tcPr>
            <w:tcW w:w="1710" w:type="dxa"/>
          </w:tcPr>
          <w:p w:rsidR="006A7502" w:rsidRDefault="006A7502" w:rsidP="006A7502">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6</w:t>
            </w:r>
            <w:r>
              <w:rPr>
                <w:rFonts w:ascii="Verdana" w:hAnsi="Verdana"/>
                <w:sz w:val="20"/>
                <w:szCs w:val="20"/>
                <w:lang w:val="en-US"/>
              </w:rPr>
              <w:t>8,000</w:t>
            </w:r>
          </w:p>
        </w:tc>
      </w:tr>
      <w:tr w:rsidR="006A7502" w:rsidTr="00AE7BDA">
        <w:tc>
          <w:tcPr>
            <w:tcW w:w="5238" w:type="dxa"/>
          </w:tcPr>
          <w:p w:rsidR="006A7502" w:rsidRDefault="006A7502" w:rsidP="00E83285">
            <w:pPr>
              <w:jc w:val="both"/>
              <w:rPr>
                <w:rFonts w:ascii="Verdana" w:hAnsi="Verdana"/>
                <w:sz w:val="20"/>
                <w:szCs w:val="20"/>
                <w:lang w:val="en-US"/>
              </w:rPr>
            </w:pPr>
            <w:r>
              <w:rPr>
                <w:rFonts w:ascii="Verdana" w:hAnsi="Verdana"/>
                <w:sz w:val="20"/>
                <w:szCs w:val="20"/>
                <w:lang w:val="en-US"/>
              </w:rPr>
              <w:t xml:space="preserve">Less: Depreciation at the end of Year </w:t>
            </w:r>
            <w:r>
              <w:rPr>
                <w:rFonts w:ascii="Verdana" w:hAnsi="Verdana"/>
                <w:sz w:val="20"/>
                <w:szCs w:val="20"/>
                <w:lang w:val="en-US"/>
              </w:rPr>
              <w:t>3</w:t>
            </w:r>
          </w:p>
        </w:tc>
        <w:tc>
          <w:tcPr>
            <w:tcW w:w="1710" w:type="dxa"/>
          </w:tcPr>
          <w:p w:rsidR="006A7502" w:rsidRDefault="006A7502" w:rsidP="00E83285">
            <w:pPr>
              <w:jc w:val="both"/>
              <w:rPr>
                <w:rFonts w:ascii="Verdana" w:hAnsi="Verdana"/>
                <w:sz w:val="20"/>
                <w:szCs w:val="20"/>
                <w:lang w:val="en-US"/>
              </w:rPr>
            </w:pPr>
            <w:r>
              <w:rPr>
                <w:rFonts w:ascii="Verdana" w:hAnsi="Verdana"/>
                <w:sz w:val="20"/>
                <w:szCs w:val="20"/>
                <w:lang w:val="en-US"/>
              </w:rPr>
              <w:t>Rs.   16,000</w:t>
            </w:r>
          </w:p>
        </w:tc>
      </w:tr>
      <w:tr w:rsidR="006A7502" w:rsidTr="00AE7BDA">
        <w:tc>
          <w:tcPr>
            <w:tcW w:w="5238" w:type="dxa"/>
          </w:tcPr>
          <w:p w:rsidR="006A7502" w:rsidRDefault="006A7502" w:rsidP="00E83285">
            <w:pPr>
              <w:ind w:left="630"/>
              <w:jc w:val="both"/>
              <w:rPr>
                <w:rFonts w:ascii="Verdana" w:hAnsi="Verdana"/>
                <w:sz w:val="20"/>
                <w:szCs w:val="20"/>
                <w:lang w:val="en-US"/>
              </w:rPr>
            </w:pPr>
            <w:r>
              <w:rPr>
                <w:rFonts w:ascii="Verdana" w:hAnsi="Verdana"/>
                <w:sz w:val="20"/>
                <w:szCs w:val="20"/>
                <w:lang w:val="en-US"/>
              </w:rPr>
              <w:t xml:space="preserve">Book Value at the beginning of Year </w:t>
            </w:r>
            <w:r>
              <w:rPr>
                <w:rFonts w:ascii="Verdana" w:hAnsi="Verdana"/>
                <w:sz w:val="20"/>
                <w:szCs w:val="20"/>
                <w:lang w:val="en-US"/>
              </w:rPr>
              <w:t>4</w:t>
            </w:r>
          </w:p>
        </w:tc>
        <w:tc>
          <w:tcPr>
            <w:tcW w:w="1710" w:type="dxa"/>
          </w:tcPr>
          <w:p w:rsidR="006A7502" w:rsidRDefault="006A7502" w:rsidP="006A7502">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52</w:t>
            </w:r>
            <w:r>
              <w:rPr>
                <w:rFonts w:ascii="Verdana" w:hAnsi="Verdana"/>
                <w:sz w:val="20"/>
                <w:szCs w:val="20"/>
                <w:lang w:val="en-US"/>
              </w:rPr>
              <w:t>,000</w:t>
            </w:r>
          </w:p>
        </w:tc>
      </w:tr>
      <w:tr w:rsidR="006A7502" w:rsidTr="00AE7BDA">
        <w:tc>
          <w:tcPr>
            <w:tcW w:w="5238" w:type="dxa"/>
          </w:tcPr>
          <w:p w:rsidR="006A7502" w:rsidRDefault="006A7502" w:rsidP="00E83285">
            <w:pPr>
              <w:jc w:val="both"/>
              <w:rPr>
                <w:rFonts w:ascii="Verdana" w:hAnsi="Verdana"/>
                <w:sz w:val="20"/>
                <w:szCs w:val="20"/>
                <w:lang w:val="en-US"/>
              </w:rPr>
            </w:pPr>
            <w:r>
              <w:rPr>
                <w:rFonts w:ascii="Verdana" w:hAnsi="Verdana"/>
                <w:sz w:val="20"/>
                <w:szCs w:val="20"/>
                <w:lang w:val="en-US"/>
              </w:rPr>
              <w:t xml:space="preserve">Less: Depreciation at the end of Year </w:t>
            </w:r>
            <w:r>
              <w:rPr>
                <w:rFonts w:ascii="Verdana" w:hAnsi="Verdana"/>
                <w:sz w:val="20"/>
                <w:szCs w:val="20"/>
                <w:lang w:val="en-US"/>
              </w:rPr>
              <w:t>4</w:t>
            </w:r>
          </w:p>
        </w:tc>
        <w:tc>
          <w:tcPr>
            <w:tcW w:w="1710" w:type="dxa"/>
          </w:tcPr>
          <w:p w:rsidR="006A7502" w:rsidRDefault="006A7502" w:rsidP="00E83285">
            <w:pPr>
              <w:jc w:val="both"/>
              <w:rPr>
                <w:rFonts w:ascii="Verdana" w:hAnsi="Verdana"/>
                <w:sz w:val="20"/>
                <w:szCs w:val="20"/>
                <w:lang w:val="en-US"/>
              </w:rPr>
            </w:pPr>
            <w:r>
              <w:rPr>
                <w:rFonts w:ascii="Verdana" w:hAnsi="Verdana"/>
                <w:sz w:val="20"/>
                <w:szCs w:val="20"/>
                <w:lang w:val="en-US"/>
              </w:rPr>
              <w:t>Rs.   16,000</w:t>
            </w:r>
          </w:p>
        </w:tc>
      </w:tr>
      <w:tr w:rsidR="006A7502" w:rsidTr="00AE7BDA">
        <w:tc>
          <w:tcPr>
            <w:tcW w:w="5238" w:type="dxa"/>
          </w:tcPr>
          <w:p w:rsidR="006A7502" w:rsidRDefault="006A7502" w:rsidP="00E83285">
            <w:pPr>
              <w:ind w:left="630"/>
              <w:jc w:val="both"/>
              <w:rPr>
                <w:rFonts w:ascii="Verdana" w:hAnsi="Verdana"/>
                <w:sz w:val="20"/>
                <w:szCs w:val="20"/>
                <w:lang w:val="en-US"/>
              </w:rPr>
            </w:pPr>
            <w:r>
              <w:rPr>
                <w:rFonts w:ascii="Verdana" w:hAnsi="Verdana"/>
                <w:sz w:val="20"/>
                <w:szCs w:val="20"/>
                <w:lang w:val="en-US"/>
              </w:rPr>
              <w:t xml:space="preserve">Book Value at the beginning of Year </w:t>
            </w:r>
            <w:r>
              <w:rPr>
                <w:rFonts w:ascii="Verdana" w:hAnsi="Verdana"/>
                <w:sz w:val="20"/>
                <w:szCs w:val="20"/>
                <w:lang w:val="en-US"/>
              </w:rPr>
              <w:t>5</w:t>
            </w:r>
          </w:p>
        </w:tc>
        <w:tc>
          <w:tcPr>
            <w:tcW w:w="1710" w:type="dxa"/>
          </w:tcPr>
          <w:p w:rsidR="006A7502" w:rsidRDefault="006A7502" w:rsidP="006A7502">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36</w:t>
            </w:r>
            <w:r>
              <w:rPr>
                <w:rFonts w:ascii="Verdana" w:hAnsi="Verdana"/>
                <w:sz w:val="20"/>
                <w:szCs w:val="20"/>
                <w:lang w:val="en-US"/>
              </w:rPr>
              <w:t>,000</w:t>
            </w:r>
          </w:p>
        </w:tc>
      </w:tr>
      <w:tr w:rsidR="006A7502" w:rsidTr="00AE7BDA">
        <w:tc>
          <w:tcPr>
            <w:tcW w:w="5238" w:type="dxa"/>
          </w:tcPr>
          <w:p w:rsidR="006A7502" w:rsidRDefault="006A7502" w:rsidP="00E83285">
            <w:pPr>
              <w:jc w:val="both"/>
              <w:rPr>
                <w:rFonts w:ascii="Verdana" w:hAnsi="Verdana"/>
                <w:sz w:val="20"/>
                <w:szCs w:val="20"/>
                <w:lang w:val="en-US"/>
              </w:rPr>
            </w:pPr>
            <w:r>
              <w:rPr>
                <w:rFonts w:ascii="Verdana" w:hAnsi="Verdana"/>
                <w:sz w:val="20"/>
                <w:szCs w:val="20"/>
                <w:lang w:val="en-US"/>
              </w:rPr>
              <w:t xml:space="preserve">Less: Depreciation at the end of Year </w:t>
            </w:r>
            <w:r>
              <w:rPr>
                <w:rFonts w:ascii="Verdana" w:hAnsi="Verdana"/>
                <w:sz w:val="20"/>
                <w:szCs w:val="20"/>
                <w:lang w:val="en-US"/>
              </w:rPr>
              <w:t>5</w:t>
            </w:r>
          </w:p>
        </w:tc>
        <w:tc>
          <w:tcPr>
            <w:tcW w:w="1710" w:type="dxa"/>
          </w:tcPr>
          <w:p w:rsidR="006A7502" w:rsidRDefault="006A7502" w:rsidP="00E83285">
            <w:pPr>
              <w:jc w:val="both"/>
              <w:rPr>
                <w:rFonts w:ascii="Verdana" w:hAnsi="Verdana"/>
                <w:sz w:val="20"/>
                <w:szCs w:val="20"/>
                <w:lang w:val="en-US"/>
              </w:rPr>
            </w:pPr>
            <w:r>
              <w:rPr>
                <w:rFonts w:ascii="Verdana" w:hAnsi="Verdana"/>
                <w:sz w:val="20"/>
                <w:szCs w:val="20"/>
                <w:lang w:val="en-US"/>
              </w:rPr>
              <w:t>Rs.   16,000</w:t>
            </w:r>
          </w:p>
        </w:tc>
      </w:tr>
      <w:tr w:rsidR="006A7502" w:rsidTr="00AE7BDA">
        <w:tc>
          <w:tcPr>
            <w:tcW w:w="5238" w:type="dxa"/>
          </w:tcPr>
          <w:p w:rsidR="006A7502" w:rsidRDefault="006A7502" w:rsidP="00980F22">
            <w:pPr>
              <w:ind w:left="630"/>
              <w:jc w:val="both"/>
              <w:rPr>
                <w:rFonts w:ascii="Verdana" w:hAnsi="Verdana"/>
                <w:sz w:val="20"/>
                <w:szCs w:val="20"/>
                <w:lang w:val="en-US"/>
              </w:rPr>
            </w:pPr>
            <w:r>
              <w:rPr>
                <w:rFonts w:ascii="Verdana" w:hAnsi="Verdana"/>
                <w:sz w:val="20"/>
                <w:szCs w:val="20"/>
                <w:lang w:val="en-US"/>
              </w:rPr>
              <w:t xml:space="preserve">Book Value at the </w:t>
            </w:r>
            <w:r w:rsidR="00980F22">
              <w:rPr>
                <w:rFonts w:ascii="Verdana" w:hAnsi="Verdana"/>
                <w:sz w:val="20"/>
                <w:szCs w:val="20"/>
                <w:lang w:val="en-US"/>
              </w:rPr>
              <w:t>end</w:t>
            </w:r>
            <w:r>
              <w:rPr>
                <w:rFonts w:ascii="Verdana" w:hAnsi="Verdana"/>
                <w:sz w:val="20"/>
                <w:szCs w:val="20"/>
                <w:lang w:val="en-US"/>
              </w:rPr>
              <w:t xml:space="preserve"> of Year </w:t>
            </w:r>
            <w:r>
              <w:rPr>
                <w:rFonts w:ascii="Verdana" w:hAnsi="Verdana"/>
                <w:sz w:val="20"/>
                <w:szCs w:val="20"/>
                <w:lang w:val="en-US"/>
              </w:rPr>
              <w:t>5</w:t>
            </w:r>
          </w:p>
        </w:tc>
        <w:tc>
          <w:tcPr>
            <w:tcW w:w="1710" w:type="dxa"/>
          </w:tcPr>
          <w:p w:rsidR="006A7502" w:rsidRDefault="006A7502" w:rsidP="006A7502">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20</w:t>
            </w:r>
            <w:r>
              <w:rPr>
                <w:rFonts w:ascii="Verdana" w:hAnsi="Verdana"/>
                <w:sz w:val="20"/>
                <w:szCs w:val="20"/>
                <w:lang w:val="en-US"/>
              </w:rPr>
              <w:t>,000</w:t>
            </w:r>
          </w:p>
        </w:tc>
      </w:tr>
    </w:tbl>
    <w:p w:rsidR="00FF6850" w:rsidRDefault="00FF6850" w:rsidP="00FF0322">
      <w:pPr>
        <w:jc w:val="both"/>
        <w:rPr>
          <w:rFonts w:ascii="Verdana" w:hAnsi="Verdana"/>
          <w:sz w:val="20"/>
          <w:szCs w:val="20"/>
          <w:lang w:val="en-US"/>
        </w:rPr>
      </w:pPr>
    </w:p>
    <w:p w:rsidR="001074C5" w:rsidRDefault="001074C5" w:rsidP="00FF0322">
      <w:pPr>
        <w:jc w:val="both"/>
        <w:rPr>
          <w:rFonts w:ascii="Verdana" w:hAnsi="Verdana"/>
          <w:sz w:val="20"/>
          <w:szCs w:val="20"/>
          <w:lang w:val="en-US"/>
        </w:rPr>
      </w:pPr>
    </w:p>
    <w:p w:rsidR="001074C5" w:rsidRDefault="001074C5" w:rsidP="001074C5">
      <w:pPr>
        <w:pStyle w:val="ListParagraph"/>
        <w:numPr>
          <w:ilvl w:val="0"/>
          <w:numId w:val="27"/>
        </w:numPr>
        <w:jc w:val="both"/>
        <w:rPr>
          <w:rFonts w:ascii="Verdana" w:hAnsi="Verdana"/>
          <w:sz w:val="20"/>
          <w:szCs w:val="20"/>
          <w:lang w:val="en-US"/>
        </w:rPr>
      </w:pPr>
      <w:r>
        <w:rPr>
          <w:rFonts w:ascii="Verdana" w:hAnsi="Verdana"/>
          <w:b/>
          <w:sz w:val="20"/>
          <w:szCs w:val="20"/>
          <w:lang w:val="en-US"/>
        </w:rPr>
        <w:t>Written Down Value</w:t>
      </w:r>
      <w:r w:rsidRPr="001074C5">
        <w:rPr>
          <w:rFonts w:ascii="Verdana" w:hAnsi="Verdana"/>
          <w:b/>
          <w:sz w:val="20"/>
          <w:szCs w:val="20"/>
          <w:lang w:val="en-US"/>
        </w:rPr>
        <w:t xml:space="preserve"> Method (</w:t>
      </w:r>
      <w:r w:rsidR="003A0FCB">
        <w:rPr>
          <w:rFonts w:ascii="Verdana" w:hAnsi="Verdana"/>
          <w:b/>
          <w:sz w:val="20"/>
          <w:szCs w:val="20"/>
          <w:lang w:val="en-US"/>
        </w:rPr>
        <w:t>WDV</w:t>
      </w:r>
      <w:r w:rsidRPr="001074C5">
        <w:rPr>
          <w:rFonts w:ascii="Verdana" w:hAnsi="Verdana"/>
          <w:b/>
          <w:sz w:val="20"/>
          <w:szCs w:val="20"/>
          <w:lang w:val="en-US"/>
        </w:rPr>
        <w:t>):</w:t>
      </w:r>
      <w:r w:rsidRPr="001074C5">
        <w:rPr>
          <w:rFonts w:ascii="Verdana" w:hAnsi="Verdana"/>
          <w:sz w:val="20"/>
          <w:szCs w:val="20"/>
          <w:lang w:val="en-US"/>
        </w:rPr>
        <w:t xml:space="preserve"> </w:t>
      </w:r>
      <w:r>
        <w:rPr>
          <w:rFonts w:ascii="Verdana" w:hAnsi="Verdana"/>
          <w:sz w:val="20"/>
          <w:szCs w:val="20"/>
          <w:lang w:val="en-US"/>
        </w:rPr>
        <w:t xml:space="preserve">This method involves the application of a pre-determined percentage of the book value of the asset at the </w:t>
      </w:r>
      <w:r w:rsidR="00217654">
        <w:rPr>
          <w:rFonts w:ascii="Verdana" w:hAnsi="Verdana"/>
          <w:sz w:val="20"/>
          <w:szCs w:val="20"/>
          <w:lang w:val="en-US"/>
        </w:rPr>
        <w:t>beginning of every accounting period so as to calculate the amount of depreciation. The amount of depreciation reduces every year.</w:t>
      </w:r>
    </w:p>
    <w:p w:rsidR="00217654" w:rsidRDefault="00217654" w:rsidP="00217654">
      <w:pPr>
        <w:jc w:val="both"/>
        <w:rPr>
          <w:rFonts w:ascii="Verdana" w:hAnsi="Verdana"/>
          <w:sz w:val="20"/>
          <w:szCs w:val="20"/>
          <w:lang w:val="en-US"/>
        </w:rPr>
      </w:pPr>
    </w:p>
    <w:p w:rsidR="00217654" w:rsidRDefault="00217654" w:rsidP="00217654">
      <w:pPr>
        <w:jc w:val="both"/>
        <w:rPr>
          <w:rFonts w:ascii="Verdana" w:hAnsi="Verdana"/>
          <w:b/>
          <w:sz w:val="20"/>
          <w:szCs w:val="20"/>
          <w:lang w:val="en-US"/>
        </w:rPr>
      </w:pPr>
      <w:r w:rsidRPr="00217654">
        <w:rPr>
          <w:rFonts w:ascii="Verdana" w:hAnsi="Verdana"/>
          <w:b/>
          <w:sz w:val="20"/>
          <w:szCs w:val="20"/>
          <w:lang w:val="en-US"/>
        </w:rPr>
        <w:t>Illustration</w:t>
      </w:r>
    </w:p>
    <w:p w:rsidR="00217654" w:rsidRDefault="00217654" w:rsidP="00217654">
      <w:pPr>
        <w:jc w:val="both"/>
        <w:rPr>
          <w:rFonts w:ascii="Verdana" w:hAnsi="Verdana"/>
          <w:sz w:val="20"/>
          <w:szCs w:val="20"/>
          <w:lang w:val="en-US"/>
        </w:rPr>
      </w:pPr>
      <w:r>
        <w:rPr>
          <w:rFonts w:ascii="Verdana" w:hAnsi="Verdana"/>
          <w:sz w:val="20"/>
          <w:szCs w:val="20"/>
          <w:lang w:val="en-US"/>
        </w:rPr>
        <w:t>Original cost Rs. 2,00,000; rate of depreciation 15%. Show depreciation calculation for 4 years</w:t>
      </w:r>
      <w:r w:rsidR="003A0FCB">
        <w:rPr>
          <w:rFonts w:ascii="Verdana" w:hAnsi="Verdana"/>
          <w:sz w:val="20"/>
          <w:szCs w:val="20"/>
          <w:lang w:val="en-US"/>
        </w:rPr>
        <w:t>.</w:t>
      </w:r>
    </w:p>
    <w:p w:rsidR="00F7213A" w:rsidRDefault="00F7213A" w:rsidP="00F7213A">
      <w:pPr>
        <w:jc w:val="both"/>
        <w:rPr>
          <w:rFonts w:ascii="Verdana" w:hAnsi="Verdana"/>
          <w:b/>
          <w:sz w:val="20"/>
          <w:szCs w:val="20"/>
          <w:lang w:val="en-US"/>
        </w:rPr>
      </w:pPr>
    </w:p>
    <w:p w:rsidR="00F7213A" w:rsidRDefault="00F7213A" w:rsidP="00F7213A">
      <w:pPr>
        <w:jc w:val="both"/>
        <w:rPr>
          <w:rFonts w:ascii="Verdana" w:hAnsi="Verdana"/>
          <w:b/>
          <w:sz w:val="20"/>
          <w:szCs w:val="20"/>
          <w:lang w:val="en-US"/>
        </w:rPr>
      </w:pPr>
      <w:r w:rsidRPr="00AE7BDA">
        <w:rPr>
          <w:rFonts w:ascii="Verdana" w:hAnsi="Verdana"/>
          <w:b/>
          <w:sz w:val="20"/>
          <w:szCs w:val="20"/>
          <w:lang w:val="en-US"/>
        </w:rPr>
        <w:t xml:space="preserve">Calculation of depreciation and book value over the life of the asset </w:t>
      </w:r>
      <w:r>
        <w:rPr>
          <w:rFonts w:ascii="Verdana" w:hAnsi="Verdana"/>
          <w:b/>
          <w:sz w:val="20"/>
          <w:szCs w:val="20"/>
          <w:lang w:val="en-US"/>
        </w:rPr>
        <w:t>under WDV method</w:t>
      </w:r>
    </w:p>
    <w:p w:rsidR="00217654" w:rsidRDefault="00217654" w:rsidP="00217654">
      <w:pPr>
        <w:jc w:val="both"/>
        <w:rPr>
          <w:rFonts w:ascii="Verdana" w:hAnsi="Verdana"/>
          <w:sz w:val="20"/>
          <w:szCs w:val="20"/>
          <w:lang w:val="en-US"/>
        </w:rPr>
      </w:pPr>
    </w:p>
    <w:tbl>
      <w:tblPr>
        <w:tblStyle w:val="TableGrid"/>
        <w:tblW w:w="0" w:type="auto"/>
        <w:tblLook w:val="04A0"/>
      </w:tblPr>
      <w:tblGrid>
        <w:gridCol w:w="5238"/>
        <w:gridCol w:w="1710"/>
      </w:tblGrid>
      <w:tr w:rsidR="00217654" w:rsidTr="00E83285">
        <w:tc>
          <w:tcPr>
            <w:tcW w:w="5238" w:type="dxa"/>
          </w:tcPr>
          <w:p w:rsidR="00217654" w:rsidRDefault="00217654" w:rsidP="00E83285">
            <w:pPr>
              <w:ind w:left="630"/>
              <w:jc w:val="both"/>
              <w:rPr>
                <w:rFonts w:ascii="Verdana" w:hAnsi="Verdana"/>
                <w:sz w:val="20"/>
                <w:szCs w:val="20"/>
                <w:lang w:val="en-US"/>
              </w:rPr>
            </w:pPr>
            <w:r>
              <w:rPr>
                <w:rFonts w:ascii="Verdana" w:hAnsi="Verdana"/>
                <w:sz w:val="20"/>
                <w:szCs w:val="20"/>
                <w:lang w:val="en-US"/>
              </w:rPr>
              <w:t>Original cost</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2</w:t>
            </w:r>
            <w:r>
              <w:rPr>
                <w:rFonts w:ascii="Verdana" w:hAnsi="Verdana"/>
                <w:sz w:val="20"/>
                <w:szCs w:val="20"/>
                <w:lang w:val="en-US"/>
              </w:rPr>
              <w:t>,00,000</w:t>
            </w:r>
          </w:p>
        </w:tc>
      </w:tr>
      <w:tr w:rsidR="00217654" w:rsidTr="00E83285">
        <w:tc>
          <w:tcPr>
            <w:tcW w:w="5238"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Less: Depreciation </w:t>
            </w:r>
            <w:r>
              <w:rPr>
                <w:rFonts w:ascii="Verdana" w:hAnsi="Verdana"/>
                <w:sz w:val="20"/>
                <w:szCs w:val="20"/>
                <w:lang w:val="en-US"/>
              </w:rPr>
              <w:t>(15% of Rs. 2,00,000)</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30</w:t>
            </w:r>
            <w:r>
              <w:rPr>
                <w:rFonts w:ascii="Verdana" w:hAnsi="Verdana"/>
                <w:sz w:val="20"/>
                <w:szCs w:val="20"/>
                <w:lang w:val="en-US"/>
              </w:rPr>
              <w:t>,000</w:t>
            </w:r>
          </w:p>
        </w:tc>
      </w:tr>
      <w:tr w:rsidR="00217654" w:rsidTr="00E83285">
        <w:tc>
          <w:tcPr>
            <w:tcW w:w="5238" w:type="dxa"/>
          </w:tcPr>
          <w:p w:rsidR="00217654" w:rsidRDefault="00217654" w:rsidP="00E83285">
            <w:pPr>
              <w:ind w:left="630"/>
              <w:jc w:val="both"/>
              <w:rPr>
                <w:rFonts w:ascii="Verdana" w:hAnsi="Verdana"/>
                <w:sz w:val="20"/>
                <w:szCs w:val="20"/>
                <w:lang w:val="en-US"/>
              </w:rPr>
            </w:pPr>
            <w:r>
              <w:rPr>
                <w:rFonts w:ascii="Verdana" w:hAnsi="Verdana"/>
                <w:sz w:val="20"/>
                <w:szCs w:val="20"/>
                <w:lang w:val="en-US"/>
              </w:rPr>
              <w:t>Book Value at the beginning of Year 2</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1,70</w:t>
            </w:r>
            <w:r>
              <w:rPr>
                <w:rFonts w:ascii="Verdana" w:hAnsi="Verdana"/>
                <w:sz w:val="20"/>
                <w:szCs w:val="20"/>
                <w:lang w:val="en-US"/>
              </w:rPr>
              <w:t>,000</w:t>
            </w:r>
          </w:p>
        </w:tc>
      </w:tr>
      <w:tr w:rsidR="00217654" w:rsidTr="00E83285">
        <w:tc>
          <w:tcPr>
            <w:tcW w:w="5238"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Less: Depreciation </w:t>
            </w:r>
            <w:r>
              <w:rPr>
                <w:rFonts w:ascii="Verdana" w:hAnsi="Verdana"/>
                <w:sz w:val="20"/>
                <w:szCs w:val="20"/>
                <w:lang w:val="en-US"/>
              </w:rPr>
              <w:t>(15% of Rs. 1,70,000)</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 xml:space="preserve"> 25</w:t>
            </w:r>
            <w:r>
              <w:rPr>
                <w:rFonts w:ascii="Verdana" w:hAnsi="Verdana"/>
                <w:sz w:val="20"/>
                <w:szCs w:val="20"/>
                <w:lang w:val="en-US"/>
              </w:rPr>
              <w:t>,</w:t>
            </w:r>
            <w:r>
              <w:rPr>
                <w:rFonts w:ascii="Verdana" w:hAnsi="Verdana"/>
                <w:sz w:val="20"/>
                <w:szCs w:val="20"/>
                <w:lang w:val="en-US"/>
              </w:rPr>
              <w:t>5</w:t>
            </w:r>
            <w:r>
              <w:rPr>
                <w:rFonts w:ascii="Verdana" w:hAnsi="Verdana"/>
                <w:sz w:val="20"/>
                <w:szCs w:val="20"/>
                <w:lang w:val="en-US"/>
              </w:rPr>
              <w:t>00</w:t>
            </w:r>
          </w:p>
        </w:tc>
      </w:tr>
      <w:tr w:rsidR="00217654" w:rsidTr="00E83285">
        <w:tc>
          <w:tcPr>
            <w:tcW w:w="5238" w:type="dxa"/>
          </w:tcPr>
          <w:p w:rsidR="00217654" w:rsidRDefault="00217654" w:rsidP="00E83285">
            <w:pPr>
              <w:ind w:left="630"/>
              <w:jc w:val="both"/>
              <w:rPr>
                <w:rFonts w:ascii="Verdana" w:hAnsi="Verdana"/>
                <w:sz w:val="20"/>
                <w:szCs w:val="20"/>
                <w:lang w:val="en-US"/>
              </w:rPr>
            </w:pPr>
            <w:r>
              <w:rPr>
                <w:rFonts w:ascii="Verdana" w:hAnsi="Verdana"/>
                <w:sz w:val="20"/>
                <w:szCs w:val="20"/>
                <w:lang w:val="en-US"/>
              </w:rPr>
              <w:t>Book Value at the beginning of Year 3</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1,44</w:t>
            </w:r>
            <w:r>
              <w:rPr>
                <w:rFonts w:ascii="Verdana" w:hAnsi="Verdana"/>
                <w:sz w:val="20"/>
                <w:szCs w:val="20"/>
                <w:lang w:val="en-US"/>
              </w:rPr>
              <w:t>,</w:t>
            </w:r>
            <w:r>
              <w:rPr>
                <w:rFonts w:ascii="Verdana" w:hAnsi="Verdana"/>
                <w:sz w:val="20"/>
                <w:szCs w:val="20"/>
                <w:lang w:val="en-US"/>
              </w:rPr>
              <w:t>5</w:t>
            </w:r>
            <w:r>
              <w:rPr>
                <w:rFonts w:ascii="Verdana" w:hAnsi="Verdana"/>
                <w:sz w:val="20"/>
                <w:szCs w:val="20"/>
                <w:lang w:val="en-US"/>
              </w:rPr>
              <w:t>00</w:t>
            </w:r>
          </w:p>
        </w:tc>
      </w:tr>
      <w:tr w:rsidR="00217654" w:rsidTr="00E83285">
        <w:tc>
          <w:tcPr>
            <w:tcW w:w="5238"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Less: Depreciation </w:t>
            </w:r>
            <w:r>
              <w:rPr>
                <w:rFonts w:ascii="Verdana" w:hAnsi="Verdana"/>
                <w:sz w:val="20"/>
                <w:szCs w:val="20"/>
                <w:lang w:val="en-US"/>
              </w:rPr>
              <w:t>(15% of Rs. 1,44,500)</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 xml:space="preserve"> 21</w:t>
            </w:r>
            <w:r>
              <w:rPr>
                <w:rFonts w:ascii="Verdana" w:hAnsi="Verdana"/>
                <w:sz w:val="20"/>
                <w:szCs w:val="20"/>
                <w:lang w:val="en-US"/>
              </w:rPr>
              <w:t>,</w:t>
            </w:r>
            <w:r>
              <w:rPr>
                <w:rFonts w:ascii="Verdana" w:hAnsi="Verdana"/>
                <w:sz w:val="20"/>
                <w:szCs w:val="20"/>
                <w:lang w:val="en-US"/>
              </w:rPr>
              <w:t>675</w:t>
            </w:r>
          </w:p>
        </w:tc>
      </w:tr>
      <w:tr w:rsidR="00217654" w:rsidTr="00E83285">
        <w:tc>
          <w:tcPr>
            <w:tcW w:w="5238" w:type="dxa"/>
          </w:tcPr>
          <w:p w:rsidR="00217654" w:rsidRDefault="00217654" w:rsidP="00E83285">
            <w:pPr>
              <w:ind w:left="630"/>
              <w:jc w:val="both"/>
              <w:rPr>
                <w:rFonts w:ascii="Verdana" w:hAnsi="Verdana"/>
                <w:sz w:val="20"/>
                <w:szCs w:val="20"/>
                <w:lang w:val="en-US"/>
              </w:rPr>
            </w:pPr>
            <w:r>
              <w:rPr>
                <w:rFonts w:ascii="Verdana" w:hAnsi="Verdana"/>
                <w:sz w:val="20"/>
                <w:szCs w:val="20"/>
                <w:lang w:val="en-US"/>
              </w:rPr>
              <w:t>Book Value at the beginning of Year 4</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Rs. 1,22,825</w:t>
            </w:r>
          </w:p>
        </w:tc>
      </w:tr>
      <w:tr w:rsidR="00217654" w:rsidTr="00E83285">
        <w:tc>
          <w:tcPr>
            <w:tcW w:w="5238"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Less: Depreciation </w:t>
            </w:r>
            <w:r>
              <w:rPr>
                <w:rFonts w:ascii="Verdana" w:hAnsi="Verdana"/>
                <w:sz w:val="20"/>
                <w:szCs w:val="20"/>
                <w:lang w:val="en-US"/>
              </w:rPr>
              <w:t>(15% of Rs. 1,22,825)</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18,424</w:t>
            </w:r>
          </w:p>
        </w:tc>
      </w:tr>
      <w:tr w:rsidR="00217654" w:rsidTr="00E83285">
        <w:tc>
          <w:tcPr>
            <w:tcW w:w="5238" w:type="dxa"/>
          </w:tcPr>
          <w:p w:rsidR="00217654" w:rsidRDefault="00217654" w:rsidP="00217654">
            <w:pPr>
              <w:ind w:left="630"/>
              <w:jc w:val="both"/>
              <w:rPr>
                <w:rFonts w:ascii="Verdana" w:hAnsi="Verdana"/>
                <w:sz w:val="20"/>
                <w:szCs w:val="20"/>
                <w:lang w:val="en-US"/>
              </w:rPr>
            </w:pPr>
            <w:r>
              <w:rPr>
                <w:rFonts w:ascii="Verdana" w:hAnsi="Verdana"/>
                <w:sz w:val="20"/>
                <w:szCs w:val="20"/>
                <w:lang w:val="en-US"/>
              </w:rPr>
              <w:t xml:space="preserve">Book Value at the </w:t>
            </w:r>
            <w:r>
              <w:rPr>
                <w:rFonts w:ascii="Verdana" w:hAnsi="Verdana"/>
                <w:sz w:val="20"/>
                <w:szCs w:val="20"/>
                <w:lang w:val="en-US"/>
              </w:rPr>
              <w:t>end</w:t>
            </w:r>
            <w:r>
              <w:rPr>
                <w:rFonts w:ascii="Verdana" w:hAnsi="Verdana"/>
                <w:sz w:val="20"/>
                <w:szCs w:val="20"/>
                <w:lang w:val="en-US"/>
              </w:rPr>
              <w:t xml:space="preserve"> of Year </w:t>
            </w:r>
            <w:r>
              <w:rPr>
                <w:rFonts w:ascii="Verdana" w:hAnsi="Verdana"/>
                <w:sz w:val="20"/>
                <w:szCs w:val="20"/>
                <w:lang w:val="en-US"/>
              </w:rPr>
              <w:t>4</w:t>
            </w:r>
          </w:p>
        </w:tc>
        <w:tc>
          <w:tcPr>
            <w:tcW w:w="1710" w:type="dxa"/>
          </w:tcPr>
          <w:p w:rsidR="00217654" w:rsidRDefault="00217654" w:rsidP="00217654">
            <w:pPr>
              <w:jc w:val="both"/>
              <w:rPr>
                <w:rFonts w:ascii="Verdana" w:hAnsi="Verdana"/>
                <w:sz w:val="20"/>
                <w:szCs w:val="20"/>
                <w:lang w:val="en-US"/>
              </w:rPr>
            </w:pPr>
            <w:r>
              <w:rPr>
                <w:rFonts w:ascii="Verdana" w:hAnsi="Verdana"/>
                <w:sz w:val="20"/>
                <w:szCs w:val="20"/>
                <w:lang w:val="en-US"/>
              </w:rPr>
              <w:t xml:space="preserve">Rs. </w:t>
            </w:r>
            <w:r>
              <w:rPr>
                <w:rFonts w:ascii="Verdana" w:hAnsi="Verdana"/>
                <w:sz w:val="20"/>
                <w:szCs w:val="20"/>
                <w:lang w:val="en-US"/>
              </w:rPr>
              <w:t>1,04,401</w:t>
            </w:r>
          </w:p>
        </w:tc>
      </w:tr>
    </w:tbl>
    <w:p w:rsidR="00217654" w:rsidRDefault="00217654" w:rsidP="00217654">
      <w:pPr>
        <w:jc w:val="both"/>
        <w:rPr>
          <w:rFonts w:ascii="Verdana" w:hAnsi="Verdana"/>
          <w:sz w:val="20"/>
          <w:szCs w:val="20"/>
          <w:lang w:val="en-US"/>
        </w:rPr>
      </w:pPr>
    </w:p>
    <w:p w:rsidR="00A34652" w:rsidRDefault="00A34652" w:rsidP="00217654">
      <w:pPr>
        <w:jc w:val="both"/>
        <w:rPr>
          <w:rFonts w:ascii="Verdana" w:hAnsi="Verdana"/>
          <w:b/>
          <w:sz w:val="20"/>
          <w:szCs w:val="20"/>
          <w:lang w:val="en-US"/>
        </w:rPr>
      </w:pPr>
    </w:p>
    <w:p w:rsidR="00F7213A" w:rsidRDefault="00F7213A" w:rsidP="00217654">
      <w:pPr>
        <w:jc w:val="both"/>
        <w:rPr>
          <w:rFonts w:ascii="Verdana" w:hAnsi="Verdana"/>
          <w:b/>
          <w:sz w:val="20"/>
          <w:szCs w:val="20"/>
          <w:lang w:val="en-US"/>
        </w:rPr>
      </w:pPr>
      <w:r w:rsidRPr="00F7213A">
        <w:rPr>
          <w:rFonts w:ascii="Verdana" w:hAnsi="Verdana"/>
          <w:b/>
          <w:sz w:val="20"/>
          <w:szCs w:val="20"/>
          <w:lang w:val="en-US"/>
        </w:rPr>
        <w:t>Difference between SLM and WDV method</w:t>
      </w:r>
      <w:r w:rsidR="00A34652">
        <w:rPr>
          <w:rFonts w:ascii="Verdana" w:hAnsi="Verdana"/>
          <w:b/>
          <w:sz w:val="20"/>
          <w:szCs w:val="20"/>
          <w:lang w:val="en-US"/>
        </w:rPr>
        <w:t xml:space="preserve"> of Depreciation</w:t>
      </w:r>
    </w:p>
    <w:p w:rsidR="00A34652" w:rsidRDefault="00A34652" w:rsidP="00217654">
      <w:pPr>
        <w:jc w:val="both"/>
        <w:rPr>
          <w:rFonts w:ascii="Verdana" w:hAnsi="Verdana"/>
          <w:b/>
          <w:sz w:val="20"/>
          <w:szCs w:val="20"/>
          <w:lang w:val="en-US"/>
        </w:rPr>
      </w:pPr>
    </w:p>
    <w:tbl>
      <w:tblPr>
        <w:tblStyle w:val="TableGrid"/>
        <w:tblW w:w="0" w:type="auto"/>
        <w:tblLook w:val="04A0"/>
      </w:tblPr>
      <w:tblGrid>
        <w:gridCol w:w="648"/>
        <w:gridCol w:w="1450"/>
        <w:gridCol w:w="4292"/>
        <w:gridCol w:w="4292"/>
      </w:tblGrid>
      <w:tr w:rsidR="00F7213A" w:rsidRPr="0004111A" w:rsidTr="000B22FC">
        <w:tc>
          <w:tcPr>
            <w:tcW w:w="648" w:type="dxa"/>
          </w:tcPr>
          <w:p w:rsidR="00F7213A" w:rsidRPr="0004111A" w:rsidRDefault="00F7213A" w:rsidP="00F7213A">
            <w:pPr>
              <w:jc w:val="center"/>
              <w:rPr>
                <w:rFonts w:ascii="Verdana" w:hAnsi="Verdana"/>
                <w:b/>
                <w:sz w:val="20"/>
                <w:szCs w:val="20"/>
                <w:lang w:val="en-US"/>
              </w:rPr>
            </w:pPr>
            <w:r w:rsidRPr="0004111A">
              <w:rPr>
                <w:rFonts w:ascii="Verdana" w:hAnsi="Verdana"/>
                <w:b/>
                <w:sz w:val="20"/>
                <w:szCs w:val="20"/>
                <w:lang w:val="en-US"/>
              </w:rPr>
              <w:t>No.</w:t>
            </w:r>
          </w:p>
        </w:tc>
        <w:tc>
          <w:tcPr>
            <w:tcW w:w="1450" w:type="dxa"/>
          </w:tcPr>
          <w:p w:rsidR="00F7213A" w:rsidRPr="0004111A" w:rsidRDefault="00F7213A" w:rsidP="00F7213A">
            <w:pPr>
              <w:jc w:val="center"/>
              <w:rPr>
                <w:rFonts w:ascii="Verdana" w:hAnsi="Verdana"/>
                <w:b/>
                <w:sz w:val="20"/>
                <w:szCs w:val="20"/>
                <w:lang w:val="en-US"/>
              </w:rPr>
            </w:pPr>
            <w:r w:rsidRPr="0004111A">
              <w:rPr>
                <w:rFonts w:ascii="Verdana" w:hAnsi="Verdana"/>
                <w:b/>
                <w:sz w:val="20"/>
                <w:szCs w:val="20"/>
                <w:lang w:val="en-US"/>
              </w:rPr>
              <w:t>Basis</w:t>
            </w:r>
          </w:p>
        </w:tc>
        <w:tc>
          <w:tcPr>
            <w:tcW w:w="4292" w:type="dxa"/>
          </w:tcPr>
          <w:p w:rsidR="00F7213A" w:rsidRPr="0004111A" w:rsidRDefault="00F7213A" w:rsidP="00F7213A">
            <w:pPr>
              <w:jc w:val="center"/>
              <w:rPr>
                <w:rFonts w:ascii="Verdana" w:hAnsi="Verdana"/>
                <w:b/>
                <w:sz w:val="20"/>
                <w:szCs w:val="20"/>
                <w:lang w:val="en-US"/>
              </w:rPr>
            </w:pPr>
            <w:r w:rsidRPr="0004111A">
              <w:rPr>
                <w:rFonts w:ascii="Verdana" w:hAnsi="Verdana"/>
                <w:b/>
                <w:sz w:val="20"/>
                <w:szCs w:val="20"/>
                <w:lang w:val="en-US"/>
              </w:rPr>
              <w:t>SLM</w:t>
            </w:r>
          </w:p>
        </w:tc>
        <w:tc>
          <w:tcPr>
            <w:tcW w:w="4292" w:type="dxa"/>
          </w:tcPr>
          <w:p w:rsidR="00F7213A" w:rsidRPr="0004111A" w:rsidRDefault="00F7213A" w:rsidP="00F7213A">
            <w:pPr>
              <w:jc w:val="center"/>
              <w:rPr>
                <w:rFonts w:ascii="Verdana" w:hAnsi="Verdana"/>
                <w:b/>
                <w:sz w:val="20"/>
                <w:szCs w:val="20"/>
                <w:lang w:val="en-US"/>
              </w:rPr>
            </w:pPr>
            <w:r w:rsidRPr="0004111A">
              <w:rPr>
                <w:rFonts w:ascii="Verdana" w:hAnsi="Verdana"/>
                <w:b/>
                <w:sz w:val="20"/>
                <w:szCs w:val="20"/>
                <w:lang w:val="en-US"/>
              </w:rPr>
              <w:t>WDV</w:t>
            </w:r>
          </w:p>
        </w:tc>
      </w:tr>
      <w:tr w:rsidR="00F7213A" w:rsidTr="000B22FC">
        <w:tc>
          <w:tcPr>
            <w:tcW w:w="648" w:type="dxa"/>
          </w:tcPr>
          <w:p w:rsidR="00F7213A" w:rsidRDefault="00F7213A" w:rsidP="00F7213A">
            <w:pPr>
              <w:jc w:val="center"/>
              <w:rPr>
                <w:rFonts w:ascii="Verdana" w:hAnsi="Verdana"/>
                <w:sz w:val="20"/>
                <w:szCs w:val="20"/>
                <w:lang w:val="en-US"/>
              </w:rPr>
            </w:pPr>
            <w:r>
              <w:rPr>
                <w:rFonts w:ascii="Verdana" w:hAnsi="Verdana"/>
                <w:sz w:val="20"/>
                <w:szCs w:val="20"/>
                <w:lang w:val="en-US"/>
              </w:rPr>
              <w:t>1.</w:t>
            </w:r>
          </w:p>
        </w:tc>
        <w:tc>
          <w:tcPr>
            <w:tcW w:w="1450" w:type="dxa"/>
          </w:tcPr>
          <w:p w:rsidR="00F7213A" w:rsidRDefault="00F7213A" w:rsidP="00217654">
            <w:pPr>
              <w:jc w:val="both"/>
              <w:rPr>
                <w:rFonts w:ascii="Verdana" w:hAnsi="Verdana"/>
                <w:sz w:val="20"/>
                <w:szCs w:val="20"/>
                <w:lang w:val="en-US"/>
              </w:rPr>
            </w:pPr>
            <w:r>
              <w:rPr>
                <w:rFonts w:ascii="Verdana" w:hAnsi="Verdana"/>
                <w:sz w:val="20"/>
                <w:szCs w:val="20"/>
                <w:lang w:val="en-US"/>
              </w:rPr>
              <w:t>Meaning</w:t>
            </w:r>
          </w:p>
        </w:tc>
        <w:tc>
          <w:tcPr>
            <w:tcW w:w="4292" w:type="dxa"/>
          </w:tcPr>
          <w:p w:rsidR="00F7213A" w:rsidRDefault="00F7213A" w:rsidP="00217654">
            <w:pPr>
              <w:jc w:val="both"/>
              <w:rPr>
                <w:rFonts w:ascii="Verdana" w:hAnsi="Verdana"/>
                <w:sz w:val="20"/>
                <w:szCs w:val="20"/>
                <w:lang w:val="en-US"/>
              </w:rPr>
            </w:pPr>
            <w:r>
              <w:rPr>
                <w:rFonts w:ascii="Verdana" w:hAnsi="Verdana"/>
                <w:sz w:val="20"/>
                <w:szCs w:val="20"/>
                <w:lang w:val="en-US"/>
              </w:rPr>
              <w:t>SLM is a method of depreciation in which the cost of the asset is spread uniformly over the life of the asset by writing off a fixed amount every year.</w:t>
            </w:r>
          </w:p>
          <w:p w:rsidR="000B22FC" w:rsidRDefault="000B22FC" w:rsidP="00217654">
            <w:pPr>
              <w:jc w:val="both"/>
              <w:rPr>
                <w:rFonts w:ascii="Verdana" w:hAnsi="Verdana"/>
                <w:sz w:val="20"/>
                <w:szCs w:val="20"/>
                <w:lang w:val="en-US"/>
              </w:rPr>
            </w:pPr>
          </w:p>
        </w:tc>
        <w:tc>
          <w:tcPr>
            <w:tcW w:w="4292" w:type="dxa"/>
          </w:tcPr>
          <w:p w:rsidR="00F7213A" w:rsidRDefault="00F7213A" w:rsidP="00217654">
            <w:pPr>
              <w:jc w:val="both"/>
              <w:rPr>
                <w:rFonts w:ascii="Verdana" w:hAnsi="Verdana"/>
                <w:sz w:val="20"/>
                <w:szCs w:val="20"/>
                <w:lang w:val="en-US"/>
              </w:rPr>
            </w:pPr>
            <w:r>
              <w:rPr>
                <w:rFonts w:ascii="Verdana" w:hAnsi="Verdana"/>
                <w:sz w:val="20"/>
                <w:szCs w:val="20"/>
                <w:lang w:val="en-US"/>
              </w:rPr>
              <w:t>WDV is a method of depreciation in which a fixed rate of depreciation is charged on the book value of the asset over its useful life.</w:t>
            </w:r>
          </w:p>
        </w:tc>
      </w:tr>
      <w:tr w:rsidR="00F7213A" w:rsidTr="000B22FC">
        <w:tc>
          <w:tcPr>
            <w:tcW w:w="648" w:type="dxa"/>
          </w:tcPr>
          <w:p w:rsidR="00F7213A" w:rsidRDefault="00F7213A" w:rsidP="00F7213A">
            <w:pPr>
              <w:jc w:val="center"/>
              <w:rPr>
                <w:rFonts w:ascii="Verdana" w:hAnsi="Verdana"/>
                <w:sz w:val="20"/>
                <w:szCs w:val="20"/>
                <w:lang w:val="en-US"/>
              </w:rPr>
            </w:pPr>
            <w:r>
              <w:rPr>
                <w:rFonts w:ascii="Verdana" w:hAnsi="Verdana"/>
                <w:sz w:val="20"/>
                <w:szCs w:val="20"/>
                <w:lang w:val="en-US"/>
              </w:rPr>
              <w:t>2.</w:t>
            </w:r>
          </w:p>
        </w:tc>
        <w:tc>
          <w:tcPr>
            <w:tcW w:w="1450" w:type="dxa"/>
          </w:tcPr>
          <w:p w:rsidR="00F7213A" w:rsidRDefault="00F7213A" w:rsidP="00217654">
            <w:pPr>
              <w:jc w:val="both"/>
              <w:rPr>
                <w:rFonts w:ascii="Verdana" w:hAnsi="Verdana"/>
                <w:sz w:val="20"/>
                <w:szCs w:val="20"/>
                <w:lang w:val="en-US"/>
              </w:rPr>
            </w:pPr>
            <w:r>
              <w:rPr>
                <w:rFonts w:ascii="Verdana" w:hAnsi="Verdana"/>
                <w:sz w:val="20"/>
                <w:szCs w:val="20"/>
                <w:lang w:val="en-US"/>
              </w:rPr>
              <w:t>Calculation</w:t>
            </w:r>
          </w:p>
        </w:tc>
        <w:tc>
          <w:tcPr>
            <w:tcW w:w="4292" w:type="dxa"/>
          </w:tcPr>
          <w:p w:rsidR="00F7213A" w:rsidRDefault="00F7213A" w:rsidP="00217654">
            <w:pPr>
              <w:jc w:val="both"/>
              <w:rPr>
                <w:rFonts w:ascii="Verdana" w:hAnsi="Verdana"/>
                <w:sz w:val="20"/>
                <w:szCs w:val="20"/>
                <w:lang w:val="en-US"/>
              </w:rPr>
            </w:pPr>
            <w:r>
              <w:rPr>
                <w:rFonts w:ascii="Verdana" w:hAnsi="Verdana"/>
                <w:sz w:val="20"/>
                <w:szCs w:val="20"/>
                <w:lang w:val="en-US"/>
              </w:rPr>
              <w:t>Depreciation is calculated on the original cost of the asset.</w:t>
            </w:r>
          </w:p>
          <w:p w:rsidR="000B22FC" w:rsidRDefault="000B22FC" w:rsidP="00217654">
            <w:pPr>
              <w:jc w:val="both"/>
              <w:rPr>
                <w:rFonts w:ascii="Verdana" w:hAnsi="Verdana"/>
                <w:sz w:val="20"/>
                <w:szCs w:val="20"/>
                <w:lang w:val="en-US"/>
              </w:rPr>
            </w:pPr>
          </w:p>
        </w:tc>
        <w:tc>
          <w:tcPr>
            <w:tcW w:w="4292" w:type="dxa"/>
          </w:tcPr>
          <w:p w:rsidR="00F7213A" w:rsidRDefault="00F7213A" w:rsidP="00F7213A">
            <w:pPr>
              <w:jc w:val="both"/>
              <w:rPr>
                <w:rFonts w:ascii="Verdana" w:hAnsi="Verdana"/>
                <w:sz w:val="20"/>
                <w:szCs w:val="20"/>
                <w:lang w:val="en-US"/>
              </w:rPr>
            </w:pPr>
            <w:r>
              <w:rPr>
                <w:rFonts w:ascii="Verdana" w:hAnsi="Verdana"/>
                <w:sz w:val="20"/>
                <w:szCs w:val="20"/>
                <w:lang w:val="en-US"/>
              </w:rPr>
              <w:t xml:space="preserve">Depreciation is calculated on the </w:t>
            </w:r>
            <w:r>
              <w:rPr>
                <w:rFonts w:ascii="Verdana" w:hAnsi="Verdana"/>
                <w:sz w:val="20"/>
                <w:szCs w:val="20"/>
                <w:lang w:val="en-US"/>
              </w:rPr>
              <w:t>basis</w:t>
            </w:r>
            <w:r>
              <w:rPr>
                <w:rFonts w:ascii="Verdana" w:hAnsi="Verdana"/>
                <w:sz w:val="20"/>
                <w:szCs w:val="20"/>
                <w:lang w:val="en-US"/>
              </w:rPr>
              <w:t xml:space="preserve"> of the </w:t>
            </w:r>
            <w:r>
              <w:rPr>
                <w:rFonts w:ascii="Verdana" w:hAnsi="Verdana"/>
                <w:sz w:val="20"/>
                <w:szCs w:val="20"/>
                <w:lang w:val="en-US"/>
              </w:rPr>
              <w:t xml:space="preserve">written down value of the </w:t>
            </w:r>
            <w:r>
              <w:rPr>
                <w:rFonts w:ascii="Verdana" w:hAnsi="Verdana"/>
                <w:sz w:val="20"/>
                <w:szCs w:val="20"/>
                <w:lang w:val="en-US"/>
              </w:rPr>
              <w:t>asset.</w:t>
            </w:r>
          </w:p>
        </w:tc>
      </w:tr>
      <w:tr w:rsidR="00F7213A" w:rsidTr="000B22FC">
        <w:tc>
          <w:tcPr>
            <w:tcW w:w="648" w:type="dxa"/>
          </w:tcPr>
          <w:p w:rsidR="00F7213A" w:rsidRDefault="00F7213A" w:rsidP="00F7213A">
            <w:pPr>
              <w:jc w:val="center"/>
              <w:rPr>
                <w:rFonts w:ascii="Verdana" w:hAnsi="Verdana"/>
                <w:sz w:val="20"/>
                <w:szCs w:val="20"/>
                <w:lang w:val="en-US"/>
              </w:rPr>
            </w:pPr>
            <w:r>
              <w:rPr>
                <w:rFonts w:ascii="Verdana" w:hAnsi="Verdana"/>
                <w:sz w:val="20"/>
                <w:szCs w:val="20"/>
                <w:lang w:val="en-US"/>
              </w:rPr>
              <w:t>3.</w:t>
            </w:r>
          </w:p>
        </w:tc>
        <w:tc>
          <w:tcPr>
            <w:tcW w:w="1450" w:type="dxa"/>
          </w:tcPr>
          <w:p w:rsidR="00F7213A" w:rsidRDefault="00F7213A" w:rsidP="00217654">
            <w:pPr>
              <w:jc w:val="both"/>
              <w:rPr>
                <w:rFonts w:ascii="Verdana" w:hAnsi="Verdana"/>
                <w:sz w:val="20"/>
                <w:szCs w:val="20"/>
                <w:lang w:val="en-US"/>
              </w:rPr>
            </w:pPr>
            <w:r>
              <w:rPr>
                <w:rFonts w:ascii="Verdana" w:hAnsi="Verdana"/>
                <w:sz w:val="20"/>
                <w:szCs w:val="20"/>
                <w:lang w:val="en-US"/>
              </w:rPr>
              <w:t>Amount of depreciation</w:t>
            </w:r>
          </w:p>
        </w:tc>
        <w:tc>
          <w:tcPr>
            <w:tcW w:w="4292" w:type="dxa"/>
          </w:tcPr>
          <w:p w:rsidR="00F7213A" w:rsidRDefault="00F7213A" w:rsidP="00217654">
            <w:pPr>
              <w:jc w:val="both"/>
              <w:rPr>
                <w:rFonts w:ascii="Verdana" w:hAnsi="Verdana"/>
                <w:sz w:val="20"/>
                <w:szCs w:val="20"/>
                <w:lang w:val="en-US"/>
              </w:rPr>
            </w:pPr>
            <w:r>
              <w:rPr>
                <w:rFonts w:ascii="Verdana" w:hAnsi="Verdana"/>
                <w:sz w:val="20"/>
                <w:szCs w:val="20"/>
                <w:lang w:val="en-US"/>
              </w:rPr>
              <w:t xml:space="preserve">The annual depreciation charge under SLM remains fixed </w:t>
            </w:r>
            <w:r w:rsidR="00122A5C">
              <w:rPr>
                <w:rFonts w:ascii="Verdana" w:hAnsi="Verdana"/>
                <w:sz w:val="20"/>
                <w:szCs w:val="20"/>
                <w:lang w:val="en-US"/>
              </w:rPr>
              <w:t>during the life of the asset</w:t>
            </w:r>
            <w:r w:rsidR="00822458">
              <w:rPr>
                <w:rFonts w:ascii="Verdana" w:hAnsi="Verdana"/>
                <w:sz w:val="20"/>
                <w:szCs w:val="20"/>
                <w:lang w:val="en-US"/>
              </w:rPr>
              <w:t>.</w:t>
            </w:r>
          </w:p>
          <w:p w:rsidR="000B22FC" w:rsidRDefault="000B22FC" w:rsidP="00217654">
            <w:pPr>
              <w:jc w:val="both"/>
              <w:rPr>
                <w:rFonts w:ascii="Verdana" w:hAnsi="Verdana"/>
                <w:sz w:val="20"/>
                <w:szCs w:val="20"/>
                <w:lang w:val="en-US"/>
              </w:rPr>
            </w:pPr>
          </w:p>
        </w:tc>
        <w:tc>
          <w:tcPr>
            <w:tcW w:w="4292" w:type="dxa"/>
          </w:tcPr>
          <w:p w:rsidR="00F7213A" w:rsidRDefault="00122A5C" w:rsidP="00217654">
            <w:pPr>
              <w:jc w:val="both"/>
              <w:rPr>
                <w:rFonts w:ascii="Verdana" w:hAnsi="Verdana"/>
                <w:sz w:val="20"/>
                <w:szCs w:val="20"/>
                <w:lang w:val="en-US"/>
              </w:rPr>
            </w:pPr>
            <w:r>
              <w:rPr>
                <w:rFonts w:ascii="Verdana" w:hAnsi="Verdana"/>
                <w:sz w:val="20"/>
                <w:szCs w:val="20"/>
                <w:lang w:val="en-US"/>
              </w:rPr>
              <w:t>Amount of depreciation under WDV method reduces every year</w:t>
            </w:r>
          </w:p>
        </w:tc>
      </w:tr>
      <w:tr w:rsidR="00F7213A" w:rsidTr="000B22FC">
        <w:tc>
          <w:tcPr>
            <w:tcW w:w="648" w:type="dxa"/>
          </w:tcPr>
          <w:p w:rsidR="00F7213A" w:rsidRDefault="00122A5C" w:rsidP="00F7213A">
            <w:pPr>
              <w:jc w:val="center"/>
              <w:rPr>
                <w:rFonts w:ascii="Verdana" w:hAnsi="Verdana"/>
                <w:sz w:val="20"/>
                <w:szCs w:val="20"/>
                <w:lang w:val="en-US"/>
              </w:rPr>
            </w:pPr>
            <w:r>
              <w:rPr>
                <w:rFonts w:ascii="Verdana" w:hAnsi="Verdana"/>
                <w:sz w:val="20"/>
                <w:szCs w:val="20"/>
                <w:lang w:val="en-US"/>
              </w:rPr>
              <w:t>4.</w:t>
            </w:r>
          </w:p>
        </w:tc>
        <w:tc>
          <w:tcPr>
            <w:tcW w:w="1450" w:type="dxa"/>
          </w:tcPr>
          <w:p w:rsidR="00F7213A" w:rsidRDefault="00122A5C" w:rsidP="00217654">
            <w:pPr>
              <w:jc w:val="both"/>
              <w:rPr>
                <w:rFonts w:ascii="Verdana" w:hAnsi="Verdana"/>
                <w:sz w:val="20"/>
                <w:szCs w:val="20"/>
                <w:lang w:val="en-US"/>
              </w:rPr>
            </w:pPr>
            <w:r>
              <w:rPr>
                <w:rFonts w:ascii="Verdana" w:hAnsi="Verdana"/>
                <w:sz w:val="20"/>
                <w:szCs w:val="20"/>
                <w:lang w:val="en-US"/>
              </w:rPr>
              <w:t>Book value written off</w:t>
            </w:r>
          </w:p>
        </w:tc>
        <w:tc>
          <w:tcPr>
            <w:tcW w:w="4292" w:type="dxa"/>
          </w:tcPr>
          <w:p w:rsidR="00F7213A" w:rsidRDefault="00122A5C" w:rsidP="00217654">
            <w:pPr>
              <w:jc w:val="both"/>
              <w:rPr>
                <w:rFonts w:ascii="Verdana" w:hAnsi="Verdana"/>
                <w:sz w:val="20"/>
                <w:szCs w:val="20"/>
                <w:lang w:val="en-US"/>
              </w:rPr>
            </w:pPr>
            <w:r>
              <w:rPr>
                <w:rFonts w:ascii="Verdana" w:hAnsi="Verdana"/>
                <w:sz w:val="20"/>
                <w:szCs w:val="20"/>
                <w:lang w:val="en-US"/>
              </w:rPr>
              <w:t>Book value of the asset is completely written off i.e. the asset value is reduced to zero or its salvage value</w:t>
            </w:r>
            <w:r w:rsidR="00822458">
              <w:rPr>
                <w:rFonts w:ascii="Verdana" w:hAnsi="Verdana"/>
                <w:sz w:val="20"/>
                <w:szCs w:val="20"/>
                <w:lang w:val="en-US"/>
              </w:rPr>
              <w:t>.</w:t>
            </w:r>
          </w:p>
          <w:p w:rsidR="000B22FC" w:rsidRDefault="000B22FC" w:rsidP="00217654">
            <w:pPr>
              <w:jc w:val="both"/>
              <w:rPr>
                <w:rFonts w:ascii="Verdana" w:hAnsi="Verdana"/>
                <w:sz w:val="20"/>
                <w:szCs w:val="20"/>
                <w:lang w:val="en-US"/>
              </w:rPr>
            </w:pPr>
          </w:p>
        </w:tc>
        <w:tc>
          <w:tcPr>
            <w:tcW w:w="4292" w:type="dxa"/>
          </w:tcPr>
          <w:p w:rsidR="00F7213A" w:rsidRDefault="00122A5C" w:rsidP="00217654">
            <w:pPr>
              <w:jc w:val="both"/>
              <w:rPr>
                <w:rFonts w:ascii="Verdana" w:hAnsi="Verdana"/>
                <w:sz w:val="20"/>
                <w:szCs w:val="20"/>
                <w:lang w:val="en-US"/>
              </w:rPr>
            </w:pPr>
            <w:r>
              <w:rPr>
                <w:rFonts w:ascii="Verdana" w:hAnsi="Verdana"/>
                <w:sz w:val="20"/>
                <w:szCs w:val="20"/>
                <w:lang w:val="en-US"/>
              </w:rPr>
              <w:t>The asset’s book value is never written off completely</w:t>
            </w:r>
            <w:r w:rsidR="00822458">
              <w:rPr>
                <w:rFonts w:ascii="Verdana" w:hAnsi="Verdana"/>
                <w:sz w:val="20"/>
                <w:szCs w:val="20"/>
                <w:lang w:val="en-US"/>
              </w:rPr>
              <w:t>.</w:t>
            </w:r>
          </w:p>
        </w:tc>
      </w:tr>
      <w:tr w:rsidR="00F7213A" w:rsidTr="000B22FC">
        <w:tc>
          <w:tcPr>
            <w:tcW w:w="648" w:type="dxa"/>
          </w:tcPr>
          <w:p w:rsidR="00F7213A" w:rsidRDefault="00122A5C" w:rsidP="00F7213A">
            <w:pPr>
              <w:jc w:val="center"/>
              <w:rPr>
                <w:rFonts w:ascii="Verdana" w:hAnsi="Verdana"/>
                <w:sz w:val="20"/>
                <w:szCs w:val="20"/>
                <w:lang w:val="en-US"/>
              </w:rPr>
            </w:pPr>
            <w:r>
              <w:rPr>
                <w:rFonts w:ascii="Verdana" w:hAnsi="Verdana"/>
                <w:sz w:val="20"/>
                <w:szCs w:val="20"/>
                <w:lang w:val="en-US"/>
              </w:rPr>
              <w:t>5.</w:t>
            </w:r>
          </w:p>
        </w:tc>
        <w:tc>
          <w:tcPr>
            <w:tcW w:w="1450" w:type="dxa"/>
          </w:tcPr>
          <w:p w:rsidR="00F7213A" w:rsidRDefault="00122A5C" w:rsidP="00217654">
            <w:pPr>
              <w:jc w:val="both"/>
              <w:rPr>
                <w:rFonts w:ascii="Verdana" w:hAnsi="Verdana"/>
                <w:sz w:val="20"/>
                <w:szCs w:val="20"/>
                <w:lang w:val="en-US"/>
              </w:rPr>
            </w:pPr>
            <w:r>
              <w:rPr>
                <w:rFonts w:ascii="Verdana" w:hAnsi="Verdana"/>
                <w:sz w:val="20"/>
                <w:szCs w:val="20"/>
                <w:lang w:val="en-US"/>
              </w:rPr>
              <w:t>Initial year’s depreciation</w:t>
            </w:r>
          </w:p>
        </w:tc>
        <w:tc>
          <w:tcPr>
            <w:tcW w:w="4292" w:type="dxa"/>
          </w:tcPr>
          <w:p w:rsidR="00F7213A" w:rsidRDefault="00122A5C" w:rsidP="00217654">
            <w:pPr>
              <w:jc w:val="both"/>
              <w:rPr>
                <w:rFonts w:ascii="Verdana" w:hAnsi="Verdana"/>
                <w:sz w:val="20"/>
                <w:szCs w:val="20"/>
                <w:lang w:val="en-US"/>
              </w:rPr>
            </w:pPr>
            <w:r>
              <w:rPr>
                <w:rFonts w:ascii="Verdana" w:hAnsi="Verdana"/>
                <w:sz w:val="20"/>
                <w:szCs w:val="20"/>
                <w:lang w:val="en-US"/>
              </w:rPr>
              <w:t>Amount of depreciation under SLM is initially</w:t>
            </w:r>
            <w:r w:rsidR="00822458">
              <w:rPr>
                <w:rFonts w:ascii="Verdana" w:hAnsi="Verdana"/>
                <w:sz w:val="20"/>
                <w:szCs w:val="20"/>
                <w:lang w:val="en-US"/>
              </w:rPr>
              <w:t xml:space="preserve"> lower compared to that under WDV.</w:t>
            </w:r>
          </w:p>
          <w:p w:rsidR="000B22FC" w:rsidRDefault="000B22FC" w:rsidP="00217654">
            <w:pPr>
              <w:jc w:val="both"/>
              <w:rPr>
                <w:rFonts w:ascii="Verdana" w:hAnsi="Verdana"/>
                <w:sz w:val="20"/>
                <w:szCs w:val="20"/>
                <w:lang w:val="en-US"/>
              </w:rPr>
            </w:pPr>
          </w:p>
        </w:tc>
        <w:tc>
          <w:tcPr>
            <w:tcW w:w="4292" w:type="dxa"/>
          </w:tcPr>
          <w:p w:rsidR="00F7213A" w:rsidRDefault="00822458" w:rsidP="00217654">
            <w:pPr>
              <w:jc w:val="both"/>
              <w:rPr>
                <w:rFonts w:ascii="Verdana" w:hAnsi="Verdana"/>
                <w:sz w:val="20"/>
                <w:szCs w:val="20"/>
                <w:lang w:val="en-US"/>
              </w:rPr>
            </w:pPr>
            <w:r>
              <w:rPr>
                <w:rFonts w:ascii="Verdana" w:hAnsi="Verdana"/>
                <w:sz w:val="20"/>
                <w:szCs w:val="20"/>
                <w:lang w:val="en-US"/>
              </w:rPr>
              <w:t>Under WDV method the amount of depreciation at the beginning years are higher.</w:t>
            </w:r>
          </w:p>
        </w:tc>
      </w:tr>
      <w:tr w:rsidR="00F7213A" w:rsidTr="000B22FC">
        <w:tc>
          <w:tcPr>
            <w:tcW w:w="648" w:type="dxa"/>
          </w:tcPr>
          <w:p w:rsidR="00F7213A" w:rsidRPr="0073512D" w:rsidRDefault="0073512D" w:rsidP="0073512D">
            <w:pPr>
              <w:jc w:val="center"/>
              <w:rPr>
                <w:rFonts w:ascii="Verdana" w:hAnsi="Verdana"/>
                <w:sz w:val="20"/>
                <w:szCs w:val="20"/>
                <w:lang w:val="en-US"/>
              </w:rPr>
            </w:pPr>
            <w:r>
              <w:rPr>
                <w:rFonts w:ascii="Verdana" w:hAnsi="Verdana"/>
                <w:sz w:val="20"/>
                <w:szCs w:val="20"/>
                <w:lang w:val="en-US"/>
              </w:rPr>
              <w:t>6.</w:t>
            </w:r>
          </w:p>
        </w:tc>
        <w:tc>
          <w:tcPr>
            <w:tcW w:w="1450" w:type="dxa"/>
          </w:tcPr>
          <w:p w:rsidR="00F7213A" w:rsidRDefault="0073512D" w:rsidP="00217654">
            <w:pPr>
              <w:jc w:val="both"/>
              <w:rPr>
                <w:rFonts w:ascii="Verdana" w:hAnsi="Verdana"/>
                <w:sz w:val="20"/>
                <w:szCs w:val="20"/>
                <w:lang w:val="en-US"/>
              </w:rPr>
            </w:pPr>
            <w:r>
              <w:rPr>
                <w:rFonts w:ascii="Verdana" w:hAnsi="Verdana"/>
                <w:sz w:val="20"/>
                <w:szCs w:val="20"/>
                <w:lang w:val="en-US"/>
              </w:rPr>
              <w:t>Suitability</w:t>
            </w:r>
          </w:p>
        </w:tc>
        <w:tc>
          <w:tcPr>
            <w:tcW w:w="4292" w:type="dxa"/>
          </w:tcPr>
          <w:p w:rsidR="00F7213A" w:rsidRDefault="0073512D" w:rsidP="00217654">
            <w:pPr>
              <w:jc w:val="both"/>
              <w:rPr>
                <w:rFonts w:ascii="Verdana" w:hAnsi="Verdana"/>
                <w:sz w:val="20"/>
                <w:szCs w:val="20"/>
                <w:lang w:val="en-US"/>
              </w:rPr>
            </w:pPr>
            <w:r>
              <w:rPr>
                <w:rFonts w:ascii="Verdana" w:hAnsi="Verdana"/>
                <w:sz w:val="20"/>
                <w:szCs w:val="20"/>
                <w:lang w:val="en-US"/>
              </w:rPr>
              <w:t>Best with assets with negligible repairs.</w:t>
            </w:r>
          </w:p>
        </w:tc>
        <w:tc>
          <w:tcPr>
            <w:tcW w:w="4292" w:type="dxa"/>
          </w:tcPr>
          <w:p w:rsidR="00F7213A" w:rsidRDefault="0073512D" w:rsidP="00217654">
            <w:pPr>
              <w:jc w:val="both"/>
              <w:rPr>
                <w:rFonts w:ascii="Verdana" w:hAnsi="Verdana"/>
                <w:sz w:val="20"/>
                <w:szCs w:val="20"/>
                <w:lang w:val="en-US"/>
              </w:rPr>
            </w:pPr>
            <w:r>
              <w:rPr>
                <w:rFonts w:ascii="Verdana" w:hAnsi="Verdana"/>
                <w:sz w:val="20"/>
                <w:szCs w:val="20"/>
                <w:lang w:val="en-US"/>
              </w:rPr>
              <w:t>Appropriate for assets whose repairs increase as the get older.</w:t>
            </w:r>
          </w:p>
          <w:p w:rsidR="000B22FC" w:rsidRDefault="000B22FC" w:rsidP="00217654">
            <w:pPr>
              <w:jc w:val="both"/>
              <w:rPr>
                <w:rFonts w:ascii="Verdana" w:hAnsi="Verdana"/>
                <w:sz w:val="20"/>
                <w:szCs w:val="20"/>
                <w:lang w:val="en-US"/>
              </w:rPr>
            </w:pPr>
          </w:p>
        </w:tc>
      </w:tr>
    </w:tbl>
    <w:p w:rsidR="009C41B9" w:rsidRDefault="009C41B9" w:rsidP="009C41B9">
      <w:pPr>
        <w:pStyle w:val="Title"/>
        <w:jc w:val="both"/>
        <w:rPr>
          <w:rFonts w:ascii="Verdana" w:hAnsi="Verdana"/>
          <w:b/>
          <w:color w:val="000000" w:themeColor="text1"/>
          <w:sz w:val="22"/>
          <w:szCs w:val="20"/>
          <w:lang w:val="en-US"/>
        </w:rPr>
      </w:pPr>
      <w:r>
        <w:rPr>
          <w:rFonts w:ascii="Verdana" w:hAnsi="Verdana"/>
          <w:b/>
          <w:color w:val="000000" w:themeColor="text1"/>
          <w:sz w:val="22"/>
          <w:szCs w:val="20"/>
          <w:lang w:val="en-US"/>
        </w:rPr>
        <w:lastRenderedPageBreak/>
        <w:t>Replacement Analysis</w:t>
      </w:r>
    </w:p>
    <w:p w:rsidR="009C41B9" w:rsidRDefault="009C41B9" w:rsidP="001E0613">
      <w:pPr>
        <w:jc w:val="both"/>
        <w:rPr>
          <w:rFonts w:ascii="Verdana" w:hAnsi="Verdana"/>
          <w:sz w:val="20"/>
          <w:lang w:val="en-US"/>
        </w:rPr>
      </w:pPr>
      <w:r>
        <w:rPr>
          <w:rFonts w:ascii="Verdana" w:hAnsi="Verdana"/>
          <w:sz w:val="20"/>
          <w:lang w:val="en-US"/>
        </w:rPr>
        <w:t xml:space="preserve">Replacement decision attempts to formulate a policy as to when to replace the existing machines irrespective of whether they still have some utility left or not. If the existing machine has become obsolete, the firm is forced to replace it. In this case it is not a replacement decision </w:t>
      </w:r>
      <w:r w:rsidR="001E0613">
        <w:rPr>
          <w:rFonts w:ascii="Verdana" w:hAnsi="Verdana"/>
          <w:sz w:val="20"/>
          <w:lang w:val="en-US"/>
        </w:rPr>
        <w:t>but a selection of one from many possible replacement alternatives.</w:t>
      </w:r>
    </w:p>
    <w:p w:rsidR="001E0613" w:rsidRDefault="001E0613" w:rsidP="001E0613">
      <w:pPr>
        <w:jc w:val="both"/>
        <w:rPr>
          <w:rFonts w:ascii="Verdana" w:hAnsi="Verdana"/>
          <w:sz w:val="20"/>
          <w:lang w:val="en-US"/>
        </w:rPr>
      </w:pPr>
    </w:p>
    <w:p w:rsidR="001E0613" w:rsidRDefault="001E0613" w:rsidP="001E0613">
      <w:pPr>
        <w:jc w:val="both"/>
        <w:rPr>
          <w:rFonts w:ascii="Verdana" w:hAnsi="Verdana"/>
          <w:sz w:val="20"/>
          <w:lang w:val="en-US"/>
        </w:rPr>
      </w:pPr>
      <w:r>
        <w:rPr>
          <w:rFonts w:ascii="Verdana" w:hAnsi="Verdana"/>
          <w:sz w:val="20"/>
          <w:lang w:val="en-US"/>
        </w:rPr>
        <w:t>If a firm continues to persist with the policy not to replace till the life of the existing machine is over it may be supporting an uneconomical situation. The replacement of existing machine raises the question of time of replacement that is most economical to the firm.</w:t>
      </w:r>
    </w:p>
    <w:p w:rsidR="001E0613" w:rsidRDefault="001E0613" w:rsidP="001E0613">
      <w:pPr>
        <w:jc w:val="both"/>
        <w:rPr>
          <w:rFonts w:ascii="Verdana" w:hAnsi="Verdana"/>
          <w:sz w:val="20"/>
          <w:lang w:val="en-US"/>
        </w:rPr>
      </w:pPr>
    </w:p>
    <w:p w:rsidR="001E0613" w:rsidRDefault="001E0613" w:rsidP="001E0613">
      <w:pPr>
        <w:jc w:val="both"/>
        <w:rPr>
          <w:rFonts w:ascii="Verdana" w:hAnsi="Verdana"/>
          <w:sz w:val="20"/>
          <w:lang w:val="en-US"/>
        </w:rPr>
      </w:pPr>
      <w:r>
        <w:rPr>
          <w:rFonts w:ascii="Verdana" w:hAnsi="Verdana"/>
          <w:sz w:val="20"/>
          <w:lang w:val="en-US"/>
        </w:rPr>
        <w:t>The existing machine is termed as the “defender” and the machine that might be bought to replace the existing one is called the “challenger”. Replacement analysis deals with the evaluation of defender and challenger. Various replacement analysis techniques are applied depending upon different circumstances for existing installed asset (i.e. defender) against the best current available asset (i.e. challenger). If the defender proves to be economical it will be retained else it will be replaced with the challenger.</w:t>
      </w:r>
    </w:p>
    <w:p w:rsidR="00ED10D0" w:rsidRDefault="00ED10D0" w:rsidP="001E0613">
      <w:pPr>
        <w:jc w:val="both"/>
        <w:rPr>
          <w:rFonts w:ascii="Verdana" w:hAnsi="Verdana"/>
          <w:sz w:val="20"/>
          <w:lang w:val="en-US"/>
        </w:rPr>
      </w:pPr>
    </w:p>
    <w:p w:rsidR="00ED10D0" w:rsidRPr="009C41B9" w:rsidRDefault="00ED10D0" w:rsidP="001E0613">
      <w:pPr>
        <w:jc w:val="both"/>
        <w:rPr>
          <w:rFonts w:ascii="Verdana" w:hAnsi="Verdana"/>
          <w:sz w:val="20"/>
          <w:lang w:val="en-US"/>
        </w:rPr>
      </w:pPr>
    </w:p>
    <w:p w:rsidR="00F7213A" w:rsidRDefault="00F7213A" w:rsidP="001E0613">
      <w:pPr>
        <w:jc w:val="both"/>
        <w:rPr>
          <w:rFonts w:ascii="Verdana" w:hAnsi="Verdana"/>
          <w:sz w:val="20"/>
          <w:szCs w:val="20"/>
          <w:lang w:val="en-US"/>
        </w:rPr>
      </w:pPr>
    </w:p>
    <w:p w:rsidR="0093121E" w:rsidRDefault="0093121E" w:rsidP="001E0613">
      <w:pPr>
        <w:jc w:val="both"/>
        <w:rPr>
          <w:rFonts w:ascii="Verdana" w:hAnsi="Verdana"/>
          <w:sz w:val="20"/>
          <w:szCs w:val="20"/>
          <w:lang w:val="en-US"/>
        </w:rPr>
      </w:pPr>
    </w:p>
    <w:p w:rsidR="0093121E" w:rsidRDefault="0093121E" w:rsidP="0093121E">
      <w:pPr>
        <w:pStyle w:val="Title"/>
        <w:jc w:val="both"/>
        <w:rPr>
          <w:rFonts w:ascii="Verdana" w:hAnsi="Verdana"/>
          <w:b/>
          <w:color w:val="000000" w:themeColor="text1"/>
          <w:sz w:val="22"/>
          <w:szCs w:val="20"/>
          <w:lang w:val="en-US"/>
        </w:rPr>
      </w:pPr>
      <w:r>
        <w:rPr>
          <w:rFonts w:ascii="Verdana" w:hAnsi="Verdana"/>
          <w:b/>
          <w:color w:val="000000" w:themeColor="text1"/>
          <w:sz w:val="22"/>
          <w:szCs w:val="20"/>
          <w:lang w:val="en-US"/>
        </w:rPr>
        <w:t>Sensitivity Analysis</w:t>
      </w:r>
    </w:p>
    <w:p w:rsidR="0093121E" w:rsidRDefault="00EA56C5" w:rsidP="00EA56C5">
      <w:pPr>
        <w:jc w:val="both"/>
        <w:rPr>
          <w:rFonts w:ascii="Verdana" w:hAnsi="Verdana"/>
          <w:sz w:val="20"/>
          <w:lang w:val="en-US"/>
        </w:rPr>
      </w:pPr>
      <w:r>
        <w:rPr>
          <w:rFonts w:ascii="Verdana" w:hAnsi="Verdana"/>
          <w:sz w:val="20"/>
          <w:lang w:val="en-US"/>
        </w:rPr>
        <w:t>The risk for the capital budgeting projects emanates from the variability of its cash flow. Cash flow s are projected on the basis of few critical assumptions. Normally, such assumptions relate to key variables such as the level of output, selling price of the product, cost structure, administrative and other overheads etc. Any change in these key determinants will cause a change in the cash flows and therefore the net present value (NPV) of the project.</w:t>
      </w:r>
    </w:p>
    <w:p w:rsidR="00EA56C5" w:rsidRDefault="00EA56C5" w:rsidP="00EA56C5">
      <w:pPr>
        <w:jc w:val="both"/>
        <w:rPr>
          <w:rFonts w:ascii="Verdana" w:hAnsi="Verdana"/>
          <w:sz w:val="20"/>
          <w:lang w:val="en-US"/>
        </w:rPr>
      </w:pPr>
    </w:p>
    <w:p w:rsidR="00EA56C5" w:rsidRDefault="00EA56C5" w:rsidP="00EA56C5">
      <w:pPr>
        <w:jc w:val="both"/>
        <w:rPr>
          <w:rFonts w:ascii="Verdana" w:hAnsi="Verdana"/>
          <w:sz w:val="20"/>
          <w:lang w:val="en-US"/>
        </w:rPr>
      </w:pPr>
      <w:r>
        <w:rPr>
          <w:rFonts w:ascii="Verdana" w:hAnsi="Verdana"/>
          <w:sz w:val="20"/>
          <w:lang w:val="en-US"/>
        </w:rPr>
        <w:t xml:space="preserve">Sensitivity analysis measures the change in the NPV of the project with </w:t>
      </w:r>
      <w:r w:rsidR="003A0EC7">
        <w:rPr>
          <w:rFonts w:ascii="Verdana" w:hAnsi="Verdana"/>
          <w:sz w:val="20"/>
          <w:lang w:val="en-US"/>
        </w:rPr>
        <w:t>respect to change in one of the independent variables impacting the NPV. For example, one may like to know whether a decline in the selling price by 10% which managers may see as a distinct possibility, can be sustained by the project.</w:t>
      </w:r>
    </w:p>
    <w:p w:rsidR="003A0EC7" w:rsidRDefault="003A0EC7" w:rsidP="00EA56C5">
      <w:pPr>
        <w:jc w:val="both"/>
        <w:rPr>
          <w:rFonts w:ascii="Verdana" w:hAnsi="Verdana"/>
          <w:sz w:val="20"/>
          <w:lang w:val="en-US"/>
        </w:rPr>
      </w:pPr>
    </w:p>
    <w:p w:rsidR="003A0EC7" w:rsidRPr="0093121E" w:rsidRDefault="003A0EC7" w:rsidP="00EA56C5">
      <w:pPr>
        <w:jc w:val="both"/>
        <w:rPr>
          <w:rFonts w:ascii="Verdana" w:hAnsi="Verdana"/>
          <w:sz w:val="20"/>
          <w:lang w:val="en-US"/>
        </w:rPr>
      </w:pPr>
      <w:r>
        <w:rPr>
          <w:rFonts w:ascii="Verdana" w:hAnsi="Verdana"/>
          <w:sz w:val="20"/>
          <w:lang w:val="en-US"/>
        </w:rPr>
        <w:t>Sensitivity analysis helps managers identify which of the assumptions is the most critical for the project. It not only helps them in making an initial decision of acceptance / rejection of project</w:t>
      </w:r>
      <w:r w:rsidR="00DF1D4E">
        <w:rPr>
          <w:rFonts w:ascii="Verdana" w:hAnsi="Verdana"/>
          <w:sz w:val="20"/>
          <w:lang w:val="en-US"/>
        </w:rPr>
        <w:t xml:space="preserve"> but also lets them focus their attention on key variables, in order of their criticality to the project’s viability in an ever-changing environment.</w:t>
      </w:r>
    </w:p>
    <w:p w:rsidR="0093121E" w:rsidRPr="00F7213A" w:rsidRDefault="0093121E" w:rsidP="00EA56C5">
      <w:pPr>
        <w:jc w:val="both"/>
        <w:rPr>
          <w:rFonts w:ascii="Verdana" w:hAnsi="Verdana"/>
          <w:sz w:val="20"/>
          <w:szCs w:val="20"/>
          <w:lang w:val="en-US"/>
        </w:rPr>
      </w:pPr>
    </w:p>
    <w:sectPr w:rsidR="0093121E" w:rsidRPr="00F7213A" w:rsidSect="00371BF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B0D"/>
    <w:multiLevelType w:val="hybridMultilevel"/>
    <w:tmpl w:val="63C63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97AF1"/>
    <w:multiLevelType w:val="hybridMultilevel"/>
    <w:tmpl w:val="7DB63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8740E"/>
    <w:multiLevelType w:val="hybridMultilevel"/>
    <w:tmpl w:val="F89C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A13DE"/>
    <w:multiLevelType w:val="hybridMultilevel"/>
    <w:tmpl w:val="E13E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93B75"/>
    <w:multiLevelType w:val="hybridMultilevel"/>
    <w:tmpl w:val="9338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B3597"/>
    <w:multiLevelType w:val="hybridMultilevel"/>
    <w:tmpl w:val="A63022EC"/>
    <w:lvl w:ilvl="0" w:tplc="0ADCF7FC">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40C3F"/>
    <w:multiLevelType w:val="hybridMultilevel"/>
    <w:tmpl w:val="BDEEDCCE"/>
    <w:lvl w:ilvl="0" w:tplc="1D606EA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210F83"/>
    <w:multiLevelType w:val="hybridMultilevel"/>
    <w:tmpl w:val="4D32C900"/>
    <w:lvl w:ilvl="0" w:tplc="08AAC3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E6E7620"/>
    <w:multiLevelType w:val="hybridMultilevel"/>
    <w:tmpl w:val="E62249C4"/>
    <w:lvl w:ilvl="0" w:tplc="4DD66D16">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091076"/>
    <w:multiLevelType w:val="hybridMultilevel"/>
    <w:tmpl w:val="B3DA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A79F0"/>
    <w:multiLevelType w:val="hybridMultilevel"/>
    <w:tmpl w:val="7B4EE50E"/>
    <w:lvl w:ilvl="0" w:tplc="B0DEBD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F50BBB"/>
    <w:multiLevelType w:val="hybridMultilevel"/>
    <w:tmpl w:val="6DE20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21CD6"/>
    <w:multiLevelType w:val="hybridMultilevel"/>
    <w:tmpl w:val="E8C0B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9773786"/>
    <w:multiLevelType w:val="hybridMultilevel"/>
    <w:tmpl w:val="0EE4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E7C69"/>
    <w:multiLevelType w:val="hybridMultilevel"/>
    <w:tmpl w:val="5608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173E16"/>
    <w:multiLevelType w:val="hybridMultilevel"/>
    <w:tmpl w:val="5C9AFF24"/>
    <w:lvl w:ilvl="0" w:tplc="1FF67A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33C1F4B"/>
    <w:multiLevelType w:val="hybridMultilevel"/>
    <w:tmpl w:val="E6F4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129DB"/>
    <w:multiLevelType w:val="hybridMultilevel"/>
    <w:tmpl w:val="9E48CAB2"/>
    <w:lvl w:ilvl="0" w:tplc="91D4DF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363E43"/>
    <w:multiLevelType w:val="hybridMultilevel"/>
    <w:tmpl w:val="9B2EC406"/>
    <w:lvl w:ilvl="0" w:tplc="816460BC">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7043D"/>
    <w:multiLevelType w:val="hybridMultilevel"/>
    <w:tmpl w:val="C6D6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E5302E"/>
    <w:multiLevelType w:val="hybridMultilevel"/>
    <w:tmpl w:val="60BED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F5DA0"/>
    <w:multiLevelType w:val="hybridMultilevel"/>
    <w:tmpl w:val="289AEF64"/>
    <w:lvl w:ilvl="0" w:tplc="0938124E">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D4680C"/>
    <w:multiLevelType w:val="hybridMultilevel"/>
    <w:tmpl w:val="0E3447C6"/>
    <w:lvl w:ilvl="0" w:tplc="F9D4BE66">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833004"/>
    <w:multiLevelType w:val="hybridMultilevel"/>
    <w:tmpl w:val="834E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72E52"/>
    <w:multiLevelType w:val="hybridMultilevel"/>
    <w:tmpl w:val="8C8428E8"/>
    <w:lvl w:ilvl="0" w:tplc="C00C2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B324D1"/>
    <w:multiLevelType w:val="hybridMultilevel"/>
    <w:tmpl w:val="6DCA617C"/>
    <w:lvl w:ilvl="0" w:tplc="03ECB7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ED0468"/>
    <w:multiLevelType w:val="hybridMultilevel"/>
    <w:tmpl w:val="30189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975125"/>
    <w:multiLevelType w:val="hybridMultilevel"/>
    <w:tmpl w:val="06E27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720672"/>
    <w:multiLevelType w:val="hybridMultilevel"/>
    <w:tmpl w:val="F67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553226"/>
    <w:multiLevelType w:val="hybridMultilevel"/>
    <w:tmpl w:val="89F4C9E2"/>
    <w:lvl w:ilvl="0" w:tplc="401CD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16"/>
  </w:num>
  <w:num w:numId="4">
    <w:abstractNumId w:val="27"/>
  </w:num>
  <w:num w:numId="5">
    <w:abstractNumId w:val="15"/>
  </w:num>
  <w:num w:numId="6">
    <w:abstractNumId w:val="3"/>
  </w:num>
  <w:num w:numId="7">
    <w:abstractNumId w:val="2"/>
  </w:num>
  <w:num w:numId="8">
    <w:abstractNumId w:val="9"/>
  </w:num>
  <w:num w:numId="9">
    <w:abstractNumId w:val="13"/>
  </w:num>
  <w:num w:numId="10">
    <w:abstractNumId w:val="14"/>
  </w:num>
  <w:num w:numId="11">
    <w:abstractNumId w:val="24"/>
  </w:num>
  <w:num w:numId="12">
    <w:abstractNumId w:val="19"/>
  </w:num>
  <w:num w:numId="13">
    <w:abstractNumId w:val="0"/>
  </w:num>
  <w:num w:numId="14">
    <w:abstractNumId w:val="26"/>
  </w:num>
  <w:num w:numId="15">
    <w:abstractNumId w:val="11"/>
  </w:num>
  <w:num w:numId="16">
    <w:abstractNumId w:val="20"/>
  </w:num>
  <w:num w:numId="17">
    <w:abstractNumId w:val="29"/>
  </w:num>
  <w:num w:numId="18">
    <w:abstractNumId w:val="7"/>
  </w:num>
  <w:num w:numId="19">
    <w:abstractNumId w:val="17"/>
  </w:num>
  <w:num w:numId="20">
    <w:abstractNumId w:val="5"/>
  </w:num>
  <w:num w:numId="21">
    <w:abstractNumId w:val="8"/>
  </w:num>
  <w:num w:numId="22">
    <w:abstractNumId w:val="12"/>
  </w:num>
  <w:num w:numId="23">
    <w:abstractNumId w:val="21"/>
  </w:num>
  <w:num w:numId="24">
    <w:abstractNumId w:val="18"/>
  </w:num>
  <w:num w:numId="25">
    <w:abstractNumId w:val="23"/>
  </w:num>
  <w:num w:numId="26">
    <w:abstractNumId w:val="4"/>
  </w:num>
  <w:num w:numId="27">
    <w:abstractNumId w:val="28"/>
  </w:num>
  <w:num w:numId="28">
    <w:abstractNumId w:val="25"/>
  </w:num>
  <w:num w:numId="29">
    <w:abstractNumId w:val="6"/>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6B11D9"/>
    <w:rsid w:val="00021FAE"/>
    <w:rsid w:val="0004111A"/>
    <w:rsid w:val="0009289C"/>
    <w:rsid w:val="000936F7"/>
    <w:rsid w:val="000B22FC"/>
    <w:rsid w:val="000B2C42"/>
    <w:rsid w:val="001074C5"/>
    <w:rsid w:val="00122A5C"/>
    <w:rsid w:val="00125ED9"/>
    <w:rsid w:val="001507F9"/>
    <w:rsid w:val="00150812"/>
    <w:rsid w:val="00156A2B"/>
    <w:rsid w:val="00173522"/>
    <w:rsid w:val="00182FEF"/>
    <w:rsid w:val="001A29E5"/>
    <w:rsid w:val="001A49D6"/>
    <w:rsid w:val="001D3432"/>
    <w:rsid w:val="001E0613"/>
    <w:rsid w:val="001F067C"/>
    <w:rsid w:val="00217654"/>
    <w:rsid w:val="00220A78"/>
    <w:rsid w:val="002532A9"/>
    <w:rsid w:val="00267616"/>
    <w:rsid w:val="00271EED"/>
    <w:rsid w:val="002A31A6"/>
    <w:rsid w:val="00371BFA"/>
    <w:rsid w:val="0037756D"/>
    <w:rsid w:val="003A0EC7"/>
    <w:rsid w:val="003A0FCB"/>
    <w:rsid w:val="003A3FB7"/>
    <w:rsid w:val="003B15E5"/>
    <w:rsid w:val="003C013D"/>
    <w:rsid w:val="003D60E7"/>
    <w:rsid w:val="00423364"/>
    <w:rsid w:val="00482C7A"/>
    <w:rsid w:val="00493A2B"/>
    <w:rsid w:val="004C35A2"/>
    <w:rsid w:val="00522484"/>
    <w:rsid w:val="005227D9"/>
    <w:rsid w:val="00566E25"/>
    <w:rsid w:val="005F113C"/>
    <w:rsid w:val="005F28A5"/>
    <w:rsid w:val="00663DED"/>
    <w:rsid w:val="00666C77"/>
    <w:rsid w:val="00693B7E"/>
    <w:rsid w:val="006A7502"/>
    <w:rsid w:val="006B11D9"/>
    <w:rsid w:val="006E4809"/>
    <w:rsid w:val="0073512D"/>
    <w:rsid w:val="00743EB2"/>
    <w:rsid w:val="00757B31"/>
    <w:rsid w:val="007726FB"/>
    <w:rsid w:val="007934E3"/>
    <w:rsid w:val="007A0B8D"/>
    <w:rsid w:val="00822458"/>
    <w:rsid w:val="00842C42"/>
    <w:rsid w:val="00854BFF"/>
    <w:rsid w:val="00870DE4"/>
    <w:rsid w:val="00883B9F"/>
    <w:rsid w:val="008A77BD"/>
    <w:rsid w:val="008F0448"/>
    <w:rsid w:val="00916B9B"/>
    <w:rsid w:val="0093121E"/>
    <w:rsid w:val="00960389"/>
    <w:rsid w:val="00972C7F"/>
    <w:rsid w:val="00980F22"/>
    <w:rsid w:val="00986E44"/>
    <w:rsid w:val="009928A9"/>
    <w:rsid w:val="00994C49"/>
    <w:rsid w:val="009C41B9"/>
    <w:rsid w:val="00A16342"/>
    <w:rsid w:val="00A34652"/>
    <w:rsid w:val="00A35EC6"/>
    <w:rsid w:val="00A574D1"/>
    <w:rsid w:val="00A62653"/>
    <w:rsid w:val="00A71F2B"/>
    <w:rsid w:val="00A77CC4"/>
    <w:rsid w:val="00A914AD"/>
    <w:rsid w:val="00AB32BB"/>
    <w:rsid w:val="00AB48D3"/>
    <w:rsid w:val="00AE7BDA"/>
    <w:rsid w:val="00AF0FD1"/>
    <w:rsid w:val="00B36A7E"/>
    <w:rsid w:val="00B40B49"/>
    <w:rsid w:val="00B46F79"/>
    <w:rsid w:val="00B7063E"/>
    <w:rsid w:val="00B712C6"/>
    <w:rsid w:val="00B82203"/>
    <w:rsid w:val="00B85668"/>
    <w:rsid w:val="00C14EB3"/>
    <w:rsid w:val="00CC44AD"/>
    <w:rsid w:val="00CF536C"/>
    <w:rsid w:val="00D047F0"/>
    <w:rsid w:val="00D372A0"/>
    <w:rsid w:val="00DE042A"/>
    <w:rsid w:val="00DF1D4E"/>
    <w:rsid w:val="00E239EC"/>
    <w:rsid w:val="00E31284"/>
    <w:rsid w:val="00EA56C5"/>
    <w:rsid w:val="00EB2FDB"/>
    <w:rsid w:val="00ED10D0"/>
    <w:rsid w:val="00EF597C"/>
    <w:rsid w:val="00F1425C"/>
    <w:rsid w:val="00F2732A"/>
    <w:rsid w:val="00F35620"/>
    <w:rsid w:val="00F3672D"/>
    <w:rsid w:val="00F7213A"/>
    <w:rsid w:val="00F844A9"/>
    <w:rsid w:val="00FA3BC2"/>
    <w:rsid w:val="00FA73E3"/>
    <w:rsid w:val="00FB2F20"/>
    <w:rsid w:val="00FC4FA8"/>
    <w:rsid w:val="00FE0B12"/>
    <w:rsid w:val="00FF0322"/>
    <w:rsid w:val="00FF6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25"/>
    <w:pPr>
      <w:widowControl w:val="0"/>
      <w:autoSpaceDE w:val="0"/>
      <w:autoSpaceDN w:val="0"/>
      <w:adjustRightInd w:val="0"/>
      <w:spacing w:after="0" w:line="240" w:lineRule="auto"/>
    </w:pPr>
    <w:rPr>
      <w:rFonts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1D9"/>
    <w:pPr>
      <w:spacing w:after="0" w:line="240" w:lineRule="auto"/>
    </w:pPr>
    <w:rPr>
      <w:rFonts w:asciiTheme="minorHAnsi"/>
    </w:rPr>
  </w:style>
  <w:style w:type="paragraph" w:styleId="Title">
    <w:name w:val="Title"/>
    <w:basedOn w:val="Normal"/>
    <w:next w:val="Normal"/>
    <w:link w:val="TitleChar"/>
    <w:uiPriority w:val="10"/>
    <w:qFormat/>
    <w:rsid w:val="00371B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B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1BFA"/>
    <w:pPr>
      <w:ind w:left="720"/>
      <w:contextualSpacing/>
    </w:pPr>
  </w:style>
  <w:style w:type="paragraph" w:styleId="BalloonText">
    <w:name w:val="Balloon Text"/>
    <w:basedOn w:val="Normal"/>
    <w:link w:val="BalloonTextChar"/>
    <w:uiPriority w:val="99"/>
    <w:semiHidden/>
    <w:unhideWhenUsed/>
    <w:rsid w:val="008A77BD"/>
    <w:rPr>
      <w:rFonts w:ascii="Tahoma" w:hAnsi="Tahoma" w:cs="Tahoma"/>
      <w:sz w:val="16"/>
      <w:szCs w:val="16"/>
    </w:rPr>
  </w:style>
  <w:style w:type="character" w:customStyle="1" w:styleId="BalloonTextChar">
    <w:name w:val="Balloon Text Char"/>
    <w:basedOn w:val="DefaultParagraphFont"/>
    <w:link w:val="BalloonText"/>
    <w:uiPriority w:val="99"/>
    <w:semiHidden/>
    <w:rsid w:val="008A77BD"/>
    <w:rPr>
      <w:rFonts w:ascii="Tahoma" w:hAnsi="Tahoma" w:cs="Tahoma"/>
      <w:sz w:val="16"/>
      <w:szCs w:val="16"/>
    </w:rPr>
  </w:style>
  <w:style w:type="paragraph" w:styleId="NormalWeb">
    <w:name w:val="Normal (Web)"/>
    <w:basedOn w:val="Normal"/>
    <w:rsid w:val="007934E3"/>
    <w:pPr>
      <w:widowControl/>
      <w:autoSpaceDE/>
      <w:autoSpaceDN/>
      <w:adjustRightInd/>
      <w:spacing w:before="100" w:beforeAutospacing="1" w:after="100" w:afterAutospacing="1"/>
    </w:pPr>
    <w:rPr>
      <w:rFonts w:ascii="Times New Roman" w:eastAsia="Times New Roman" w:hAnsi="Times New Roman" w:cs="Times New Roman"/>
      <w:lang w:val="en-US"/>
    </w:rPr>
  </w:style>
  <w:style w:type="paragraph" w:customStyle="1" w:styleId="tblrht">
    <w:name w:val="tblrht"/>
    <w:basedOn w:val="Normal"/>
    <w:rsid w:val="007934E3"/>
    <w:pPr>
      <w:widowControl/>
      <w:autoSpaceDE/>
      <w:autoSpaceDN/>
      <w:adjustRightInd/>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qFormat/>
    <w:rsid w:val="007934E3"/>
    <w:rPr>
      <w:b/>
      <w:bCs/>
    </w:rPr>
  </w:style>
  <w:style w:type="character" w:styleId="Emphasis">
    <w:name w:val="Emphasis"/>
    <w:basedOn w:val="DefaultParagraphFont"/>
    <w:qFormat/>
    <w:rsid w:val="007934E3"/>
    <w:rPr>
      <w:i/>
      <w:iCs/>
    </w:rPr>
  </w:style>
  <w:style w:type="table" w:styleId="TableGrid">
    <w:name w:val="Table Grid"/>
    <w:basedOn w:val="TableNormal"/>
    <w:uiPriority w:val="59"/>
    <w:rsid w:val="00CF53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5ED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ISB</Company>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2017-10-04T14:19:00Z</dcterms:created>
  <dcterms:modified xsi:type="dcterms:W3CDTF">2017-10-05T07:27:00Z</dcterms:modified>
</cp:coreProperties>
</file>