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Jack Skoda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BD43FA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4310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BD43FA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Computer Forensics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 Forensics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2/28/2017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BD43FA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2151, 2230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BD43FA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BD43FA">
              <w:rPr>
                <w:rFonts w:ascii="Arial" w:hAnsi="Arial" w:cs="Arial"/>
                <w:sz w:val="16"/>
                <w:szCs w:val="18"/>
              </w:rPr>
              <w:t>This class is an introduction to digital forensic methods, practices, t</w:t>
            </w:r>
            <w:r>
              <w:rPr>
                <w:rFonts w:ascii="Arial" w:hAnsi="Arial" w:cs="Arial"/>
                <w:sz w:val="16"/>
                <w:szCs w:val="18"/>
              </w:rPr>
              <w:t>echnology, and legal concerns. The student</w:t>
            </w:r>
            <w:r w:rsidRPr="00BD43FA">
              <w:rPr>
                <w:rFonts w:ascii="Arial" w:hAnsi="Arial" w:cs="Arial"/>
                <w:sz w:val="16"/>
                <w:szCs w:val="18"/>
              </w:rPr>
              <w:t xml:space="preserve"> consider</w:t>
            </w:r>
            <w:r>
              <w:rPr>
                <w:rFonts w:ascii="Arial" w:hAnsi="Arial" w:cs="Arial"/>
                <w:sz w:val="16"/>
                <w:szCs w:val="18"/>
              </w:rPr>
              <w:t>s</w:t>
            </w:r>
            <w:r w:rsidRPr="00BD43FA">
              <w:rPr>
                <w:rFonts w:ascii="Arial" w:hAnsi="Arial" w:cs="Arial"/>
                <w:sz w:val="16"/>
                <w:szCs w:val="18"/>
              </w:rPr>
              <w:t xml:space="preserve"> issues of incident response and handling, data collection, chain of evidence, data analysis, cryptanalysis, steganography, and report writing</w:t>
            </w:r>
            <w:r w:rsidRPr="00BD43FA">
              <w:rPr>
                <w:rFonts w:ascii="Arial" w:hAnsi="Arial" w:cs="Arial"/>
                <w:sz w:val="16"/>
                <w:szCs w:val="18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BD43FA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Incident Response and Digital Forensics</w:t>
            </w:r>
            <w:r>
              <w:rPr>
                <w:rFonts w:ascii="Arial" w:hAnsi="Arial" w:cs="Arial"/>
                <w:sz w:val="16"/>
                <w:szCs w:val="16"/>
              </w:rPr>
              <w:t xml:space="preserve">; Kevin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Mandia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BD43FA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File System Forensics Analysis</w:t>
            </w:r>
            <w:r>
              <w:rPr>
                <w:rFonts w:ascii="Arial" w:hAnsi="Arial" w:cs="Arial"/>
                <w:sz w:val="16"/>
                <w:szCs w:val="16"/>
              </w:rPr>
              <w:t>; Brian Carrier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BD43FA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BD43FA" w:rsidRDefault="00BD43FA" w:rsidP="00BD43F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Respond to a computer security incident</w:t>
            </w:r>
          </w:p>
          <w:p w:rsidR="00BD43FA" w:rsidRDefault="00BD43FA" w:rsidP="00BD43F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Conduct a computer security investigation</w:t>
            </w:r>
          </w:p>
          <w:p w:rsidR="00BD43FA" w:rsidRPr="00BD43FA" w:rsidRDefault="00BD43FA" w:rsidP="00BD43F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Analyze computer evidence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BD43FA" w:rsidRPr="00BD43FA" w:rsidRDefault="00BD43FA" w:rsidP="00BD43FA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Legal considerations of digital forensics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Relevant state laws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Relevant federal laws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International cyber law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Policy</w:t>
            </w:r>
          </w:p>
          <w:p w:rsidR="00BD43FA" w:rsidRPr="00BD43FA" w:rsidRDefault="00BD43FA" w:rsidP="00BD43FA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Incident response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What is incident response</w:t>
            </w:r>
            <w:r>
              <w:rPr>
                <w:rFonts w:ascii="Arial" w:hAnsi="Arial"/>
                <w:sz w:val="18"/>
                <w:szCs w:val="18"/>
              </w:rPr>
              <w:t>?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Planning for IR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Handling the incident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Case study of current incident</w:t>
            </w:r>
          </w:p>
          <w:p w:rsidR="00BD43FA" w:rsidRPr="00BD43FA" w:rsidRDefault="00BD43FA" w:rsidP="00BD43FA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Data Collection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Chain of custody for evidence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Handling digital evidence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Crime scene processing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 xml:space="preserve">Collecting evidence from Windows (aka </w:t>
            </w:r>
            <w:r>
              <w:rPr>
                <w:rFonts w:ascii="Arial" w:hAnsi="Arial"/>
                <w:sz w:val="18"/>
                <w:szCs w:val="18"/>
              </w:rPr>
              <w:t>l</w:t>
            </w:r>
            <w:r w:rsidRPr="00BD43FA">
              <w:rPr>
                <w:rFonts w:ascii="Arial" w:hAnsi="Arial"/>
                <w:sz w:val="18"/>
                <w:szCs w:val="18"/>
              </w:rPr>
              <w:t>ive response)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 xml:space="preserve">Collecting evidence from Linux (aka </w:t>
            </w:r>
            <w:r>
              <w:rPr>
                <w:rFonts w:ascii="Arial" w:hAnsi="Arial"/>
                <w:sz w:val="18"/>
                <w:szCs w:val="18"/>
              </w:rPr>
              <w:t>l</w:t>
            </w:r>
            <w:r w:rsidRPr="00BD43FA">
              <w:rPr>
                <w:rFonts w:ascii="Arial" w:hAnsi="Arial"/>
                <w:sz w:val="18"/>
                <w:szCs w:val="18"/>
              </w:rPr>
              <w:t>ive response)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Collecting network evidence</w:t>
            </w:r>
          </w:p>
          <w:p w:rsidR="00BD43FA" w:rsidRPr="00BD43FA" w:rsidRDefault="00BD43FA" w:rsidP="00BD43FA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Cryptanalysis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History of cryptanalysis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Frequency analysis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Brute force attacks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Side channel attacks</w:t>
            </w:r>
          </w:p>
          <w:p w:rsidR="00BD43FA" w:rsidRPr="00BD43FA" w:rsidRDefault="00BD43FA" w:rsidP="00BD43FA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Steganography and data hiding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Methods for hiding data in Windows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Methods for hiding data in Linux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proofErr w:type="spellStart"/>
            <w:r w:rsidRPr="00BD43FA">
              <w:rPr>
                <w:rFonts w:ascii="Arial" w:hAnsi="Arial"/>
                <w:sz w:val="18"/>
                <w:szCs w:val="18"/>
              </w:rPr>
              <w:t>Stego</w:t>
            </w:r>
            <w:proofErr w:type="spellEnd"/>
            <w:r w:rsidRPr="00BD43FA">
              <w:rPr>
                <w:rFonts w:ascii="Arial" w:hAnsi="Arial"/>
                <w:sz w:val="18"/>
                <w:szCs w:val="18"/>
              </w:rPr>
              <w:t xml:space="preserve"> tools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proofErr w:type="spellStart"/>
            <w:r w:rsidRPr="00BD43FA">
              <w:rPr>
                <w:rFonts w:ascii="Arial" w:hAnsi="Arial"/>
                <w:sz w:val="18"/>
                <w:szCs w:val="18"/>
              </w:rPr>
              <w:t>Stego</w:t>
            </w:r>
            <w:proofErr w:type="spellEnd"/>
            <w:r w:rsidRPr="00BD43FA">
              <w:rPr>
                <w:rFonts w:ascii="Arial" w:hAnsi="Arial"/>
                <w:sz w:val="18"/>
                <w:szCs w:val="18"/>
              </w:rPr>
              <w:t xml:space="preserve"> detection tools</w:t>
            </w:r>
          </w:p>
          <w:p w:rsidR="00BD43FA" w:rsidRPr="00BD43FA" w:rsidRDefault="00BD43FA" w:rsidP="00BD43FA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Presenting evidence</w:t>
            </w:r>
          </w:p>
          <w:p w:rsidR="00BD43FA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Writing forensic reports</w:t>
            </w:r>
          </w:p>
          <w:p w:rsidR="00F056B5" w:rsidRPr="00BD43FA" w:rsidRDefault="00BD43FA" w:rsidP="00BD43FA">
            <w:pPr>
              <w:pStyle w:val="ListParagraph"/>
              <w:numPr>
                <w:ilvl w:val="1"/>
                <w:numId w:val="7"/>
              </w:numPr>
              <w:rPr>
                <w:rFonts w:ascii="Arial" w:hAnsi="Arial"/>
                <w:sz w:val="18"/>
                <w:szCs w:val="18"/>
              </w:rPr>
            </w:pPr>
            <w:r w:rsidRPr="00BD43FA">
              <w:rPr>
                <w:rFonts w:ascii="Arial" w:hAnsi="Arial"/>
                <w:sz w:val="18"/>
                <w:szCs w:val="18"/>
              </w:rPr>
              <w:t>Presenting forensic evidence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BD43FA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Participation, quizzes, exams, homework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BD43F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HYB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lastRenderedPageBreak/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0E61"/>
    <w:multiLevelType w:val="multilevel"/>
    <w:tmpl w:val="C44A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302DF9"/>
    <w:multiLevelType w:val="hybridMultilevel"/>
    <w:tmpl w:val="2B06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121BC"/>
    <w:multiLevelType w:val="hybridMultilevel"/>
    <w:tmpl w:val="A6B4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D43FA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2c5f1fed-051d-4f3f-8b46-6b9403f7304d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ED9613-389F-4F44-8971-CD836066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2017-06-08T15:55:00Z</dcterms:created>
  <dcterms:modified xsi:type="dcterms:W3CDTF">2017-06-08T15:55:00Z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