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val="7500" w:hRule="atLeast"/>
        </w:trPr>
        <w:tc>
          <w:tcPr>
            <w:tcW w:type="dxa" w:w="704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21056"/>
            <w:gridSpan w:val="13"/>
            <w:vMerge w:val="restart"/>
          </w:tcPr>
          <w:p>
            <w:pPr>
              <w:spacing w:before="0" w:after="0" w:line="432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36"/>
              </w:rPr>
              <w:t>TGB 台灣金蜂股份有限公司</w:t>
            </w:r>
          </w:p>
        </w:tc>
        <w:tc>
          <w:tcPr>
            <w:tcW w:type="dxa" w:w="1408"/>
          </w:tcPr>
          <w:p/>
        </w:tc>
      </w:tr>
      <w:tr>
        <w:trPr>
          <w:trHeight w:val="10500" w:hRule="atLeast"/>
        </w:trPr>
        <w:tc>
          <w:tcPr>
            <w:tcW w:type="dxa" w:w="704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21056"/>
            <w:gridSpan w:val="13"/>
            <w:vMerge/>
          </w:tcPr>
          <w:p/>
        </w:tc>
        <w:tc>
          <w:tcPr>
            <w:tcW w:type="dxa" w:w="1408"/>
          </w:tcPr>
          <w:p/>
        </w:tc>
      </w:tr>
      <w:tr>
        <w:trPr>
          <w:trHeight w:val="10500" w:hRule="atLeast"/>
        </w:trPr>
        <w:tc>
          <w:tcPr>
            <w:tcW w:type="dxa" w:w="704"/>
          </w:tcPr>
          <w:p/>
        </w:tc>
        <w:tc>
          <w:tcPr>
            <w:tcW w:type="dxa" w:w="13824"/>
            <w:gridSpan w:val="9"/>
            <w:vMerge w:val="restart"/>
          </w:tcPr>
          <w:p>
            <w:pPr>
              <w:spacing w:before="0" w:after="0" w:line="480" w:lineRule="exact"/>
              <w:jc w:val="left"/>
            </w:pPr>
            <w:r/>
            <w:r>
              <w:rPr>
                <w:rFonts w:ascii="新細明體" w:hAnsi="新細明體" w:eastAsia="新細明體"/>
                <w:b/>
                <w:sz w:val="40"/>
              </w:rPr>
              <w:t>簽    呈</w:t>
            </w:r>
          </w:p>
        </w:tc>
        <w:tc>
          <w:tcPr>
            <w:tcW w:type="dxa" w:w="3072"/>
            <w:gridSpan w:val="2"/>
            <w:vMerge w:val="restart"/>
          </w:tcPr>
          <w:p>
            <w:pPr>
              <w:spacing w:before="0" w:after="0" w:line="480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40"/>
              </w:rPr>
              <w:t>單   位</w:t>
            </w:r>
          </w:p>
        </w:tc>
        <w:tc>
          <w:tcPr>
            <w:tcW w:type="dxa" w:w="5696"/>
            <w:gridSpan w:val="3"/>
            <w:vMerge w:val="restart"/>
          </w:tcPr>
          <w:p>
            <w:pPr>
              <w:spacing w:before="0" w:after="0" w:line="480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40"/>
              </w:rPr>
              <w:t>採購課</w:t>
            </w:r>
          </w:p>
        </w:tc>
        <w:tc>
          <w:tcPr>
            <w:tcW w:type="dxa" w:w="1536"/>
          </w:tcPr>
          <w:p/>
        </w:tc>
        <w:tc>
          <w:tcPr>
            <w:tcW w:type="dxa" w:w="1408"/>
          </w:tcPr>
          <w:p/>
        </w:tc>
      </w:tr>
      <w:tr>
        <w:trPr>
          <w:trHeight w:val="10500" w:hRule="atLeast"/>
        </w:trPr>
        <w:tc>
          <w:tcPr>
            <w:tcW w:type="dxa" w:w="704"/>
          </w:tcPr>
          <w:p/>
        </w:tc>
        <w:tc>
          <w:tcPr>
            <w:tcW w:type="dxa" w:w="13824"/>
            <w:gridSpan w:val="9"/>
            <w:vMerge/>
          </w:tcPr>
          <w:p/>
        </w:tc>
        <w:tc>
          <w:tcPr>
            <w:tcW w:type="dxa" w:w="3072"/>
            <w:gridSpan w:val="2"/>
            <w:vMerge/>
          </w:tcPr>
          <w:p/>
        </w:tc>
        <w:tc>
          <w:tcPr>
            <w:tcW w:type="dxa" w:w="5696"/>
            <w:gridSpan w:val="3"/>
            <w:vMerge/>
          </w:tcPr>
          <w:p/>
        </w:tc>
        <w:tc>
          <w:tcPr>
            <w:tcW w:type="dxa" w:w="1536"/>
          </w:tcPr>
          <w:p/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主旨: 深圳市科莱德电子有限公司 UTV 10.4吋中控主機 912791Y 等6項部件單價議決 呈核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說明: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一、現狀911918Y 10.4吋中控主機   供應商: 威騰 進貨價:  CNY1890.0 (NT8505.0)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科莱德912791Y 進貨單價議決 CNY908 (NT4086)， 價差NT4419元.降幅51.96%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二、現狀911913Y/ 960Y(前/後)攝像頭  供應商: 威騰 進貨價:CNY100.0 (NT450.0)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科莱德912793Y/794Y 進貨單價議決 CNY78 (NT351)， 價差NT99元.降幅22%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三、現狀911914Y 天線盒   供應商: 威騰 進貨價:  CNY28 (NT126.0)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科莱德912789Y(含信號放大器)單價議決 CNY22.0 (NT99)， 價差NT27元.降幅21.42%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四、現狀911915Y 中控轉接線   供應商: 威騰 進貨價:  CNY190 (NT855)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科莱德912790Y 進貨單價議決 CNY128 (NT576)， 價差NT279元.降幅32.63%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五、911935Y 藍芽喇叭  供應商: 威騰 進貨價:  CNY361.8 (NT1628.1)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新供應商: 科莱德912792Y 進貨單價議決 CNY300 (NT1350)， 價差NT278.1元.降幅17.08%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六、模具與開發費用：CNY188,100  (NT846,450)【開發費用CNY96,000、模具費CNY92,100】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1.模具費：塑膠面殼、塑膠底蓋、矽膠按鍵、防水密封圈模具CNY92,100(NT415,450)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            交貨達15,000台，返還模具費CNY92,100，另藍芽喇叭開發與模具費CNY10,000科萊德承擔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2.開發費：開發費用CNY146,000，科萊德承擔CNY50,000，TGB承擔CNY96,000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分二期給付：1.合約簽訂時 T/T給付50% CNY94,050 (NT423,225)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                         2.初樣合格 T/T給付50% CNY94,050 (NT423,225)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七、初樣送樣數量: 付款啟動合約4個月內交付各3PCS(不付費)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八、認證：CE→33,000、R10→36,000與FCC→24,000，認證費用小計 93,000 於啟動與獲證各50%T/T給付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九、付款方式：FOB 深圳港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1.前5批量產預付貨款30% T/T給付.尾款70% T/T給付款到發貨。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2.第6批起依據船公司裝貨日期(提單日期)起計算 L/C 60天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十、最低訂購量: 300pcs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十一、前置期: 45天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十二、合約書一式二份 併呈請鈞長用印.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     -----------------   以           上  -----------------------</w:t>
            </w:r>
          </w:p>
        </w:tc>
        <w:tc>
          <w:tcPr>
            <w:tcW w:type="dxa" w:w="1408"/>
          </w:tcPr>
          <w:p/>
        </w:tc>
      </w:tr>
      <w:tr>
        <w:trPr>
          <w:trHeight w:val="8780" w:hRule="atLeast"/>
        </w:trPr>
        <w:tc>
          <w:tcPr>
            <w:tcW w:type="dxa" w:w="704"/>
          </w:tcPr>
          <w:p/>
        </w:tc>
        <w:tc>
          <w:tcPr>
            <w:tcW w:type="dxa" w:w="24128"/>
            <w:gridSpan w:val="15"/>
          </w:tcPr>
          <w:p>
            <w:pPr>
              <w:spacing w:before="0" w:after="0" w:line="264" w:lineRule="exact"/>
              <w:jc w:val="left"/>
            </w:pPr>
            <w:r/>
            <w:r>
              <w:rPr>
                <w:rFonts w:ascii="新細明體" w:hAnsi="新細明體" w:eastAsia="新細明體"/>
                <w:b/>
                <w:sz w:val="22"/>
              </w:rPr>
              <w:t xml:space="preserve">         呈   核   示</w:t>
            </w:r>
          </w:p>
        </w:tc>
        <w:tc>
          <w:tcPr>
            <w:tcW w:type="dxa" w:w="1408"/>
          </w:tcPr>
          <w:p/>
        </w:tc>
      </w:tr>
      <w:tr>
        <w:trPr>
          <w:trHeight w:val="10500" w:hRule="atLeast"/>
        </w:trPr>
        <w:tc>
          <w:tcPr>
            <w:tcW w:type="dxa" w:w="704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1536"/>
          </w:tcPr>
          <w:p/>
        </w:tc>
        <w:tc>
          <w:tcPr>
            <w:tcW w:type="dxa" w:w="2176"/>
          </w:tcPr>
          <w:p/>
        </w:tc>
        <w:tc>
          <w:tcPr>
            <w:tcW w:type="dxa" w:w="1984"/>
          </w:tcPr>
          <w:p/>
        </w:tc>
        <w:tc>
          <w:tcPr>
            <w:tcW w:type="dxa" w:w="1536"/>
          </w:tcPr>
          <w:p/>
        </w:tc>
        <w:tc>
          <w:tcPr>
            <w:tcW w:type="dxa" w:w="1408"/>
          </w:tcPr>
          <w:p/>
        </w:tc>
      </w:tr>
      <w:tr>
        <w:trPr>
          <w:trHeight w:val="10500" w:hRule="atLeast"/>
        </w:trPr>
        <w:tc>
          <w:tcPr>
            <w:tcW w:type="dxa" w:w="704"/>
          </w:tcPr>
          <w:p/>
        </w:tc>
        <w:tc>
          <w:tcPr>
            <w:tcW w:type="dxa" w:w="25536"/>
            <w:gridSpan w:val="16"/>
            <w:vMerge w:val="restart"/>
          </w:tcPr>
          <w:p>
            <w:pPr>
              <w:spacing w:before="0" w:after="0" w:line="264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副總經理：</w:t>
            </w:r>
          </w:p>
          <w:p>
            <w:pPr>
              <w:spacing w:before="0" w:after="0" w:line="264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開發部：</w:t>
            </w:r>
          </w:p>
          <w:p>
            <w:pPr>
              <w:spacing w:before="0" w:after="0" w:line="264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</w:r>
          </w:p>
          <w:p>
            <w:pPr>
              <w:spacing w:before="0" w:after="0" w:line="264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營業部：</w:t>
            </w:r>
          </w:p>
          <w:p>
            <w:pPr>
              <w:spacing w:before="0" w:after="0" w:line="264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</w:r>
          </w:p>
          <w:p>
            <w:pPr>
              <w:spacing w:before="0" w:after="0" w:line="264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</w:r>
          </w:p>
        </w:tc>
      </w:tr>
      <w:tr>
        <w:trPr>
          <w:trHeight w:val="10500" w:hRule="atLeast"/>
        </w:trPr>
        <w:tc>
          <w:tcPr>
            <w:tcW w:type="dxa" w:w="704"/>
          </w:tcPr>
          <w:p/>
        </w:tc>
        <w:tc>
          <w:tcPr>
            <w:tcW w:type="dxa" w:w="25536"/>
            <w:gridSpan w:val="16"/>
            <w:vMerge/>
          </w:tcPr>
          <w:p/>
        </w:tc>
      </w:tr>
      <w:tr>
        <w:trPr>
          <w:trHeight w:val="10500" w:hRule="atLeast"/>
        </w:trPr>
        <w:tc>
          <w:tcPr>
            <w:tcW w:type="dxa" w:w="704"/>
          </w:tcPr>
          <w:p/>
        </w:tc>
        <w:tc>
          <w:tcPr>
            <w:tcW w:type="dxa" w:w="25536"/>
            <w:gridSpan w:val="16"/>
            <w:vMerge/>
          </w:tcPr>
          <w:p/>
        </w:tc>
      </w:tr>
      <w:tr>
        <w:trPr>
          <w:trHeight w:val="3600" w:hRule="atLeast"/>
        </w:trPr>
        <w:tc>
          <w:tcPr>
            <w:tcW w:type="dxa" w:w="704"/>
          </w:tcPr>
          <w:p/>
        </w:tc>
        <w:tc>
          <w:tcPr>
            <w:tcW w:type="dxa" w:w="25536"/>
            <w:gridSpan w:val="16"/>
            <w:vMerge/>
          </w:tcPr>
          <w:p/>
        </w:tc>
      </w:tr>
      <w:tr>
        <w:trPr>
          <w:trHeight w:val="12000" w:hRule="atLeast"/>
        </w:trPr>
        <w:tc>
          <w:tcPr>
            <w:tcW w:type="dxa" w:w="704"/>
          </w:tcPr>
          <w:p/>
        </w:tc>
        <w:tc>
          <w:tcPr>
            <w:tcW w:type="dxa" w:w="25536"/>
            <w:gridSpan w:val="16"/>
            <w:vMerge/>
          </w:tcPr>
          <w:p/>
        </w:tc>
      </w:tr>
      <w:tr>
        <w:trPr>
          <w:trHeight w:val="12000" w:hRule="atLeast"/>
        </w:trPr>
        <w:tc>
          <w:tcPr>
            <w:tcW w:type="dxa" w:w="704"/>
          </w:tcPr>
          <w:p/>
        </w:tc>
        <w:tc>
          <w:tcPr>
            <w:tcW w:type="dxa" w:w="25536"/>
            <w:gridSpan w:val="16"/>
            <w:vMerge/>
          </w:tcPr>
          <w:p/>
        </w:tc>
      </w:tr>
    </w:tbl>
    <w:sectPr w:rsidR="00FC693F" w:rsidRPr="0006063C" w:rsidSect="00034616">
      <w:pgSz w:w="16838" w:h="11906"/>
      <w:pgMar w:top="283" w:right="454" w:bottom="283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