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0205"/>
            <w:gridSpan w:val="6"/>
          </w:tcPr>
          <w:p>
            <w:pPr>
              <w:spacing w:before="0" w:after="0" w:line="416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32"/>
              </w:rPr>
              <w:t>TGB 台灣金蜂股份有限公司</w:t>
            </w:r>
          </w:p>
        </w:tc>
      </w:tr>
      <w:tr>
        <w:tc>
          <w:tcPr>
            <w:tcW w:type="dxa" w:w="4252"/>
            <w:gridSpan w:val="3"/>
            <w:vMerge w:val="restart"/>
          </w:tcPr>
          <w:p>
            <w:pPr>
              <w:spacing w:before="0" w:after="0" w:line="520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40"/>
              </w:rPr>
              <w:t>簽    呈</w:t>
            </w:r>
          </w:p>
        </w:tc>
        <w:tc>
          <w:tcPr>
            <w:tcW w:type="dxa" w:w="1701"/>
            <w:vMerge w:val="restart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2026年07月06日</w:t>
            </w:r>
          </w:p>
        </w:tc>
        <w:tc>
          <w:tcPr>
            <w:tcW w:type="dxa" w:w="1701"/>
            <w:vMerge w:val="restart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>單 位</w:t>
            </w:r>
          </w:p>
        </w:tc>
        <w:tc>
          <w:tcPr>
            <w:tcW w:type="dxa" w:w="2551"/>
            <w:vMerge w:val="restart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>採購課</w:t>
            </w:r>
          </w:p>
        </w:tc>
      </w:tr>
      <w:tr>
        <w:tc>
          <w:tcPr>
            <w:tcW w:type="dxa" w:w="4252"/>
            <w:gridSpan w:val="3"/>
            <w:vMerge/>
          </w:tcPr>
          <w:p/>
        </w:tc>
        <w:tc>
          <w:tcPr>
            <w:tcW w:type="dxa" w:w="1701"/>
            <w:vMerge/>
          </w:tcPr>
          <w:p/>
        </w:tc>
        <w:tc>
          <w:tcPr>
            <w:tcW w:type="dxa" w:w="1701"/>
            <w:vMerge/>
          </w:tcPr>
          <w:p/>
        </w:tc>
        <w:tc>
          <w:tcPr>
            <w:tcW w:type="dxa" w:w="2551"/>
            <w:vMerge/>
          </w:tcPr>
          <w:p/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主旨: 深圳市科莱德电子有限公司 UTV 10.4吋中控主機 912791Y 等6項部件單價議決 呈核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說明: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一、現狀911918Y 10.4吋中控主機   供應商: 威騰 進貨價:  CNY1890.0 (NT8505.0)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科莱德912791Y 進貨單價議決 CNY908 (NT4086)， 價差NT4419元.降幅51.96%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二、現狀911913Y/ 960Y(前/後)攝像頭  供應商: 威騰 進貨價:CNY100.0 (NT450.0)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科莱德912793Y/794Y 進貨單價議決 CNY78 (NT351)， 價差NT99元.降幅22%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三、現狀911914Y 天線盒   供應商: 威騰 進貨價:  CNY28 (NT126.0)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科莱德912789Y(含信號放大器)單價議決 CNY22.0 (NT99)， 價差NT27元.降幅21.42%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四、現狀911915Y 中控轉接線   供應商: 威騰 進貨價:  CNY190 (NT855)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新供應商: 科莱德912790Y 進貨單價議決 CNY128 (NT576)， 價差NT279元.降幅32.63%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五、911935Y 藍芽喇叭  供應商: 威騰 進貨價:  CNY361.8 (NT1628.1)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新供應商: 科莱德912792Y 進貨單價議決 CNY300 (NT1350)， 價差NT278.1元.降幅17.08%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六、模具與開發費用：CNY188,100  (NT846,450)【開發費用CNY96,000、模具費CNY92,100】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1.模具費：塑膠面殼、塑膠底蓋、矽膠按鍵、防水密封圈模具CNY92,100(NT415,450)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            交貨達15,000台，返還模具費CNY92,100，另藍芽喇叭開發與模具費CNY10,000科萊德承擔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2.開發費：開發費用CNY146,000，科萊德承擔CNY50,000，TGB承擔CNY96,000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分二期給付：1.合約簽訂時 T/T給付50% CNY94,050 (NT423,225)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                         2.初樣合格 T/T給付50% CNY94,050 (NT423,225)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七、初樣送樣數量: 付款啟動合約4個月內交付各3PCS(不付費)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八、認證：CE→33,000、R10→36,000與FCC→24,000，認證費用小計 93,000 於啟動與獲證各50%T/T給付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九、付款方式：FOB 深圳港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1.前5批量產預付貨款30% T/T給付.尾款70% T/T給付款到發貨。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2.第6批起依據船公司裝貨日期(提單日期)起計算 L/C 60天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十、最低訂購量: 300pcs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十一、前置期: 45天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十二、合約書一式二份 併呈請鈞長用印.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 xml:space="preserve">             -----------------   以           上  -----------------------</w:t>
            </w:r>
          </w:p>
        </w:tc>
      </w:tr>
      <w:tr>
        <w:tc>
          <w:tcPr>
            <w:tcW w:type="dxa" w:w="10205"/>
            <w:gridSpan w:val="6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 xml:space="preserve">         呈   核   示</w:t>
            </w:r>
          </w:p>
        </w:tc>
      </w:tr>
      <w:tr>
        <w:tc>
          <w:tcPr>
            <w:tcW w:type="dxa" w:w="850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>批</w:t>
              <w:br/>
              <w:t>示</w:t>
            </w:r>
          </w:p>
        </w:tc>
        <w:tc>
          <w:tcPr>
            <w:tcW w:type="dxa" w:w="1701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>會</w:t>
              <w:br/>
              <w:t>簽</w:t>
              <w:br/>
              <w:t>單</w:t>
              <w:br/>
              <w:t>位</w:t>
            </w:r>
          </w:p>
        </w:tc>
        <w:tc>
          <w:tcPr>
            <w:tcW w:type="dxa" w:w="1701"/>
          </w:tcPr>
          <w:p>
            <w:pPr>
              <w:spacing w:before="0" w:after="0" w:line="286" w:lineRule="exact"/>
              <w:jc w:val="left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  <w:t>副總經理：</w:t>
              <w:br/>
              <w:br/>
              <w:t>開發部：</w:t>
              <w:br/>
              <w:br/>
              <w:t>營業部：</w:t>
            </w:r>
          </w:p>
        </w:tc>
        <w:tc>
          <w:tcPr>
            <w:tcW w:type="dxa" w:w="1701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/>
                <w:sz w:val="22"/>
              </w:rPr>
              <w:t>單</w:t>
              <w:br/>
              <w:t>位</w:t>
              <w:br/>
              <w:t>主</w:t>
              <w:br/>
              <w:t>管</w:t>
            </w:r>
          </w:p>
        </w:tc>
        <w:tc>
          <w:tcPr>
            <w:tcW w:type="dxa" w:w="1701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</w:r>
          </w:p>
        </w:tc>
        <w:tc>
          <w:tcPr>
            <w:tcW w:type="dxa" w:w="2551"/>
          </w:tcPr>
          <w:p>
            <w:pPr>
              <w:spacing w:before="0" w:after="0" w:line="286" w:lineRule="exact"/>
              <w:jc w:val="center"/>
            </w:pPr>
            <w:r/>
            <w:r>
              <w:rPr>
                <w:rFonts w:ascii="新細明體" w:hAnsi="新細明體" w:eastAsia="新細明體"/>
                <w:b w:val="0"/>
                <w:sz w:val="22"/>
              </w:rPr>
            </w:r>
          </w:p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</w:tbl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