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68A8C" w14:textId="77777777" w:rsidR="0021023A" w:rsidRDefault="00000000">
      <w:pPr>
        <w:pStyle w:val="aa"/>
      </w:pPr>
      <w:r>
        <w:rPr>
          <w:rFonts w:ascii="Times New Roman" w:eastAsia="黑体" w:hAnsi="Times New Roman" w:cs="Times New Roman" w:hint="eastAsia"/>
        </w:rPr>
        <w:t>结果与讨论</w:t>
      </w:r>
    </w:p>
    <w:p w14:paraId="67268A8D" w14:textId="77777777" w:rsidR="0021023A" w:rsidRDefault="00000000">
      <w:pPr>
        <w:pStyle w:val="1"/>
      </w:pPr>
      <w:bookmarkStart w:id="0" w:name="多样化环加成反应空间中的机理特征预测"/>
      <w:r>
        <w:rPr>
          <w:rFonts w:ascii="Times New Roman" w:eastAsia="黑体" w:hAnsi="Times New Roman" w:cs="Times New Roman" w:hint="eastAsia"/>
        </w:rPr>
        <w:t>多样化环加成反应空间中的机理特征预测</w:t>
      </w:r>
    </w:p>
    <w:p w14:paraId="67268A8E" w14:textId="77777777" w:rsidR="0021023A" w:rsidRDefault="00000000">
      <w:pPr>
        <w:pStyle w:val="FirstParagraph"/>
      </w:pPr>
      <w:r>
        <w:rPr>
          <w:rFonts w:hint="eastAsia"/>
        </w:rPr>
        <w:t>我们首先构建了足够广泛的反应空间，以区分普适的反应性规律与少数优势生物正交骨架的特有行为。对</w:t>
      </w:r>
      <w:r>
        <w:t xml:space="preserve"> ZINC20 </w:t>
      </w:r>
      <w:r>
        <w:rPr>
          <w:rFonts w:hint="eastAsia"/>
        </w:rPr>
        <w:t>现货化合物集合进行筛选后，得到</w:t>
      </w:r>
      <w:r>
        <w:t xml:space="preserve"> 13,028 </w:t>
      </w:r>
      <w:r>
        <w:rPr>
          <w:rFonts w:hint="eastAsia"/>
        </w:rPr>
        <w:t>个潜在</w:t>
      </w:r>
      <w:r>
        <w:t xml:space="preserve"> 4π </w:t>
      </w:r>
      <w:r>
        <w:rPr>
          <w:rFonts w:hint="eastAsia"/>
        </w:rPr>
        <w:t>组分和</w:t>
      </w:r>
      <w:r>
        <w:t xml:space="preserve"> 31,115 </w:t>
      </w:r>
      <w:r>
        <w:rPr>
          <w:rFonts w:hint="eastAsia"/>
        </w:rPr>
        <w:t>个潜在</w:t>
      </w:r>
      <w:r>
        <w:t xml:space="preserve"> 2π </w:t>
      </w:r>
      <w:r>
        <w:rPr>
          <w:rFonts w:hint="eastAsia"/>
        </w:rPr>
        <w:t>组分。随后通过多样性筛选和探针反应计算，保留了</w:t>
      </w:r>
      <w:r>
        <w:t xml:space="preserve"> 718 </w:t>
      </w:r>
      <w:r>
        <w:rPr>
          <w:rFonts w:hint="eastAsia"/>
        </w:rPr>
        <w:t>个热力学可行的</w:t>
      </w:r>
      <w:r>
        <w:t xml:space="preserve"> 4π </w:t>
      </w:r>
      <w:r>
        <w:rPr>
          <w:rFonts w:hint="eastAsia"/>
        </w:rPr>
        <w:t>组分和</w:t>
      </w:r>
      <w:r>
        <w:t xml:space="preserve"> 1,789 </w:t>
      </w:r>
      <w:r>
        <w:rPr>
          <w:rFonts w:hint="eastAsia"/>
        </w:rPr>
        <w:t>个</w:t>
      </w:r>
      <w:r>
        <w:t xml:space="preserve"> 2π </w:t>
      </w:r>
      <w:r>
        <w:rPr>
          <w:rFonts w:hint="eastAsia"/>
        </w:rPr>
        <w:t>组分，由此定义了</w:t>
      </w:r>
      <w:r>
        <w:t xml:space="preserve"> 1,284,502 </w:t>
      </w:r>
      <w:r>
        <w:rPr>
          <w:rFonts w:hint="eastAsia"/>
        </w:rPr>
        <w:t>个名义组分对。我们先进行基于指纹多样性的初始抽样，再开展两轮不确定性引导的选择，最终从该空间中选出</w:t>
      </w:r>
      <w:r>
        <w:t xml:space="preserve"> 5,000 </w:t>
      </w:r>
      <w:r>
        <w:rPr>
          <w:rFonts w:hint="eastAsia"/>
        </w:rPr>
        <w:t>个组分对。通过自动枚举不同区域选择性、立体选择性及构象可能性，生成了超过</w:t>
      </w:r>
      <w:r>
        <w:t xml:space="preserve"> 50,000 </w:t>
      </w:r>
      <w:r>
        <w:rPr>
          <w:rFonts w:hint="eastAsia"/>
        </w:rPr>
        <w:t>条可生成产物的反应剖面。最终，过渡态计算获得了来自</w:t>
      </w:r>
      <w:r>
        <w:t xml:space="preserve"> 2,304 </w:t>
      </w:r>
      <w:r>
        <w:rPr>
          <w:rFonts w:hint="eastAsia"/>
        </w:rPr>
        <w:t>个组分对的</w:t>
      </w:r>
      <w:r>
        <w:t xml:space="preserve"> 8,273 </w:t>
      </w:r>
      <w:r>
        <w:rPr>
          <w:rFonts w:hint="eastAsia"/>
        </w:rPr>
        <w:t>条几何层级记录，覆盖</w:t>
      </w:r>
      <w:r>
        <w:t xml:space="preserve"> 513 </w:t>
      </w:r>
      <w:r>
        <w:rPr>
          <w:rFonts w:hint="eastAsia"/>
        </w:rPr>
        <w:t>个不同的</w:t>
      </w:r>
      <w:r>
        <w:t xml:space="preserve"> 4π </w:t>
      </w:r>
      <w:r>
        <w:rPr>
          <w:rFonts w:hint="eastAsia"/>
        </w:rPr>
        <w:t>组分和</w:t>
      </w:r>
      <w:r>
        <w:t xml:space="preserve"> 868 </w:t>
      </w:r>
      <w:r>
        <w:rPr>
          <w:rFonts w:hint="eastAsia"/>
        </w:rPr>
        <w:t>个不同的</w:t>
      </w:r>
      <w:r>
        <w:t xml:space="preserve"> 2π </w:t>
      </w:r>
      <w:r>
        <w:rPr>
          <w:rFonts w:hint="eastAsia"/>
        </w:rPr>
        <w:t>组分（图</w:t>
      </w:r>
      <w:r>
        <w:t xml:space="preserve"> </w:t>
      </w:r>
      <w:r>
        <w:rPr>
          <w:rFonts w:hint="eastAsia"/>
        </w:rPr>
        <w:t>2</w:t>
      </w:r>
      <w:r>
        <w:rPr>
          <w:rFonts w:hint="eastAsia"/>
        </w:rPr>
        <w:t>）。按照</w:t>
      </w:r>
      <w:r>
        <w:t xml:space="preserve"> 4π </w:t>
      </w:r>
      <w:r>
        <w:rPr>
          <w:rFonts w:hint="eastAsia"/>
        </w:rPr>
        <w:t>组分、</w:t>
      </w:r>
      <w:r>
        <w:rPr>
          <w:rFonts w:hint="eastAsia"/>
        </w:rPr>
        <w:t>2</w:t>
      </w:r>
      <w:r>
        <w:rPr>
          <w:rFonts w:hint="eastAsia"/>
        </w:rPr>
        <w:t>π</w:t>
      </w:r>
      <w:r>
        <w:t xml:space="preserve"> </w:t>
      </w:r>
      <w:r>
        <w:rPr>
          <w:rFonts w:hint="eastAsia"/>
        </w:rPr>
        <w:t>组分和产物三者的联合身份判定重复时，这些记录对应</w:t>
      </w:r>
      <w:r>
        <w:t xml:space="preserve"> 4,655 </w:t>
      </w:r>
      <w:r>
        <w:rPr>
          <w:rFonts w:hint="eastAsia"/>
        </w:rPr>
        <w:t>个唯一选择性结果。</w:t>
      </w:r>
      <w:r>
        <w:rPr>
          <w:rFonts w:hint="eastAsia"/>
        </w:rPr>
        <w:t>8,273</w:t>
      </w:r>
      <w:r>
        <w:t xml:space="preserve"> </w:t>
      </w:r>
      <w:r>
        <w:rPr>
          <w:rFonts w:hint="eastAsia"/>
        </w:rPr>
        <w:t>条几何层级记录则保留了与这些结果对应的不同原子映射或构象路径，而三者均相同的记录不再计为不同的选择性结果。</w:t>
      </w:r>
    </w:p>
    <w:p>
      <w:pPr>
        <w:pStyle w:val="21"/>
      </w:pPr>
      <w:r>
        <w:t>最优模型的验证表现</w:t>
      </w:r>
    </w:p>
    <w:p>
      <w:pPr>
        <w:pStyle w:val="af"/>
      </w:pPr>
      <w:r>
        <w:t>随机五折交叉验证中，最优模型对 4π 畸变、2π 畸变、相互作用稳定化和水相能垒的 R² 分别为 0.937、0.824、0.786 和 0.923；对应 MAE 分别为 1.09、1.15、1.56 和 1.59 kcal mol⁻¹。</w:t>
      </w:r>
    </w:p>
    <w:p>
      <w:pPr>
        <w:pStyle w:val="af"/>
      </w:pPr>
      <w:r>
        <w:t>严格的 Group-OOD 五折交叉验证按 4π 组分、2π 组分和产物三者的联合身份分组，使同一整组重复只进入一个测试折。四个目标的平均 R² 分别为 0.922、0.781、0.743 和 0.897；对应 MAE 分别为 1.23、1.31、1.76 和 1.85 kcal mol⁻¹。</w:t>
      </w:r>
    </w:p>
    <w:p>
      <w:pPr>
        <w:pStyle w:val="af"/>
      </w:pPr>
      <w:r>
        <w:t>在不同训练集/测试集比例下（20/80、40/60、60/40 和 80/20），4π 畸变的 R²/MAE 分别为 0.896/1.41、0.921/1.23、0.931/1.14 和 0.939/1.07；2π 畸变分别为 0.712/1.49、0.769/1.32、0.800/1.22 和 0.822/1.15；相互作用稳定化分别为 0.674/1.96、0.735/1.75、0.766/1.63 和 0.798/1.54；水相能垒分别为 0.845/2.22、0.891/1.86、0.907/1.70 和 0.921/1.58。</w:t>
      </w:r>
    </w:p>
    <w:p>
      <w:pPr>
        <w:pStyle w:val="21"/>
      </w:pPr>
      <w:r>
        <w:t>能量分布与能垒关系</w:t>
      </w:r>
    </w:p>
    <w:p>
      <w:pPr>
        <w:spacing w:before="80" w:after="80"/>
        <w:ind w:firstLine="0"/>
        <w:jc w:val="center"/>
      </w:pPr>
      <w:r>
        <w:drawing>
          <wp:inline xmlns:a="http://schemas.openxmlformats.org/drawingml/2006/main" xmlns:pic="http://schemas.openxmlformats.org/drawingml/2006/picture">
            <wp:extent cx="6217920" cy="2276623"/>
            <wp:docPr id="1" name="Picture 1"/>
            <wp:cNvGraphicFramePr>
              <a:graphicFrameLocks noChangeAspect="1"/>
            </wp:cNvGraphicFramePr>
            <a:graphic>
              <a:graphicData uri="http://schemas.openxmlformats.org/drawingml/2006/picture">
                <pic:pic>
                  <pic:nvPicPr>
                    <pic:cNvPr id="0" name="Figure_3_Energies_Distribution.png"/>
                    <pic:cNvPicPr/>
                  </pic:nvPicPr>
                  <pic:blipFill>
                    <a:blip r:embed="rId13"/>
                    <a:stretch>
                      <a:fillRect/>
                    </a:stretch>
                  </pic:blipFill>
                  <pic:spPr>
                    <a:xfrm>
                      <a:off x="0" y="0"/>
                      <a:ext cx="6217920" cy="2276623"/>
                    </a:xfrm>
                    <a:prstGeom prst="rect"/>
                  </pic:spPr>
                </pic:pic>
              </a:graphicData>
            </a:graphic>
          </wp:inline>
        </w:drawing>
      </w:r>
    </w:p>
    <w:p>
      <w:pPr>
        <w:pStyle w:val="af"/>
      </w:pPr>
      <w:r>
        <w:t>能量分布图：颜色依次表示水相能垒、反应自由能、4π 畸变、2π 畸变和带符号相互作用能。各项分布明显错位，4π 畸变整体高于 2π 畸变，而相互作用能分布较宽。</w:t>
      </w:r>
    </w:p>
    <w:p>
      <w:pPr>
        <w:spacing w:before="80" w:after="80"/>
        <w:ind w:firstLine="0"/>
        <w:jc w:val="center"/>
      </w:pPr>
      <w:r>
        <w:drawing>
          <wp:inline xmlns:a="http://schemas.openxmlformats.org/drawingml/2006/main" xmlns:pic="http://schemas.openxmlformats.org/drawingml/2006/picture">
            <wp:extent cx="5669280" cy="4698807"/>
            <wp:docPr id="2" name="Picture 2"/>
            <wp:cNvGraphicFramePr>
              <a:graphicFrameLocks noChangeAspect="1"/>
            </wp:cNvGraphicFramePr>
            <a:graphic>
              <a:graphicData uri="http://schemas.openxmlformats.org/drawingml/2006/picture">
                <pic:pic>
                  <pic:nvPicPr>
                    <pic:cNvPr id="0" name="Figure_BEP_AqueousBarrier_vs_ReactionFreeEnergy.png"/>
                    <pic:cNvPicPr/>
                  </pic:nvPicPr>
                  <pic:blipFill>
                    <a:blip r:embed="rId14"/>
                    <a:stretch>
                      <a:fillRect/>
                    </a:stretch>
                  </pic:blipFill>
                  <pic:spPr>
                    <a:xfrm>
                      <a:off x="0" y="0"/>
                      <a:ext cx="5669280" cy="4698807"/>
                    </a:xfrm>
                    <a:prstGeom prst="rect"/>
                  </pic:spPr>
                </pic:pic>
              </a:graphicData>
            </a:graphic>
          </wp:inline>
        </w:drawing>
      </w:r>
    </w:p>
    <w:p>
      <w:pPr>
        <w:pStyle w:val="af"/>
      </w:pPr>
      <w:r>
        <w:t>BEP 图：水相能垒与反应自由能仅呈弱正相关（R²=0.077，r=0.277），因此反应自由能不能单独替代能垒。</w:t>
      </w:r>
    </w:p>
    <w:p>
      <w:pPr>
        <w:spacing w:before="80" w:after="80"/>
        <w:ind w:firstLine="0"/>
        <w:jc w:val="center"/>
      </w:pPr>
      <w:r>
        <w:drawing>
          <wp:inline xmlns:a="http://schemas.openxmlformats.org/drawingml/2006/main" xmlns:pic="http://schemas.openxmlformats.org/drawingml/2006/picture">
            <wp:extent cx="6217920" cy="2484693"/>
            <wp:docPr id="3" name="Picture 3"/>
            <wp:cNvGraphicFramePr>
              <a:graphicFrameLocks noChangeAspect="1"/>
            </wp:cNvGraphicFramePr>
            <a:graphic>
              <a:graphicData uri="http://schemas.openxmlformats.org/drawingml/2006/picture">
                <pic:pic>
                  <pic:nvPicPr>
                    <pic:cNvPr id="0" name="Figure_BarrierWindow_Distortion_Interaction.png"/>
                    <pic:cNvPicPr/>
                  </pic:nvPicPr>
                  <pic:blipFill>
                    <a:blip r:embed="rId15"/>
                    <a:stretch>
                      <a:fillRect/>
                    </a:stretch>
                  </pic:blipFill>
                  <pic:spPr>
                    <a:xfrm>
                      <a:off x="0" y="0"/>
                      <a:ext cx="6217920" cy="2484693"/>
                    </a:xfrm>
                    <a:prstGeom prst="rect"/>
                  </pic:spPr>
                </pic:pic>
              </a:graphicData>
            </a:graphic>
          </wp:inline>
        </w:drawing>
      </w:r>
    </w:p>
    <w:p>
      <w:pPr>
        <w:pStyle w:val="af"/>
      </w:pPr>
      <w:r>
        <w:t>窄能垒窗口中的 D/I 分布：即使能垒范围只有 1 kcal mol⁻¹，畸变和相互作用仍有明显分散，说明能垒主要来自二者的补偿，而不是由单一能量项决定。</w:t>
      </w:r>
    </w:p>
    <w:p>
      <w:pPr>
        <w:spacing w:before="80" w:after="80"/>
        <w:ind w:firstLine="0"/>
        <w:jc w:val="center"/>
      </w:pPr>
      <w:r>
        <w:drawing>
          <wp:inline xmlns:a="http://schemas.openxmlformats.org/drawingml/2006/main" xmlns:pic="http://schemas.openxmlformats.org/drawingml/2006/picture">
            <wp:extent cx="6217920" cy="5303520"/>
            <wp:docPr id="4" name="Picture 4"/>
            <wp:cNvGraphicFramePr>
              <a:graphicFrameLocks noChangeAspect="1"/>
            </wp:cNvGraphicFramePr>
            <a:graphic>
              <a:graphicData uri="http://schemas.openxmlformats.org/drawingml/2006/picture">
                <pic:pic>
                  <pic:nvPicPr>
                    <pic:cNvPr id="0" name="Figure_BarrierWindow_Distortion_Interaction_Overlay.png"/>
                    <pic:cNvPicPr/>
                  </pic:nvPicPr>
                  <pic:blipFill>
                    <a:blip r:embed="rId16"/>
                    <a:stretch>
                      <a:fillRect/>
                    </a:stretch>
                  </pic:blipFill>
                  <pic:spPr>
                    <a:xfrm>
                      <a:off x="0" y="0"/>
                      <a:ext cx="6217920" cy="5303520"/>
                    </a:xfrm>
                    <a:prstGeom prst="rect"/>
                  </pic:spPr>
                </pic:pic>
              </a:graphicData>
            </a:graphic>
          </wp:inline>
        </w:drawing>
      </w:r>
    </w:p>
    <w:p>
      <w:pPr>
        <w:spacing w:before="80" w:after="80"/>
        <w:ind w:firstLine="0"/>
        <w:jc w:val="center"/>
      </w:pPr>
      <w:r>
        <w:t>叠加分布图：不同能垒窗口的 D/I 分布整体随能垒移动，但窗口内仍保留明显宽度，进一步说明畸变与相互作用共同决定能垒。</w:t>
      </w:r>
    </w:p>
    <w:p w14:paraId="35003A1A" w14:textId="77777777" w:rsidR="0063490E" w:rsidRDefault="0063490E">
      <w:pPr>
        <w:pStyle w:val="FirstParagraph"/>
        <w:rPr>
          <w:rFonts w:hint="eastAsia"/>
        </w:rPr>
      </w:pPr>
    </w:p>
    <w:p w14:paraId="67268A9D" w14:textId="77777777" w:rsidR="0021023A" w:rsidRDefault="00000000">
      <w:pPr>
        <w:pStyle w:val="1"/>
      </w:pPr>
      <w:bookmarkStart w:id="1" w:name="机理引导的生物正交反应骨架发现"/>
      <w:bookmarkEnd w:id="0"/>
      <w:r>
        <w:rPr>
          <w:rFonts w:ascii="Times New Roman" w:eastAsia="黑体" w:hAnsi="Times New Roman" w:cs="Times New Roman" w:hint="eastAsia"/>
        </w:rPr>
        <w:t>机理引导的生物正交反应骨架发现</w:t>
      </w:r>
    </w:p>
    <w:p w14:paraId="67268A9E" w14:textId="77777777" w:rsidR="0021023A" w:rsidRDefault="00000000">
      <w:pPr>
        <w:pStyle w:val="FirstParagraph"/>
      </w:pPr>
      <w:r>
        <w:t>将训练后的模型应用于 718 × 1,789 个组分组合后，先后施加反应自由能 &lt; −5 kcal mol⁻¹、水相能垒 &lt; 24 kcal mol⁻¹、排除有利自二聚以及逆电子需求 FMO 四个条件，候选数依次由 1,284,502 缩减为 105,124、6,216、2,932 和 1,589 个组分对。</w:t>
      </w:r>
    </w:p>
    <w:p w14:paraId="67268A9F" w14:textId="77777777" w:rsidR="0021023A" w:rsidRDefault="00000000">
      <w:pPr>
        <w:pStyle w:val="af"/>
      </w:pPr>
      <w:r>
        <w:t>能量筛选后的集合仍具有不同的机理特征。184 条已报道反应中有 48 条预测能垒低于 24 kcal mol⁻¹；这些参照反应的总畸变中有 64.6–85.3% 来自 4π 组分。以总畸变能 &lt;30 kcal mol⁻¹、4π 畸变比例 &gt;0.64 为判据，候选数进一步缩减至 79 个，说明畸变分配可以补充能垒和 FMO 筛选。</w:t>
      </w:r>
    </w:p>
    <w:p w14:paraId="67268AA0" w14:textId="77777777" w:rsidR="0021023A" w:rsidRDefault="00000000">
      <w:pPr>
        <w:pStyle w:val="af"/>
      </w:pPr>
      <w:r>
        <w:t>在 41 个独立计算的 4π 反应物中，40 个具有完整的 MeSH 加成水相反应自由能。每个骨架只保留最低能量加成产物，因此不同加成分支不会被重复计数。4π 畸变能与 MeSH 加成自由能呈显著正相关（Pearson r=0.684，R²=0.468），说明较大的 4π 变形通常对应较不利的非目标硫醇加成热力学。</w:t>
      </w:r>
    </w:p>
    <w:p w14:paraId="67268AA1" w14:textId="77777777" w:rsidR="0021023A" w:rsidRDefault="00000000">
      <w:pPr>
        <w:pStyle w:val="af"/>
      </w:pPr>
      <w:r>
        <w:t>在 79 个候选组分对中，结合可获得性和骨架适用性，最终选出 13 个进行更高水平的 DFT 验证；这些反应覆盖 11 个 4π 组分和 3 个 2π 组分，并包含 TCO 之外的代表性张力烯烃。</w:t>
      </w:r>
    </w:p>
    <w:p w14:paraId="67268AA2" w14:textId="77777777" w:rsidR="0021023A" w:rsidRDefault="00000000">
      <w:pPr>
        <w:pStyle w:val="af"/>
      </w:pPr>
      <w:r>
        <w:t>13 个候选反应的 DFT 水相能垒为 11.03–24.00 kcal mol⁻¹，平均值为 19.50 kcal mol⁻¹，其中 12 个低于 24 kcal mol⁻¹。模型对能垒的 MAE 为 2.90 kcal mol⁻¹，对 4π 和 2π 畸变能的 MAE 分别为 1.23 和 1.05 kcal mol⁻¹，说明畸变特征能够作为能垒筛选的补充。</w:t>
      </w:r>
    </w:p>
    <w:p w14:paraId="67268AA3" w14:textId="77777777" w:rsidR="0021023A" w:rsidRDefault="00000000">
      <w:pPr>
        <w:pStyle w:val="1"/>
      </w:pPr>
      <w:bookmarkStart w:id="2" w:name="从计算命中到法匹拉韦相关骨架"/>
      <w:bookmarkEnd w:id="1"/>
      <w:r>
        <w:rPr>
          <w:rFonts w:ascii="Times New Roman" w:eastAsia="黑体" w:hAnsi="Times New Roman" w:cs="Times New Roman" w:hint="eastAsia"/>
        </w:rPr>
        <w:t>从计算命中到法匹拉韦相关骨架</w:t>
      </w:r>
    </w:p>
    <w:p w14:paraId="67268AA4" w14:textId="77777777" w:rsidR="0021023A" w:rsidRDefault="00000000">
      <w:pPr>
        <w:pStyle w:val="FirstParagraph"/>
      </w:pPr>
      <w:r>
        <w:t>四个六元含氮 4π 组分与 TCO 的 DFT 水相能垒为 17.94–21.54 kcal mol⁻¹，4π 组分承担总畸变的 75.3–78.8%。其中 4π-17514（O=C(O)c1ncc[nH]c1=O）能垒最低；该羟基吡嗪羧酸骨架与法匹拉韦相关，但并非法匹拉韦本身，并且保留了可用于后续衍生化的羧基。</w:t>
      </w:r>
    </w:p>
    <w:p w14:paraId="67268AA5" w14:textId="77777777" w:rsidR="0021023A" w:rsidRDefault="00000000">
      <w:pPr>
        <w:pStyle w:val="af"/>
      </w:pPr>
      <w:r>
        <w:t>对于 4π-17514 与羟基取代 TCO 的反应，模型预测水相能垒为 22.04 kcal mol⁻¹，后续 DFT 复算为 17.94 kcal mol⁻¹，4π 畸变比例为 0.788，表明该反应稳定处于动力学和机理筛选窗口内。</w:t>
      </w:r>
    </w:p>
    <w:p w14:paraId="67268AA6" w14:textId="77777777" w:rsidR="0021023A" w:rsidRDefault="00000000">
      <w:pPr>
        <w:pStyle w:val="1"/>
      </w:pPr>
      <w:bookmarkStart w:id="3" w:name="实验稳定性与代表性验证"/>
      <w:bookmarkEnd w:id="2"/>
      <w:r>
        <w:rPr>
          <w:rFonts w:ascii="Times New Roman" w:eastAsia="黑体" w:hAnsi="Times New Roman" w:cs="Times New Roman" w:hint="eastAsia"/>
        </w:rPr>
        <w:t>实验稳定性与代表性验证</w:t>
      </w:r>
    </w:p>
    <w:p w14:paraId="67268AA7" w14:textId="77777777" w:rsidR="0021023A" w:rsidRDefault="00000000">
      <w:pPr>
        <w:pStyle w:val="FirstParagraph"/>
      </w:pPr>
      <w:r>
        <w:t>在含 10% FBS 的 DMEM 中于 37 °C 孵育时，完整化合物比例由 0 h 的 100% 逐步降至 24 h 的 82%，说明该化合物在完整培养基中总体稳定，仅发生缓慢降解。</w:t>
      </w:r>
    </w:p>
    <w:p w14:paraId="67268AA8" w14:textId="77777777" w:rsidR="0021023A" w:rsidRDefault="00000000">
      <w:pPr>
        <w:pStyle w:val="af"/>
      </w:pPr>
      <w:r>
        <w:t>代表性 [4+2] 环加成的水相 DFT 能垒为 13.7–15.8 kcal mol⁻¹，体外二级速率常数为 2.5 M⁻¹ s⁻¹，对应约 16.9 kcal mol⁻¹ 的能垒；计算与实验结果处于同一数量级。</w:t>
      </w:r>
    </w:p>
    <w:p w14:paraId="67268AA9" w14:textId="77777777" w:rsidR="0021023A" w:rsidRDefault="00000000">
      <w:pPr>
        <w:pStyle w:val="af"/>
      </w:pPr>
      <w:r>
        <w:t>在细胞中，PZ-TPP-2 与绿色 TCO-BODIPY 产生清晰且具有线粒体定位的荧光，而缺少 PZ-TPP-2 时信号明显减弱，说明该反应可以完成细胞内生物正交标记。</w:t>
      </w:r>
    </w:p>
    <w:sectPr w:rsidR="0021023A" w:rsidSect="00034616">
      <w:headerReference w:type="even" r:id="rId7"/>
      <w:headerReference w:type="default" r:id="rId8"/>
      <w:footerReference w:type="even" r:id="rId9"/>
      <w:footerReference w:type="default" r:id="rId10"/>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2E784" w14:textId="77777777" w:rsidR="005C7D3D" w:rsidRDefault="005C7D3D">
      <w:pPr>
        <w:spacing w:after="0" w:line="240" w:lineRule="auto"/>
      </w:pPr>
      <w:r>
        <w:separator/>
      </w:r>
    </w:p>
  </w:endnote>
  <w:endnote w:type="continuationSeparator" w:id="0">
    <w:p w14:paraId="39916F98" w14:textId="77777777" w:rsidR="005C7D3D" w:rsidRDefault="005C7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8AAC" w14:textId="77777777" w:rsidR="0021023A" w:rsidRDefault="00000000">
    <w:pPr>
      <w:pStyle w:val="a7"/>
      <w:jc w:val="center"/>
    </w:pPr>
    <w:r>
      <w:rPr>
        <w:color w:val="697179"/>
        <w:sz w:val="18"/>
      </w:rPr>
      <w:fldChar w:fldCharType="begin"/>
    </w:r>
    <w:r>
      <w:rPr>
        <w:color w:val="697179"/>
        <w:sz w:val="18"/>
      </w:rPr>
      <w:instrText xml:space="preserve"> PAGE </w:instrText>
    </w:r>
    <w:r>
      <w:rPr>
        <w:color w:val="697179"/>
        <w:sz w:val="18"/>
      </w:rPr>
      <w:fldChar w:fldCharType="separate"/>
    </w:r>
    <w:r>
      <w:rPr>
        <w:color w:val="697179"/>
        <w:sz w:val="18"/>
      </w:rPr>
      <w:t>1</w:t>
    </w:r>
    <w:r>
      <w:rPr>
        <w:color w:val="697179"/>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8AAD" w14:textId="77777777" w:rsidR="0021023A" w:rsidRDefault="00000000">
    <w:pPr>
      <w:pStyle w:val="a7"/>
      <w:jc w:val="center"/>
    </w:pPr>
    <w:r>
      <w:rPr>
        <w:color w:val="697179"/>
        <w:sz w:val="18"/>
      </w:rPr>
      <w:fldChar w:fldCharType="begin"/>
    </w:r>
    <w:r>
      <w:rPr>
        <w:color w:val="697179"/>
        <w:sz w:val="18"/>
      </w:rPr>
      <w:instrText xml:space="preserve"> PAGE </w:instrText>
    </w:r>
    <w:r>
      <w:rPr>
        <w:color w:val="697179"/>
        <w:sz w:val="18"/>
      </w:rPr>
      <w:fldChar w:fldCharType="separate"/>
    </w:r>
    <w:r>
      <w:rPr>
        <w:color w:val="697179"/>
        <w:sz w:val="18"/>
      </w:rPr>
      <w:t>1</w:t>
    </w:r>
    <w:r>
      <w:rPr>
        <w:color w:val="69717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A2D38" w14:textId="77777777" w:rsidR="005C7D3D" w:rsidRDefault="005C7D3D">
      <w:pPr>
        <w:spacing w:after="0" w:line="240" w:lineRule="auto"/>
      </w:pPr>
      <w:r>
        <w:separator/>
      </w:r>
    </w:p>
  </w:footnote>
  <w:footnote w:type="continuationSeparator" w:id="0">
    <w:p w14:paraId="1F95B7C0" w14:textId="77777777" w:rsidR="005C7D3D" w:rsidRDefault="005C7D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8AAA" w14:textId="77777777" w:rsidR="0021023A" w:rsidRDefault="00000000">
    <w:pPr>
      <w:pStyle w:val="a5"/>
      <w:jc w:val="right"/>
    </w:pPr>
    <w:r>
      <w:rPr>
        <w:color w:val="697179"/>
        <w:sz w:val="17"/>
      </w:rPr>
      <w:t xml:space="preserve">RESULTS AND </w:t>
    </w:r>
    <w:proofErr w:type="gramStart"/>
    <w:r>
      <w:rPr>
        <w:color w:val="697179"/>
        <w:sz w:val="17"/>
      </w:rPr>
      <w:t>DISCUSSION  ·</w:t>
    </w:r>
    <w:proofErr w:type="gramEnd"/>
    <w:r>
      <w:rPr>
        <w:color w:val="697179"/>
        <w:sz w:val="17"/>
      </w:rPr>
      <w:t xml:space="preserve">  </w:t>
    </w:r>
    <w:r>
      <w:rPr>
        <w:color w:val="697179"/>
        <w:sz w:val="17"/>
      </w:rPr>
      <w:t>计算与实验结果</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8AAB" w14:textId="77777777" w:rsidR="0021023A" w:rsidRDefault="00000000">
    <w:pPr>
      <w:pStyle w:val="a5"/>
      <w:jc w:val="right"/>
    </w:pPr>
    <w:r>
      <w:rPr>
        <w:color w:val="697179"/>
        <w:sz w:val="17"/>
      </w:rPr>
      <w:t xml:space="preserve">RESULTS AND </w:t>
    </w:r>
    <w:proofErr w:type="gramStart"/>
    <w:r>
      <w:rPr>
        <w:color w:val="697179"/>
        <w:sz w:val="17"/>
      </w:rPr>
      <w:t>DISCUSSION  ·</w:t>
    </w:r>
    <w:proofErr w:type="gramEnd"/>
    <w:r>
      <w:rPr>
        <w:color w:val="697179"/>
        <w:sz w:val="17"/>
      </w:rPr>
      <w:t xml:space="preserve">  </w:t>
    </w:r>
    <w:r>
      <w:rPr>
        <w:color w:val="697179"/>
        <w:sz w:val="17"/>
      </w:rPr>
      <w:t>计算与实验结果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540"/>
        </w:tabs>
        <w:ind w:left="540" w:hanging="279"/>
      </w:pPr>
    </w:lvl>
  </w:abstractNum>
  <w:abstractNum w:abstractNumId="1" w15:restartNumberingAfterBreak="0">
    <w:nsid w:val="FFFFFF7D"/>
    <w:multiLevelType w:val="singleLevel"/>
    <w:tmpl w:val="E4089024"/>
    <w:lvl w:ilvl="0">
      <w:start w:val="1"/>
      <w:numFmt w:val="decimal"/>
      <w:lvlText w:val="%1."/>
      <w:lvlJc w:val="left"/>
      <w:pPr>
        <w:tabs>
          <w:tab w:val="num" w:pos="540"/>
        </w:tabs>
        <w:ind w:left="540" w:hanging="279"/>
      </w:pPr>
    </w:lvl>
  </w:abstractNum>
  <w:abstractNum w:abstractNumId="2" w15:restartNumberingAfterBreak="0">
    <w:nsid w:val="FFFFFF7E"/>
    <w:multiLevelType w:val="singleLevel"/>
    <w:tmpl w:val="FB12693A"/>
    <w:lvl w:ilvl="0">
      <w:start w:val="1"/>
      <w:numFmt w:val="decimal"/>
      <w:pStyle w:val="3"/>
      <w:lvlText w:val="%1."/>
      <w:lvlJc w:val="left"/>
      <w:pPr>
        <w:tabs>
          <w:tab w:val="num" w:pos="540"/>
        </w:tabs>
        <w:ind w:left="540" w:hanging="279"/>
      </w:pPr>
    </w:lvl>
  </w:abstractNum>
  <w:abstractNum w:abstractNumId="3" w15:restartNumberingAfterBreak="0">
    <w:nsid w:val="FFFFFF7F"/>
    <w:multiLevelType w:val="singleLevel"/>
    <w:tmpl w:val="38441652"/>
    <w:lvl w:ilvl="0">
      <w:start w:val="1"/>
      <w:numFmt w:val="decimal"/>
      <w:pStyle w:val="2"/>
      <w:lvlText w:val="%1."/>
      <w:lvlJc w:val="left"/>
      <w:pPr>
        <w:tabs>
          <w:tab w:val="num" w:pos="540"/>
        </w:tabs>
        <w:ind w:left="540" w:hanging="279"/>
      </w:pPr>
    </w:lvl>
  </w:abstractNum>
  <w:abstractNum w:abstractNumId="4" w15:restartNumberingAfterBreak="0">
    <w:nsid w:val="FFFFFF81"/>
    <w:multiLevelType w:val="singleLevel"/>
    <w:tmpl w:val="171AC3A4"/>
    <w:lvl w:ilvl="0">
      <w:start w:val="1"/>
      <w:numFmt w:val="bullet"/>
      <w:lvlText w:val=""/>
      <w:lvlJc w:val="left"/>
      <w:pPr>
        <w:tabs>
          <w:tab w:val="num" w:pos="540"/>
        </w:tabs>
        <w:ind w:left="540" w:hanging="279"/>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540"/>
        </w:tabs>
        <w:ind w:left="540" w:hanging="279"/>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540"/>
        </w:tabs>
        <w:ind w:left="540" w:hanging="279"/>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540"/>
        </w:tabs>
        <w:ind w:left="540" w:hanging="279"/>
      </w:pPr>
    </w:lvl>
  </w:abstractNum>
  <w:abstractNum w:abstractNumId="8" w15:restartNumberingAfterBreak="0">
    <w:nsid w:val="FFFFFF89"/>
    <w:multiLevelType w:val="singleLevel"/>
    <w:tmpl w:val="29761A62"/>
    <w:lvl w:ilvl="0">
      <w:start w:val="1"/>
      <w:numFmt w:val="bullet"/>
      <w:pStyle w:val="a0"/>
      <w:lvlText w:val=""/>
      <w:lvlJc w:val="left"/>
      <w:pPr>
        <w:tabs>
          <w:tab w:val="num" w:pos="540"/>
        </w:tabs>
        <w:ind w:left="540" w:hanging="279"/>
      </w:pPr>
      <w:rPr>
        <w:rFonts w:ascii="Symbol" w:hAnsi="Symbol" w:hint="default"/>
      </w:rPr>
    </w:lvl>
  </w:abstractNum>
  <w:abstractNum w:abstractNumId="9" w15:restartNumberingAfterBreak="0">
    <w:nsid w:val="0000A990"/>
    <w:multiLevelType w:val="multilevel"/>
    <w:tmpl w:val="9CF86B32"/>
    <w:lvl w:ilvl="0">
      <w:numFmt w:val="bullet"/>
      <w:lvlText w:val=" "/>
      <w:lvlJc w:val="left"/>
      <w:pPr>
        <w:tabs>
          <w:tab w:val="num" w:pos="540"/>
        </w:tabs>
        <w:ind w:left="540" w:hanging="279"/>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09608425">
    <w:abstractNumId w:val="8"/>
  </w:num>
  <w:num w:numId="2" w16cid:durableId="1322738149">
    <w:abstractNumId w:val="6"/>
  </w:num>
  <w:num w:numId="3" w16cid:durableId="777335762">
    <w:abstractNumId w:val="5"/>
  </w:num>
  <w:num w:numId="4" w16cid:durableId="1680427683">
    <w:abstractNumId w:val="4"/>
  </w:num>
  <w:num w:numId="5" w16cid:durableId="1008871645">
    <w:abstractNumId w:val="7"/>
  </w:num>
  <w:num w:numId="6" w16cid:durableId="733772079">
    <w:abstractNumId w:val="3"/>
  </w:num>
  <w:num w:numId="7" w16cid:durableId="1196774571">
    <w:abstractNumId w:val="2"/>
  </w:num>
  <w:num w:numId="8" w16cid:durableId="740063324">
    <w:abstractNumId w:val="1"/>
  </w:num>
  <w:num w:numId="9" w16cid:durableId="717634503">
    <w:abstractNumId w:val="0"/>
  </w:num>
  <w:num w:numId="10" w16cid:durableId="17049433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23A"/>
    <w:rsid w:val="0029639D"/>
    <w:rsid w:val="00326F90"/>
    <w:rsid w:val="004669AE"/>
    <w:rsid w:val="005C7D3D"/>
    <w:rsid w:val="006349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268A8C"/>
  <w15:docId w15:val="{3EDEDA07-8D90-4E3A-9DB9-7F7E1C6E7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20" w:lineRule="auto"/>
      <w:ind w:firstLine="440"/>
      <w:jc w:val="both"/>
    </w:pPr>
    <w:rPr>
      <w:rFonts w:ascii="Times New Roman" w:eastAsia="宋体" w:hAnsi="Times New Roman" w:cs="Times New Roman"/>
      <w:color w:val="1F2D3A"/>
    </w:rPr>
  </w:style>
  <w:style w:type="paragraph" w:styleId="1">
    <w:name w:val="heading 1"/>
    <w:basedOn w:val="a1"/>
    <w:next w:val="a1"/>
    <w:link w:val="10"/>
    <w:uiPriority w:val="9"/>
    <w:qFormat/>
    <w:rsid w:val="00FC693F"/>
    <w:pPr>
      <w:keepNext/>
      <w:keepLines/>
      <w:spacing w:before="320" w:line="276" w:lineRule="auto"/>
      <w:ind w:firstLine="0"/>
      <w:outlineLvl w:val="0"/>
    </w:pPr>
    <w:rPr>
      <w:rFonts w:asciiTheme="majorHAnsi" w:eastAsiaTheme="majorEastAsia" w:hAnsiTheme="majorHAnsi" w:cstheme="majorBidi"/>
      <w:b/>
      <w:bCs/>
      <w:color w:val="18364B"/>
      <w:sz w:val="28"/>
      <w:szCs w:val="28"/>
    </w:rPr>
  </w:style>
  <w:style w:type="paragraph" w:styleId="21">
    <w:name w:val="heading 2"/>
    <w:basedOn w:val="a1"/>
    <w:next w:val="a1"/>
    <w:link w:val="22"/>
    <w:uiPriority w:val="9"/>
    <w:unhideWhenUsed/>
    <w:qFormat/>
    <w:rsid w:val="00FC693F"/>
    <w:pPr>
      <w:keepNext/>
      <w:keepLines/>
      <w:spacing w:before="240" w:after="120" w:line="276" w:lineRule="auto"/>
      <w:ind w:firstLine="0"/>
      <w:outlineLvl w:val="1"/>
    </w:pPr>
    <w:rPr>
      <w:rFonts w:asciiTheme="majorHAnsi" w:eastAsiaTheme="majorEastAsia" w:hAnsiTheme="majorHAnsi" w:cstheme="majorBidi"/>
      <w:b/>
      <w:bCs/>
      <w:color w:val="18364B"/>
      <w:sz w:val="25"/>
      <w:szCs w:val="26"/>
    </w:rPr>
  </w:style>
  <w:style w:type="paragraph" w:styleId="31">
    <w:name w:val="heading 3"/>
    <w:basedOn w:val="a1"/>
    <w:next w:val="a1"/>
    <w:link w:val="32"/>
    <w:uiPriority w:val="9"/>
    <w:unhideWhenUsed/>
    <w:qFormat/>
    <w:rsid w:val="00FC693F"/>
    <w:pPr>
      <w:keepNext/>
      <w:keepLines/>
      <w:spacing w:before="160" w:after="80" w:line="276" w:lineRule="auto"/>
      <w:ind w:firstLine="0"/>
      <w:outlineLvl w:val="2"/>
    </w:pPr>
    <w:rPr>
      <w:rFonts w:asciiTheme="majorHAnsi" w:eastAsiaTheme="majorEastAsia" w:hAnsiTheme="majorHAnsi" w:cstheme="majorBidi"/>
      <w:b/>
      <w:bCs/>
      <w:color w:val="18364B"/>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before="200" w:after="360" w:line="276" w:lineRule="auto"/>
      <w:ind w:firstLine="0"/>
      <w:contextualSpacing/>
      <w:jc w:val="center"/>
    </w:pPr>
    <w:rPr>
      <w:rFonts w:asciiTheme="majorHAnsi" w:eastAsiaTheme="majorEastAsia" w:hAnsiTheme="majorHAnsi" w:cstheme="majorBidi"/>
      <w:b/>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320" w:line="276" w:lineRule="auto"/>
      <w:jc w:val="center"/>
    </w:pPr>
    <w:rPr>
      <w:rFonts w:asciiTheme="majorHAnsi" w:eastAsiaTheme="majorEastAsia" w:hAnsiTheme="majorHAnsi" w:cstheme="majorBidi"/>
      <w:i/>
      <w:iCs/>
      <w:color w:val="697179"/>
      <w:spacing w:val="15"/>
      <w:sz w:val="21"/>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spacing w:after="80" w:line="290" w:lineRule="auto"/>
      <w:ind w:left="540" w:hanging="279"/>
      <w:contextualSpacing/>
    </w:pPr>
    <w:rPr>
      <w:sz w:val="21"/>
    </w:r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90" w:lineRule="auto"/>
      <w:contextualSpacing/>
    </w:pPr>
    <w:rPr>
      <w:sz w:val="21"/>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290" w:lineRule="auto"/>
      <w:contextualSpacing/>
    </w:pPr>
    <w:rPr>
      <w:sz w:val="21"/>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60" w:line="320" w:lineRule="auto"/>
      <w:ind w:firstLine="440"/>
      <w:jc w:val="both"/>
    </w:pPr>
    <w:rPr>
      <w:rFonts w:ascii="Times New Roman" w:eastAsia="宋体" w:hAnsi="Times New Roman" w:cs="Times New Roman"/>
      <w:color w:val="1F2D3A"/>
    </w:rPr>
  </w:style>
  <w:style w:type="paragraph" w:customStyle="1" w:styleId="14">
    <w:name w:val="文本块1"/>
    <w:pPr>
      <w:spacing w:before="80" w:after="160" w:line="300" w:lineRule="auto"/>
      <w:ind w:left="504"/>
    </w:pPr>
    <w:rPr>
      <w:rFonts w:ascii="Times New Roman" w:eastAsia="宋体" w:hAnsi="Times New Roman" w:cs="Times New Roman"/>
      <w:color w:val="697179"/>
      <w:sz w:val="21"/>
    </w:rPr>
  </w:style>
  <w:style w:type="paragraph" w:customStyle="1" w:styleId="SourceCode">
    <w:name w:val="Source Code"/>
    <w:pPr>
      <w:spacing w:before="80" w:after="120" w:line="252" w:lineRule="auto"/>
    </w:pPr>
    <w:rPr>
      <w:rFonts w:ascii="Consolas" w:eastAsia="等线" w:hAnsi="Consolas" w:cs="Consolas"/>
      <w:color w:val="1F2D3A"/>
      <w:sz w:val="19"/>
    </w:rPr>
  </w:style>
  <w:style w:type="character" w:customStyle="1" w:styleId="VerbatimChar">
    <w:name w:val="Verbatim Char"/>
    <w:rPr>
      <w:rFonts w:ascii="Consolas" w:eastAsia="等线" w:hAnsi="Consolas" w:cs="Consolas"/>
      <w:color w:val="37414B"/>
      <w:sz w:val="19"/>
    </w:rPr>
  </w:style>
  <w:style w:type="paragraph" w:customStyle="1" w:styleId="InternalNoteHeading">
    <w:name w:val="Internal Note Heading"/>
    <w:basedOn w:val="1"/>
    <w:pPr>
      <w:spacing w:before="0" w:after="200"/>
    </w:pPr>
    <w:rPr>
      <w:rFonts w:ascii="Times New Roman" w:eastAsia="黑体" w:hAnsi="Times New Roman" w:cs="Times New Roman"/>
      <w:color w:val="914816"/>
    </w:rPr>
  </w:style>
  <w:style w:type="character" w:customStyle="1" w:styleId="KeywordTok">
    <w:name w:val="KeywordTok"/>
    <w:basedOn w:val="VerbatimChar"/>
    <w:rPr>
      <w:rFonts w:ascii="Consolas" w:eastAsia="等线" w:hAnsi="Consolas" w:cs="Consolas"/>
      <w:b/>
      <w:color w:val="007020"/>
      <w:sz w:val="19"/>
    </w:rPr>
  </w:style>
  <w:style w:type="character" w:customStyle="1" w:styleId="DataTypeTok">
    <w:name w:val="DataTypeTok"/>
    <w:basedOn w:val="VerbatimChar"/>
    <w:rPr>
      <w:rFonts w:ascii="Consolas" w:eastAsia="等线" w:hAnsi="Consolas" w:cs="Consolas"/>
      <w:color w:val="902000"/>
      <w:sz w:val="19"/>
    </w:rPr>
  </w:style>
  <w:style w:type="character" w:customStyle="1" w:styleId="DecValTok">
    <w:name w:val="DecValTok"/>
    <w:basedOn w:val="VerbatimChar"/>
    <w:rPr>
      <w:rFonts w:ascii="Consolas" w:eastAsia="等线" w:hAnsi="Consolas" w:cs="Consolas"/>
      <w:color w:val="40A070"/>
      <w:sz w:val="19"/>
    </w:rPr>
  </w:style>
  <w:style w:type="character" w:customStyle="1" w:styleId="BaseNTok">
    <w:name w:val="BaseNTok"/>
    <w:basedOn w:val="VerbatimChar"/>
    <w:rPr>
      <w:rFonts w:ascii="Consolas" w:eastAsia="等线" w:hAnsi="Consolas" w:cs="Consolas"/>
      <w:color w:val="40A070"/>
      <w:sz w:val="19"/>
    </w:rPr>
  </w:style>
  <w:style w:type="character" w:customStyle="1" w:styleId="FloatTok">
    <w:name w:val="FloatTok"/>
    <w:basedOn w:val="VerbatimChar"/>
    <w:rPr>
      <w:rFonts w:ascii="Consolas" w:eastAsia="等线" w:hAnsi="Consolas" w:cs="Consolas"/>
      <w:color w:val="40A070"/>
      <w:sz w:val="19"/>
    </w:rPr>
  </w:style>
  <w:style w:type="character" w:customStyle="1" w:styleId="ConstantTok">
    <w:name w:val="ConstantTok"/>
    <w:basedOn w:val="VerbatimChar"/>
    <w:rPr>
      <w:rFonts w:ascii="Consolas" w:eastAsia="等线" w:hAnsi="Consolas" w:cs="Consolas"/>
      <w:color w:val="880000"/>
      <w:sz w:val="19"/>
    </w:rPr>
  </w:style>
  <w:style w:type="character" w:customStyle="1" w:styleId="CharTok">
    <w:name w:val="CharTok"/>
    <w:basedOn w:val="VerbatimChar"/>
    <w:rPr>
      <w:rFonts w:ascii="Consolas" w:eastAsia="等线" w:hAnsi="Consolas" w:cs="Consolas"/>
      <w:color w:val="4070A0"/>
      <w:sz w:val="19"/>
    </w:rPr>
  </w:style>
  <w:style w:type="character" w:customStyle="1" w:styleId="SpecialCharTok">
    <w:name w:val="SpecialCharTok"/>
    <w:basedOn w:val="VerbatimChar"/>
    <w:rPr>
      <w:rFonts w:ascii="Consolas" w:eastAsia="等线" w:hAnsi="Consolas" w:cs="Consolas"/>
      <w:color w:val="4070A0"/>
      <w:sz w:val="19"/>
    </w:rPr>
  </w:style>
  <w:style w:type="character" w:customStyle="1" w:styleId="StringTok">
    <w:name w:val="StringTok"/>
    <w:basedOn w:val="VerbatimChar"/>
    <w:rPr>
      <w:rFonts w:ascii="Consolas" w:eastAsia="等线" w:hAnsi="Consolas" w:cs="Consolas"/>
      <w:color w:val="4070A0"/>
      <w:sz w:val="19"/>
    </w:rPr>
  </w:style>
  <w:style w:type="character" w:customStyle="1" w:styleId="VerbatimStringTok">
    <w:name w:val="VerbatimStringTok"/>
    <w:basedOn w:val="VerbatimChar"/>
    <w:rPr>
      <w:rFonts w:ascii="Consolas" w:eastAsia="等线" w:hAnsi="Consolas" w:cs="Consolas"/>
      <w:color w:val="4070A0"/>
      <w:sz w:val="19"/>
    </w:rPr>
  </w:style>
  <w:style w:type="character" w:customStyle="1" w:styleId="SpecialStringTok">
    <w:name w:val="SpecialStringTok"/>
    <w:basedOn w:val="VerbatimChar"/>
    <w:rPr>
      <w:rFonts w:ascii="Consolas" w:eastAsia="等线" w:hAnsi="Consolas" w:cs="Consolas"/>
      <w:color w:val="BB6688"/>
      <w:sz w:val="19"/>
    </w:rPr>
  </w:style>
  <w:style w:type="character" w:customStyle="1" w:styleId="ImportTok">
    <w:name w:val="ImportTok"/>
    <w:basedOn w:val="VerbatimChar"/>
    <w:rPr>
      <w:rFonts w:ascii="Consolas" w:eastAsia="等线" w:hAnsi="Consolas" w:cs="Consolas"/>
      <w:b/>
      <w:color w:val="008000"/>
      <w:sz w:val="19"/>
    </w:rPr>
  </w:style>
  <w:style w:type="character" w:customStyle="1" w:styleId="CommentTok">
    <w:name w:val="CommentTok"/>
    <w:basedOn w:val="VerbatimChar"/>
    <w:rPr>
      <w:rFonts w:ascii="Consolas" w:eastAsia="等线" w:hAnsi="Consolas" w:cs="Consolas"/>
      <w:i/>
      <w:color w:val="60A0B0"/>
      <w:sz w:val="19"/>
    </w:rPr>
  </w:style>
  <w:style w:type="character" w:customStyle="1" w:styleId="DocumentationTok">
    <w:name w:val="DocumentationTok"/>
    <w:basedOn w:val="VerbatimChar"/>
    <w:rPr>
      <w:rFonts w:ascii="Consolas" w:eastAsia="等线" w:hAnsi="Consolas" w:cs="Consolas"/>
      <w:i/>
      <w:color w:val="BA2121"/>
      <w:sz w:val="19"/>
    </w:rPr>
  </w:style>
  <w:style w:type="character" w:customStyle="1" w:styleId="AnnotationTok">
    <w:name w:val="AnnotationTok"/>
    <w:basedOn w:val="VerbatimChar"/>
    <w:rPr>
      <w:rFonts w:ascii="Consolas" w:eastAsia="等线" w:hAnsi="Consolas" w:cs="Consolas"/>
      <w:b/>
      <w:i/>
      <w:color w:val="60A0B0"/>
      <w:sz w:val="19"/>
    </w:rPr>
  </w:style>
  <w:style w:type="character" w:customStyle="1" w:styleId="CommentVarTok">
    <w:name w:val="CommentVarTok"/>
    <w:basedOn w:val="VerbatimChar"/>
    <w:rPr>
      <w:rFonts w:ascii="Consolas" w:eastAsia="等线" w:hAnsi="Consolas" w:cs="Consolas"/>
      <w:b/>
      <w:i/>
      <w:color w:val="60A0B0"/>
      <w:sz w:val="19"/>
    </w:rPr>
  </w:style>
  <w:style w:type="character" w:customStyle="1" w:styleId="OtherTok">
    <w:name w:val="OtherTok"/>
    <w:basedOn w:val="VerbatimChar"/>
    <w:rPr>
      <w:rFonts w:ascii="Consolas" w:eastAsia="等线" w:hAnsi="Consolas" w:cs="Consolas"/>
      <w:color w:val="007020"/>
      <w:sz w:val="19"/>
    </w:rPr>
  </w:style>
  <w:style w:type="character" w:customStyle="1" w:styleId="FunctionTok">
    <w:name w:val="FunctionTok"/>
    <w:basedOn w:val="VerbatimChar"/>
    <w:rPr>
      <w:rFonts w:ascii="Consolas" w:eastAsia="等线" w:hAnsi="Consolas" w:cs="Consolas"/>
      <w:color w:val="06287E"/>
      <w:sz w:val="19"/>
    </w:rPr>
  </w:style>
  <w:style w:type="character" w:customStyle="1" w:styleId="VariableTok">
    <w:name w:val="VariableTok"/>
    <w:basedOn w:val="VerbatimChar"/>
    <w:rPr>
      <w:rFonts w:ascii="Consolas" w:eastAsia="等线" w:hAnsi="Consolas" w:cs="Consolas"/>
      <w:color w:val="19177C"/>
      <w:sz w:val="19"/>
    </w:rPr>
  </w:style>
  <w:style w:type="character" w:customStyle="1" w:styleId="ControlFlowTok">
    <w:name w:val="ControlFlowTok"/>
    <w:basedOn w:val="VerbatimChar"/>
    <w:rPr>
      <w:rFonts w:ascii="Consolas" w:eastAsia="等线" w:hAnsi="Consolas" w:cs="Consolas"/>
      <w:b/>
      <w:color w:val="007020"/>
      <w:sz w:val="19"/>
    </w:rPr>
  </w:style>
  <w:style w:type="character" w:customStyle="1" w:styleId="OperatorTok">
    <w:name w:val="OperatorTok"/>
    <w:basedOn w:val="VerbatimChar"/>
    <w:rPr>
      <w:rFonts w:ascii="Consolas" w:eastAsia="等线" w:hAnsi="Consolas" w:cs="Consolas"/>
      <w:color w:val="666666"/>
      <w:sz w:val="19"/>
    </w:rPr>
  </w:style>
  <w:style w:type="character" w:customStyle="1" w:styleId="BuiltInTok">
    <w:name w:val="BuiltInTok"/>
    <w:basedOn w:val="VerbatimChar"/>
    <w:rPr>
      <w:rFonts w:ascii="Consolas" w:eastAsia="等线" w:hAnsi="Consolas" w:cs="Consolas"/>
      <w:color w:val="008000"/>
      <w:sz w:val="19"/>
    </w:rPr>
  </w:style>
  <w:style w:type="character" w:customStyle="1" w:styleId="ExtensionTok">
    <w:name w:val="ExtensionTok"/>
    <w:basedOn w:val="VerbatimChar"/>
    <w:rPr>
      <w:rFonts w:ascii="Consolas" w:eastAsia="等线" w:hAnsi="Consolas" w:cs="Consolas"/>
      <w:color w:val="37414B"/>
      <w:sz w:val="19"/>
    </w:rPr>
  </w:style>
  <w:style w:type="character" w:customStyle="1" w:styleId="PreprocessorTok">
    <w:name w:val="PreprocessorTok"/>
    <w:basedOn w:val="VerbatimChar"/>
    <w:rPr>
      <w:rFonts w:ascii="Consolas" w:eastAsia="等线" w:hAnsi="Consolas" w:cs="Consolas"/>
      <w:color w:val="BC7A00"/>
      <w:sz w:val="19"/>
    </w:rPr>
  </w:style>
  <w:style w:type="character" w:customStyle="1" w:styleId="AttributeTok">
    <w:name w:val="AttributeTok"/>
    <w:basedOn w:val="VerbatimChar"/>
    <w:rPr>
      <w:rFonts w:ascii="Consolas" w:eastAsia="等线" w:hAnsi="Consolas" w:cs="Consolas"/>
      <w:color w:val="7D9029"/>
      <w:sz w:val="19"/>
    </w:rPr>
  </w:style>
  <w:style w:type="character" w:customStyle="1" w:styleId="RegionMarkerTok">
    <w:name w:val="RegionMarkerTok"/>
    <w:basedOn w:val="VerbatimChar"/>
    <w:rPr>
      <w:rFonts w:ascii="Consolas" w:eastAsia="等线" w:hAnsi="Consolas" w:cs="Consolas"/>
      <w:color w:val="37414B"/>
      <w:sz w:val="19"/>
    </w:rPr>
  </w:style>
  <w:style w:type="character" w:customStyle="1" w:styleId="InformationTok">
    <w:name w:val="InformationTok"/>
    <w:basedOn w:val="VerbatimChar"/>
    <w:rPr>
      <w:rFonts w:ascii="Consolas" w:eastAsia="等线" w:hAnsi="Consolas" w:cs="Consolas"/>
      <w:b/>
      <w:i/>
      <w:color w:val="60A0B0"/>
      <w:sz w:val="19"/>
    </w:rPr>
  </w:style>
  <w:style w:type="character" w:customStyle="1" w:styleId="WarningTok">
    <w:name w:val="WarningTok"/>
    <w:basedOn w:val="VerbatimChar"/>
    <w:rPr>
      <w:rFonts w:ascii="Consolas" w:eastAsia="等线" w:hAnsi="Consolas" w:cs="Consolas"/>
      <w:b/>
      <w:i/>
      <w:color w:val="60A0B0"/>
      <w:sz w:val="19"/>
    </w:rPr>
  </w:style>
  <w:style w:type="character" w:customStyle="1" w:styleId="AlertTok">
    <w:name w:val="AlertTok"/>
    <w:basedOn w:val="VerbatimChar"/>
    <w:rPr>
      <w:rFonts w:ascii="Consolas" w:eastAsia="等线" w:hAnsi="Consolas" w:cs="Consolas"/>
      <w:b/>
      <w:color w:val="FF0000"/>
      <w:sz w:val="19"/>
    </w:rPr>
  </w:style>
  <w:style w:type="character" w:customStyle="1" w:styleId="ErrorTok">
    <w:name w:val="ErrorTok"/>
    <w:basedOn w:val="VerbatimChar"/>
    <w:rPr>
      <w:rFonts w:ascii="Consolas" w:eastAsia="等线" w:hAnsi="Consolas" w:cs="Consolas"/>
      <w:b/>
      <w:color w:val="FF0000"/>
      <w:sz w:val="19"/>
    </w:rPr>
  </w:style>
  <w:style w:type="character" w:customStyle="1" w:styleId="NormalTok">
    <w:name w:val="NormalTok"/>
    <w:basedOn w:val="VerbatimChar"/>
    <w:rPr>
      <w:rFonts w:ascii="Consolas" w:eastAsia="等线" w:hAnsi="Consolas" w:cs="Consolas"/>
      <w:color w:val="37414B"/>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576</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结果与讨论</dc:title>
  <dc:subject>生物正交环加成：计算结果与讨论中文工作稿</dc:subject>
  <dc:creator/>
  <cp:keywords/>
  <dc:description/>
  <cp:lastModifiedBy>嘉祺 李</cp:lastModifiedBy>
  <cp:revision>2</cp:revision>
  <dcterms:created xsi:type="dcterms:W3CDTF">2026-08-13T08:28:00Z</dcterms:created>
  <dcterms:modified xsi:type="dcterms:W3CDTF">2026-08-13T11:17:00Z</dcterms:modified>
  <dc:language>zh-CN</dc:language>
</cp:coreProperties>
</file>