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4E79"/>
          <w:sz w:val="40"/>
        </w:rPr>
        <w:t>Pre-read for Dr. Gill</w:t>
      </w:r>
    </w:p>
    <w:p>
      <w:r>
        <w:rPr>
          <w:b/>
          <w:color w:val="1F4E79"/>
          <w:sz w:val="28"/>
        </w:rPr>
        <w:t>QMH MPN database — data feasibility and research alignment</w:t>
      </w:r>
    </w:p>
    <w:p>
      <w:r>
        <w:rPr>
          <w:i/>
        </w:rPr>
        <w:t>PV, ET, and pMF</w:t>
      </w:r>
    </w:p>
    <w:p>
      <w:r>
        <w:rPr>
          <w:b/>
        </w:rPr>
        <w:t xml:space="preserve">Meeting duration: </w:t>
      </w:r>
      <w:r>
        <w:t>45–60 minutes</w:t>
        <w:br/>
      </w:r>
      <w:r>
        <w:rPr>
          <w:b/>
        </w:rPr>
        <w:t xml:space="preserve">Format: </w:t>
      </w:r>
      <w:r>
        <w:t>Conversation — no written answers required in advance</w:t>
        <w:br/>
      </w:r>
      <w:r>
        <w:rPr>
          <w:b/>
        </w:rPr>
        <w:t xml:space="preserve">Purpose: </w:t>
      </w:r>
      <w:r>
        <w:t>Understand what the database can support, identify 2–3 feasible research questions, and hear what support you would need from us to proceed.</w:t>
      </w:r>
    </w:p>
    <w:p/>
    <w:p>
      <w:pPr>
        <w:pStyle w:val="Heading1"/>
      </w:pPr>
      <w:r>
        <w:t>Meeting objective</w:t>
      </w:r>
    </w:p>
    <w:p>
      <w:r>
        <w:t>Confirm what the QMH database can support for PV, ET, and pMF research, align on a small set of feasible questions, and agree what each side needs in order to proceed.</w:t>
      </w:r>
    </w:p>
    <w:p>
      <w:r>
        <w:t>We are not asking you to commit to every question below. The aim is to test fit against the data you actually have.</w:t>
      </w:r>
    </w:p>
    <w:p>
      <w:pPr>
        <w:pStyle w:val="Heading1"/>
      </w:pPr>
      <w:r>
        <w:t>Proposed 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color="auto" w:fill="F4F7FA"/>
          </w:tcPr>
          <w:p>
            <w:r>
              <w:rPr>
                <w:b/>
                <w:sz w:val="18"/>
              </w:rPr>
              <w:t>Time</w:t>
            </w:r>
          </w:p>
        </w:tc>
        <w:tc>
          <w:tcPr>
            <w:tcW w:type="dxa" w:w="2880"/>
            <w:shd w:val="clear" w:color="auto" w:fill="F4F7FA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4896"/>
            <w:shd w:val="clear" w:color="auto" w:fill="F4F7FA"/>
          </w:tcPr>
          <w:p>
            <w:r>
              <w:rPr>
                <w:b/>
                <w:sz w:val="18"/>
              </w:rPr>
              <w:t>What we hope to leave with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3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Opening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Shared purpose for today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20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Data in the QMH database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Inventory: types, numbers, completeness, treatment capture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20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 Research priorities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Which questions are feasible now / later / not suitable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10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 Support needed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Funding, biostats, ethics, other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5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Next steps and owners</w:t>
            </w:r>
          </w:p>
        </w:tc>
      </w:tr>
    </w:tbl>
    <w:p>
      <w:r>
        <w:rPr>
          <w:i/>
        </w:rPr>
        <w:t>Please add anything you would like on the agenda. The lists below are a checklist for discussion, not a commitment to every question.</w:t>
      </w:r>
    </w:p>
    <w:p>
      <w:pPr>
        <w:pStyle w:val="Heading1"/>
      </w:pPr>
      <w:r>
        <w:t>1. Data available in the QMH database</w:t>
      </w:r>
    </w:p>
    <w:p>
      <w:r>
        <w:t>Please distinguish structured fields (codes, labs, medications, questionnaires) from unstructured notes (clinic letters, free text).</w:t>
      </w:r>
    </w:p>
    <w:p>
      <w:pPr>
        <w:pStyle w:val="Heading2"/>
      </w:pPr>
      <w:r>
        <w:t>1.1 What types of data are held?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F4F7FA"/>
          </w:tcPr>
          <w:p>
            <w:r>
              <w:rPr>
                <w:b/>
                <w:sz w:val="18"/>
              </w:rPr>
              <w:t>Domain</w:t>
            </w:r>
          </w:p>
        </w:tc>
        <w:tc>
          <w:tcPr>
            <w:tcW w:type="dxa" w:w="1930"/>
            <w:shd w:val="clear" w:color="auto" w:fill="F4F7FA"/>
          </w:tcPr>
          <w:p>
            <w:r>
              <w:rPr>
                <w:b/>
                <w:sz w:val="18"/>
              </w:rPr>
              <w:t>Structured examples</w:t>
            </w:r>
          </w:p>
        </w:tc>
        <w:tc>
          <w:tcPr>
            <w:tcW w:type="dxa" w:w="1930"/>
            <w:shd w:val="clear" w:color="auto" w:fill="F4F7FA"/>
          </w:tcPr>
          <w:p>
            <w:r>
              <w:rPr>
                <w:b/>
                <w:sz w:val="18"/>
              </w:rPr>
              <w:t>Unstructured examples</w:t>
            </w:r>
          </w:p>
        </w:tc>
        <w:tc>
          <w:tcPr>
            <w:tcW w:type="dxa" w:w="1930"/>
            <w:shd w:val="clear" w:color="auto" w:fill="F4F7FA"/>
          </w:tcPr>
          <w:p>
            <w:r>
              <w:rPr>
                <w:b/>
                <w:sz w:val="18"/>
              </w:rPr>
              <w:t>Present? (Y / N / partial)</w:t>
            </w:r>
          </w:p>
        </w:tc>
        <w:tc>
          <w:tcPr>
            <w:tcW w:type="dxa" w:w="1930"/>
            <w:shd w:val="clear" w:color="auto" w:fill="F4F7FA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Diagnosis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PV / ET / pMF codes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Clinic letters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Labs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Serial CBC, other routine labs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Molecular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JAK2, CALR, MPL allele burden; other mutations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Treatment and related interventions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Cytoreductive drugs, dose, start/stop dates, sequences; phlebotomy / RBC support; JAK inhibitors; transplantation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Clinic letters / notes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Clinical outcomes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Thrombosis, progression, transformation, survival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Patient-reported outcomes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PRO questionnaires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Free-text symptoms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1.2 Cohort size</w:t>
      </w:r>
    </w:p>
    <w:p>
      <w:r>
        <w:t>Approximately how many patients are included for: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F4F7FA"/>
          </w:tcPr>
          <w:p>
            <w:r>
              <w:rPr>
                <w:b/>
                <w:sz w:val="18"/>
              </w:rPr>
              <w:t>Diagnosis</w:t>
            </w:r>
          </w:p>
        </w:tc>
        <w:tc>
          <w:tcPr>
            <w:tcW w:type="dxa" w:w="1728"/>
            <w:shd w:val="clear" w:color="auto" w:fill="F4F7FA"/>
          </w:tcPr>
          <w:p>
            <w:r>
              <w:rPr>
                <w:b/>
                <w:sz w:val="18"/>
              </w:rPr>
              <w:t>Approximate n</w:t>
            </w:r>
          </w:p>
        </w:tc>
        <w:tc>
          <w:tcPr>
            <w:tcW w:type="dxa" w:w="5904"/>
            <w:shd w:val="clear" w:color="auto" w:fill="F4F7FA"/>
          </w:tcPr>
          <w:p>
            <w:r>
              <w:rPr>
                <w:b/>
                <w:sz w:val="18"/>
              </w:rPr>
              <w:t>Comments (e.g. years covered, active vs historical)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59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59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pMF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5904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1.3 Completeness and consistency</w:t>
      </w:r>
    </w:p>
    <w:p>
      <w:pPr>
        <w:pStyle w:val="ListBullet"/>
      </w:pPr>
      <w:r>
        <w:rPr>
          <w:b/>
          <w:sz w:val="20"/>
        </w:rPr>
        <w:t>Are serial CBC</w:t>
      </w:r>
      <w:r>
        <w:rPr>
          <w:sz w:val="20"/>
        </w:rPr>
        <w:t xml:space="preserve"> and longitudinal follow-up reasonably consistent across patients, or do depth and duration vary widely?</w:t>
      </w:r>
    </w:p>
    <w:p>
      <w:pPr>
        <w:pStyle w:val="ListBullet"/>
      </w:pPr>
      <w:r>
        <w:rPr>
          <w:sz w:val="20"/>
        </w:rPr>
        <w:t>For molecular data (e.g. JAK2 allele burden):</w:t>
      </w:r>
    </w:p>
    <w:p>
      <w:pPr>
        <w:pStyle w:val="ListBullet"/>
      </w:pPr>
      <w:r>
        <w:rPr>
          <w:sz w:val="20"/>
        </w:rPr>
        <w:t>Is availability similar across treatment groups, or denser in some (for example, interferon-treated patients)?</w:t>
      </w:r>
    </w:p>
    <w:p>
      <w:pPr>
        <w:pStyle w:val="ListBullet"/>
      </w:pPr>
      <w:r>
        <w:rPr>
          <w:sz w:val="20"/>
        </w:rPr>
        <w:t>How often are molecular tests typically performed?</w:t>
      </w:r>
    </w:p>
    <w:p>
      <w:pPr>
        <w:pStyle w:val="ListBullet"/>
      </w:pPr>
      <w:r>
        <w:rPr>
          <w:sz w:val="20"/>
        </w:rPr>
        <w:t>For treatment: if a drug or intervention is recorded, can start/stop dates and sequences (line of therapy, switches) be reconstructed, or is it mainly the current regimen?</w:t>
      </w:r>
    </w:p>
    <w:p>
      <w:pPr>
        <w:pStyle w:val="Heading1"/>
      </w:pPr>
      <w:r>
        <w:t>2. Our research priorities (to test against the data)</w:t>
      </w:r>
    </w:p>
    <w:p>
      <w:r>
        <w:t>Please mark each item as feasible now, possible later, or not suitable — and say briefly why.</w:t>
      </w:r>
    </w:p>
    <w:p>
      <w:pPr>
        <w:pStyle w:val="Heading2"/>
      </w:pPr>
      <w:r>
        <w:t>2.1 Disease modification and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F4F7FA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4608"/>
            <w:shd w:val="clear" w:color="auto" w:fill="F4F7FA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2016"/>
            <w:shd w:val="clear" w:color="auto" w:fill="F4F7FA"/>
          </w:tcPr>
          <w:p>
            <w:r>
              <w:rPr>
                <w:b/>
                <w:sz w:val="18"/>
              </w:rPr>
              <w:t>Feasible now / later / not suitable</w:t>
            </w:r>
          </w:p>
        </w:tc>
        <w:tc>
          <w:tcPr>
            <w:tcW w:type="dxa" w:w="1872"/>
            <w:shd w:val="clear" w:color="auto" w:fill="F4F7FA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Association between molecular response and long-term clinical outcomes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Relationship between CBC normalization, molecular response, and clinically meaningful endpoints (thrombosis, progression, transformation, survival)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Identification or exploration of surrogate endpoints that may predict long-term outcomes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Impact of HIDAT vs low dose on long-term clinical outcomes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2.2 Target populations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F4F7FA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4608"/>
            <w:shd w:val="clear" w:color="auto" w:fill="F4F7FA"/>
          </w:tcPr>
          <w:p>
            <w:r>
              <w:rPr>
                <w:b/>
                <w:sz w:val="18"/>
              </w:rPr>
              <w:t>Population / question</w:t>
            </w:r>
          </w:p>
        </w:tc>
        <w:tc>
          <w:tcPr>
            <w:tcW w:type="dxa" w:w="2016"/>
            <w:shd w:val="clear" w:color="auto" w:fill="F4F7FA"/>
          </w:tcPr>
          <w:p>
            <w:r>
              <w:rPr>
                <w:b/>
                <w:sz w:val="18"/>
              </w:rPr>
              <w:t>Feasible now / later / not suitable</w:t>
            </w:r>
          </w:p>
        </w:tc>
        <w:tc>
          <w:tcPr>
            <w:tcW w:type="dxa" w:w="1872"/>
            <w:shd w:val="clear" w:color="auto" w:fill="F4F7FA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Outcomes in molecularly defined higher-risk patients (high-risk mutations, multiple mutations, or adverse molecular profiles)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Early intervention versus delayed treatment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Younger patients (age &lt; 60)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B4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Pregnancy, if data are available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2.3 Treatment patterns (including MF)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F4F7FA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4608"/>
            <w:shd w:val="clear" w:color="auto" w:fill="F4F7FA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2016"/>
            <w:shd w:val="clear" w:color="auto" w:fill="F4F7FA"/>
          </w:tcPr>
          <w:p>
            <w:r>
              <w:rPr>
                <w:b/>
                <w:sz w:val="18"/>
              </w:rPr>
              <w:t>Feasible now / later / not suitable</w:t>
            </w:r>
          </w:p>
        </w:tc>
        <w:tc>
          <w:tcPr>
            <w:tcW w:type="dxa" w:w="1872"/>
            <w:shd w:val="clear" w:color="auto" w:fill="F4F7FA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Interferon and broader MPN treatment patterns in PV / ET / pMF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Pegasys vs Besremi comparison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HIDAT vs low dose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How multi-therapy pathways in pMF can be described and analysed in a clinically meaningful 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</w:rPr>
        <w:t>Note: A4 and C3 are the same dosing question seen from outcomes and treatment capture — we can discuss once.</w:t>
      </w:r>
    </w:p>
    <w:p>
      <w:pPr>
        <w:pStyle w:val="Heading1"/>
      </w:pPr>
      <w:r>
        <w:t>3. Support needed for the collaboration</w:t>
      </w:r>
    </w:p>
    <w:p>
      <w:r>
        <w:t>What support would you need from us to proceed?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F4F7FA"/>
          </w:tcPr>
          <w:p>
            <w:r>
              <w:rPr>
                <w:b/>
                <w:sz w:val="18"/>
              </w:rPr>
              <w:t>Possible support</w:t>
            </w:r>
          </w:p>
        </w:tc>
        <w:tc>
          <w:tcPr>
            <w:tcW w:type="dxa" w:w="1872"/>
            <w:shd w:val="clear" w:color="auto" w:fill="F4F7FA"/>
          </w:tcPr>
          <w:p>
            <w:r>
              <w:rPr>
                <w:b/>
                <w:sz w:val="18"/>
              </w:rPr>
              <w:t>Needed? (Y / N / later)</w:t>
            </w:r>
          </w:p>
        </w:tc>
        <w:tc>
          <w:tcPr>
            <w:tcW w:type="dxa" w:w="4320"/>
            <w:shd w:val="clear" w:color="auto" w:fill="F4F7FA"/>
          </w:tcPr>
          <w:p>
            <w:r>
              <w:rPr>
                <w:b/>
                <w:sz w:val="18"/>
              </w:rPr>
              <w:t>What “enough” would look like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Research funding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Biostatistical input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Protocol / statistical analysis plan drafting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Ethics / data-governance support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Other (please specify)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Close — proposed next steps (to fill in together)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040"/>
            <w:shd w:val="clear" w:color="auto" w:fill="F4F7FA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F4F7FA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2160"/>
            <w:shd w:val="clear" w:color="auto" w:fill="F4F7FA"/>
          </w:tcPr>
          <w:p>
            <w:r>
              <w:rPr>
                <w:b/>
                <w:sz w:val="18"/>
              </w:rPr>
              <w:t>Timing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</w:rPr>
        <w:t>Thank you for your time. Please add anything you would like on the agenda.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