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 w:line="276" w:lineRule="auto"/>
      </w:pPr>
      <w:r>
        <w:rPr>
          <w:rFonts w:ascii="Calibri" w:hAnsi="Calibri" w:eastAsia="Microsoft JhengHei"/>
          <w:sz w:val="36"/>
        </w:rPr>
        <w:t>1:1 meeting script — Prof. Liang (26 Aug 2026)</w:t>
      </w:r>
      <w:r>
        <w:rPr>
          <w:rFonts w:ascii="Calibri" w:hAnsi="Calibri" w:eastAsia="Microsoft JhengHei"/>
          <w:sz w:val="36"/>
        </w:rPr>
      </w:r>
      <w:r>
        <w:rPr>
          <w:rFonts w:ascii="Calibri" w:hAnsi="Calibri" w:eastAsia="Microsoft JhengHei"/>
          <w:sz w:val="36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Cantonese Word for review:</w:t>
      </w:r>
      <w:r>
        <w:rPr>
          <w:rFonts w:ascii="Calibri" w:hAnsi="Calibri" w:eastAsia="Microsoft JhengHei"/>
          <w:sz w:val="22"/>
        </w:rPr>
        <w:t xml:space="preserve"> </w:t>
      </w:r>
      <w:hyperlink r:id="rId11">
        <w:r>
          <w:rPr>
            <w:color w:val="0000EE"/>
            <w:u w:val="single"/>
          </w:rPr>
          <w:t>hcp-meeting-script-liang-20260826-yue.docx</w:t>
        </w:r>
      </w:hyperlink>
      <w:r>
        <w:rPr>
          <w:rFonts w:ascii="Calibri" w:hAnsi="Calibri" w:eastAsia="Microsoft JhengHei"/>
          <w:sz w:val="22"/>
        </w:rPr>
        <w:t xml:space="preserve"> · markdown </w:t>
      </w:r>
      <w:hyperlink r:id="rId12">
        <w:r>
          <w:rPr>
            <w:color w:val="0000EE"/>
            <w:u w:val="single"/>
          </w:rPr>
          <w:t>hcp-meeting-script-liang-20260826-yue.md</w:t>
        </w:r>
      </w:hyperlink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Assumption (confirm in the first 30 seconds):</w:t>
      </w:r>
      <w:r>
        <w:rPr>
          <w:rFonts w:ascii="Calibri" w:hAnsi="Calibri" w:eastAsia="Microsoft JhengHei"/>
          <w:sz w:val="22"/>
        </w:rPr>
        <w:t xml:space="preserve"> Dr </w:t>
      </w:r>
      <w:r>
        <w:rPr>
          <w:rFonts w:ascii="Calibri" w:hAnsi="Calibri" w:eastAsia="Microsoft JhengHei"/>
          <w:b/>
          <w:sz w:val="22"/>
        </w:rPr>
        <w:t>Raymond Liang Hin-Suen</w:t>
      </w:r>
      <w:r>
        <w:rPr>
          <w:rFonts w:ascii="Calibri" w:hAnsi="Calibri" w:eastAsia="Microsoft JhengHei"/>
          <w:sz w:val="22"/>
        </w:rPr>
        <w:t xml:space="preserve"> (梁憲孫醫生), Head of Medicine / Director, Haematology and Cellular Therapy Centre, </w:t>
      </w:r>
      <w:r>
        <w:rPr>
          <w:rFonts w:ascii="Calibri" w:hAnsi="Calibri" w:eastAsia="Microsoft JhengHei"/>
          <w:b/>
          <w:sz w:val="22"/>
        </w:rPr>
        <w:t>Hong Kong Sanatorium &amp; Hospital</w:t>
      </w:r>
      <w:r>
        <w:rPr>
          <w:rFonts w:ascii="Calibri" w:hAnsi="Calibri" w:eastAsia="Microsoft JhengHei"/>
          <w:sz w:val="22"/>
        </w:rPr>
        <w:t>; Honorary Clinical Professor, HKU / CUHK. Public profile only. If this is a different Liang, stop and retarget.</w:t>
        <w:br/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Channel:</w:t>
      </w:r>
      <w:r>
        <w:rPr>
          <w:rFonts w:ascii="Calibri" w:hAnsi="Calibri" w:eastAsia="Microsoft JhengHei"/>
          <w:sz w:val="22"/>
        </w:rPr>
        <w:t xml:space="preserve"> 1:1 scientific exchange + approved leave-behind. </w:t>
      </w:r>
      <w:r>
        <w:rPr>
          <w:rFonts w:ascii="Calibri" w:hAnsi="Calibri" w:eastAsia="Microsoft JhengHei"/>
          <w:b/>
          <w:sz w:val="22"/>
        </w:rPr>
        <w:t>Style: Consult, not lecture.</w:t>
      </w:r>
      <w:r>
        <w:rPr>
          <w:rFonts w:ascii="Calibri" w:hAnsi="Calibri" w:eastAsia="Microsoft JhengHei"/>
          <w:sz w:val="22"/>
        </w:rPr>
        <w:t xml:space="preserve"> He does not need WHO 2016.</w:t>
        <w:br/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Sensitivity:</w:t>
      </w:r>
      <w:r>
        <w:rPr>
          <w:rFonts w:ascii="Calibri" w:hAnsi="Calibri" w:eastAsia="Microsoft JhengHei"/>
          <w:sz w:val="22"/>
        </w:rPr>
        <w:t xml:space="preserve"> Mid — HK PI + approved brochure + published RCT. No patient names. No unpublished ad-board quotes.</w:t>
        <w:br/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Status:</w:t>
      </w:r>
      <w:r>
        <w:rPr>
          <w:rFonts w:ascii="Calibri" w:hAnsi="Calibri" w:eastAsia="Microsoft JhengHei"/>
          <w:sz w:val="22"/>
        </w:rPr>
        <w:t xml:space="preserve"> DRAFT until you confirm Medical has cleared this brochure as the live HCP leave-behind.</w:t>
        <w:br/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PSP (private / HKSH):</w:t>
      </w:r>
      <w:r>
        <w:rPr>
          <w:rFonts w:ascii="Calibri" w:hAnsi="Calibri" w:eastAsia="Microsoft JhengHei"/>
          <w:sz w:val="22"/>
        </w:rPr>
        <w:t xml:space="preserve"> Private Sector — buy 2 get 1, private only, first year, </w:t>
      </w:r>
      <w:r>
        <w:rPr>
          <w:rFonts w:ascii="Calibri" w:hAnsi="Calibri" w:eastAsia="Microsoft JhengHei"/>
          <w:b/>
          <w:sz w:val="22"/>
        </w:rPr>
        <w:t>expires end 2026</w:t>
      </w:r>
      <w:r>
        <w:rPr>
          <w:rFonts w:ascii="Calibri" w:hAnsi="Calibri" w:eastAsia="Microsoft JhengHei"/>
          <w:sz w:val="22"/>
        </w:rPr>
        <w:t xml:space="preserve">. Re-confirm with market access </w:t>
      </w:r>
      <w:r>
        <w:rPr>
          <w:rFonts w:ascii="Calibri" w:hAnsi="Calibri" w:eastAsia="Microsoft JhengHei"/>
          <w:b/>
          <w:sz w:val="22"/>
        </w:rPr>
        <w:t>before</w:t>
      </w:r>
      <w:r>
        <w:rPr>
          <w:rFonts w:ascii="Calibri" w:hAnsi="Calibri" w:eastAsia="Microsoft JhengHei"/>
          <w:sz w:val="22"/>
        </w:rPr>
        <w:t xml:space="preserve"> you quote terms. Do not volunteer list price (planning figure HK$36,000/injection stays internal unless he asks).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Recommendation (what this meeting is for)</w:t>
      </w:r>
      <w:r>
        <w:rPr>
          <w:rFonts w:ascii="Calibri" w:hAnsi="Calibri" w:eastAsia="Microsoft JhengHei"/>
          <w:sz w:val="28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Do</w:t>
      </w:r>
      <w:r>
        <w:rPr>
          <w:rFonts w:ascii="Calibri" w:hAnsi="Calibri" w:eastAsia="Microsoft JhengHei"/>
          <w:sz w:val="22"/>
        </w:rPr>
        <w:t xml:space="preserve"> walk the physician brochure in page order, name every analysis out loud, and leave with </w:t>
      </w:r>
      <w:r>
        <w:rPr>
          <w:rFonts w:ascii="Calibri" w:hAnsi="Calibri" w:eastAsia="Microsoft JhengHei"/>
          <w:b/>
          <w:sz w:val="22"/>
        </w:rPr>
        <w:t>one</w:t>
      </w:r>
      <w:r>
        <w:rPr>
          <w:rFonts w:ascii="Calibri" w:hAnsi="Calibri" w:eastAsia="Microsoft JhengHei"/>
          <w:sz w:val="22"/>
        </w:rPr>
        <w:t xml:space="preserve"> next step: a suitable adult PV patient </w:t>
      </w:r>
      <w:r>
        <w:rPr>
          <w:rFonts w:ascii="Calibri" w:hAnsi="Calibri" w:eastAsia="Microsoft JhengHei"/>
          <w:b/>
          <w:sz w:val="22"/>
        </w:rPr>
        <w:t>without symptomatic splenomegaly</w:t>
      </w:r>
      <w:r>
        <w:rPr>
          <w:rFonts w:ascii="Calibri" w:hAnsi="Calibri" w:eastAsia="Microsoft JhengHei"/>
          <w:sz w:val="22"/>
        </w:rPr>
        <w:t xml:space="preserve">, or a reason he will not start. </w:t>
      </w:r>
      <w:r>
        <w:rPr>
          <w:rFonts w:ascii="Calibri" w:hAnsi="Calibri" w:eastAsia="Microsoft JhengHei"/>
          <w:b/>
          <w:sz w:val="22"/>
        </w:rPr>
        <w:t>Do not</w:t>
      </w:r>
      <w:r>
        <w:rPr>
          <w:rFonts w:ascii="Calibri" w:hAnsi="Calibri" w:eastAsia="Microsoft JhengHei"/>
          <w:sz w:val="22"/>
        </w:rPr>
        <w:t xml:space="preserve"> teach NCCN, AMWG, or HIDAT; </w:t>
      </w:r>
      <w:r>
        <w:rPr>
          <w:rFonts w:ascii="Calibri" w:hAnsi="Calibri" w:eastAsia="Microsoft JhengHei"/>
          <w:b/>
          <w:sz w:val="22"/>
        </w:rPr>
        <w:t>do not</w:t>
      </w:r>
      <w:r>
        <w:rPr>
          <w:rFonts w:ascii="Calibri" w:hAnsi="Calibri" w:eastAsia="Microsoft JhengHei"/>
          <w:sz w:val="22"/>
        </w:rPr>
        <w:t xml:space="preserve"> claim IFN-to-IFN superiority; </w:t>
      </w:r>
      <w:r>
        <w:rPr>
          <w:rFonts w:ascii="Calibri" w:hAnsi="Calibri" w:eastAsia="Microsoft JhengHei"/>
          <w:b/>
          <w:sz w:val="22"/>
        </w:rPr>
        <w:t>do not</w:t>
      </w:r>
      <w:r>
        <w:rPr>
          <w:rFonts w:ascii="Calibri" w:hAnsi="Calibri" w:eastAsia="Microsoft JhengHei"/>
          <w:sz w:val="22"/>
        </w:rPr>
        <w:t xml:space="preserve"> promise HA listing; </w:t>
      </w:r>
      <w:r>
        <w:rPr>
          <w:rFonts w:ascii="Calibri" w:hAnsi="Calibri" w:eastAsia="Microsoft JhengHei"/>
          <w:b/>
          <w:sz w:val="22"/>
        </w:rPr>
        <w:t>do not</w:t>
      </w:r>
      <w:r>
        <w:rPr>
          <w:rFonts w:ascii="Calibri" w:hAnsi="Calibri" w:eastAsia="Microsoft JhengHei"/>
          <w:sz w:val="22"/>
        </w:rPr>
        <w:t xml:space="preserve"> discuss ET/MF unless he raises it.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Remember / feel / do</w:t>
        <w:br/>
      </w:r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alibri" w:hAnsi="Calibri" w:eastAsia="Microsoft JhengHei"/>
          <w:b/>
          <w:sz w:val="22"/>
        </w:rPr>
        <w:t>Remember:</w:t>
      </w:r>
      <w:r>
        <w:rPr>
          <w:rFonts w:ascii="Calibri" w:hAnsi="Calibri" w:eastAsia="Microsoft JhengHei"/>
          <w:sz w:val="22"/>
        </w:rPr>
        <w:t xml:space="preserve"> Ropeg is slower at year 1; the 5-year CHR curve and JAK2 rebound vs HU are why the conversation is long-term; HK start is </w:t>
      </w:r>
      <w:r>
        <w:rPr>
          <w:rFonts w:ascii="Calibri" w:hAnsi="Calibri" w:eastAsia="Microsoft JhengHei"/>
          <w:b/>
          <w:sz w:val="22"/>
        </w:rPr>
        <w:t>100/50 µg</w:t>
      </w:r>
      <w:r>
        <w:rPr>
          <w:rFonts w:ascii="Calibri" w:hAnsi="Calibri" w:eastAsia="Microsoft JhengHei"/>
          <w:sz w:val="22"/>
        </w:rPr>
        <w:t>.</w:t>
        <w:br/>
      </w:r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alibri" w:hAnsi="Calibri" w:eastAsia="Microsoft JhengHei"/>
          <w:b/>
          <w:sz w:val="22"/>
        </w:rPr>
        <w:t>Feel:</w:t>
      </w:r>
      <w:r>
        <w:rPr>
          <w:rFonts w:ascii="Calibri" w:hAnsi="Calibri" w:eastAsia="Microsoft JhengHei"/>
          <w:sz w:val="22"/>
        </w:rPr>
        <w:t xml:space="preserve"> You are scientifically honest and will not over-claim 84.3%.</w:t>
        <w:br/>
      </w:r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alibri" w:hAnsi="Calibri" w:eastAsia="Microsoft JhengHei"/>
          <w:b/>
          <w:sz w:val="22"/>
        </w:rPr>
        <w:t>Do:</w:t>
      </w:r>
      <w:r>
        <w:rPr>
          <w:rFonts w:ascii="Calibri" w:hAnsi="Calibri" w:eastAsia="Microsoft JhengHei"/>
          <w:sz w:val="22"/>
        </w:rPr>
        <w:t xml:space="preserve"> Identify whether he has a first private-pay patient who fits the HK indication, and whether PSP paperwork is useful.</w:t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Cue card (one glance)</w:t>
      </w:r>
      <w:r>
        <w:rPr>
          <w:rFonts w:ascii="Calibri" w:hAnsi="Calibri" w:eastAsia="Microsoft JhengHei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Minute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Must-say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0–2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Confirm centre; ask how he treats PV now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Listen. Do not open the brochure yet.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2–3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Indication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Adult monotherapy, PV </w:t>
            </w:r>
            <w:r>
              <w:rPr>
                <w:rFonts w:ascii="Calibri" w:hAnsi="Calibri" w:eastAsia="Microsoft JhengHei"/>
                <w:b/>
                <w:sz w:val="20"/>
              </w:rPr>
              <w:t>without symptomatic splenomegaly</w:t>
            </w:r>
            <w:r>
              <w:rPr>
                <w:rFonts w:ascii="Calibri" w:hAnsi="Calibri" w:eastAsia="Microsoft JhengHei"/>
                <w:sz w:val="20"/>
              </w:rPr>
              <w:t xml:space="preserve"> .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3–8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CHR page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Graph: HU ahead at 12 mo (~75 vs ~62), crossover by 24, ~73% at 60. </w:t>
            </w:r>
            <w:r>
              <w:rPr>
                <w:rFonts w:ascii="Calibri" w:hAnsi="Calibri" w:eastAsia="Microsoft JhengHei"/>
                <w:b/>
                <w:sz w:val="20"/>
              </w:rPr>
              <w:t>84.3% = ever-CHR</w:t>
            </w:r>
            <w:r>
              <w:rPr>
                <w:rFonts w:ascii="Calibri" w:hAnsi="Calibri" w:eastAsia="Microsoft JhengHei"/>
                <w:sz w:val="20"/>
              </w:rPr>
              <w:t xml:space="preserve"> , not snapshot. PI 12-mo </w:t>
            </w:r>
            <w:r>
              <w:rPr>
                <w:rFonts w:ascii="Calibri" w:hAnsi="Calibri" w:eastAsia="Microsoft JhengHei"/>
                <w:b/>
                <w:sz w:val="20"/>
              </w:rPr>
              <w:t>43.1 vs 46, p=0.63</w:t>
            </w:r>
            <w:r>
              <w:rPr>
                <w:rFonts w:ascii="Calibri" w:hAnsi="Calibri" w:eastAsia="Microsoft JhengHei"/>
                <w:sz w:val="20"/>
              </w:rPr>
              <w:t xml:space="preserve"> . Late primary </w:t>
            </w:r>
            <w:r>
              <w:rPr>
                <w:rFonts w:ascii="Calibri" w:hAnsi="Calibri" w:eastAsia="Microsoft JhengHei"/>
                <w:b/>
                <w:sz w:val="20"/>
              </w:rPr>
              <w:t>54.5 vs 34.9, p=0.02</w:t>
            </w:r>
            <w:r>
              <w:rPr>
                <w:rFonts w:ascii="Calibri" w:hAnsi="Calibri" w:eastAsia="Microsoft JhengHei"/>
                <w:sz w:val="20"/>
              </w:rPr>
              <w:t xml:space="preserve"> . TE </w:t>
            </w:r>
            <w:r>
              <w:rPr>
                <w:rFonts w:ascii="Calibri" w:hAnsi="Calibri" w:eastAsia="Microsoft JhengHei"/>
                <w:b/>
                <w:sz w:val="20"/>
              </w:rPr>
              <w:t>4/127</w:t>
            </w:r>
            <w:r>
              <w:rPr>
                <w:rFonts w:ascii="Calibri" w:hAnsi="Calibri" w:eastAsia="Microsoft JhengHei"/>
                <w:sz w:val="20"/>
              </w:rPr>
              <w:t xml:space="preserve"> ≠ EFS </w:t>
            </w:r>
            <w:r>
              <w:rPr>
                <w:rFonts w:ascii="Calibri" w:hAnsi="Calibri" w:eastAsia="Microsoft JhengHei"/>
                <w:b/>
                <w:sz w:val="20"/>
              </w:rPr>
              <w:t>5/95</w:t>
            </w:r>
            <w:r>
              <w:rPr>
                <w:rFonts w:ascii="Calibri" w:hAnsi="Calibri" w:eastAsia="Microsoft JhengHei"/>
                <w:sz w:val="20"/>
              </w:rPr>
              <w:t xml:space="preserve"> .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8–11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JAK2 page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37% → 8%</w:t>
            </w:r>
            <w:r>
              <w:rPr>
                <w:rFonts w:ascii="Calibri" w:hAnsi="Calibri" w:eastAsia="Microsoft JhengHei"/>
                <w:sz w:val="20"/>
              </w:rPr>
              <w:t xml:space="preserve"> vs </w:t>
            </w:r>
            <w:r>
              <w:rPr>
                <w:rFonts w:ascii="Calibri" w:hAnsi="Calibri" w:eastAsia="Microsoft JhengHei"/>
                <w:b/>
                <w:sz w:val="20"/>
              </w:rPr>
              <w:t>38% → 44%</w:t>
            </w:r>
            <w:r>
              <w:rPr>
                <w:rFonts w:ascii="Calibri" w:hAnsi="Calibri" w:eastAsia="Microsoft JhengHei"/>
                <w:sz w:val="20"/>
              </w:rPr>
              <w:t xml:space="preserve"> . No TFR.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11–14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EFS KM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5/95 vs 12/74, p=0.04</w:t>
            </w:r>
            <w:r>
              <w:rPr>
                <w:rFonts w:ascii="Calibri" w:hAnsi="Calibri" w:eastAsia="Microsoft JhengHei"/>
                <w:sz w:val="20"/>
              </w:rPr>
              <w:t xml:space="preserve"> . EFS ≠ OS. No “prevents leukemia.”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14–17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Safety p.9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Counts not worse than HU. </w:t>
            </w:r>
            <w:r>
              <w:rPr>
                <w:rFonts w:ascii="Calibri" w:hAnsi="Calibri" w:eastAsia="Microsoft JhengHei"/>
                <w:b/>
                <w:sz w:val="20"/>
              </w:rPr>
              <w:t>GGT 16% vs 2%</w:t>
            </w:r>
            <w:r>
              <w:rPr>
                <w:rFonts w:ascii="Calibri" w:hAnsi="Calibri" w:eastAsia="Microsoft JhengHei"/>
                <w:sz w:val="20"/>
              </w:rPr>
              <w:t xml:space="preserve"> (G≥3 8% vs 2%). D/C ~11% vs 2–3%.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17–20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PI + start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100 µg</w:t>
            </w:r>
            <w:r>
              <w:rPr>
                <w:rFonts w:ascii="Calibri" w:hAnsi="Calibri" w:eastAsia="Microsoft JhengHei"/>
                <w:sz w:val="20"/>
              </w:rPr>
              <w:t xml:space="preserve"> (50 if already cytoreductive). Not 250–350–500. Thyroid CI; LFT monitor.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20–25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Access + close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Private Sector PSP if eligible. No HA date. </w:t>
            </w:r>
            <w:r>
              <w:rPr>
                <w:rFonts w:ascii="Calibri" w:hAnsi="Calibri" w:eastAsia="Microsoft JhengHei"/>
                <w:b/>
                <w:sz w:val="20"/>
              </w:rPr>
              <w:t>One</w:t>
            </w:r>
            <w:r>
              <w:rPr>
                <w:rFonts w:ascii="Calibri" w:hAnsi="Calibri" w:eastAsia="Microsoft JhengHei"/>
                <w:sz w:val="20"/>
              </w:rPr>
              <w:t xml:space="preserve"> next step.</w:t>
            </w:r>
          </w:p>
        </w:tc>
      </w:tr>
    </w:tbl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Leave on the table:</w:t>
      </w:r>
      <w:r>
        <w:rPr>
          <w:rFonts w:ascii="Calibri" w:hAnsi="Calibri" w:eastAsia="Microsoft JhengHei"/>
          <w:sz w:val="22"/>
        </w:rPr>
        <w:t xml:space="preserve"> brochure with abbreviated PI (indication, dose, CI, ADRs, </w:t>
      </w:r>
      <w:r>
        <w:rPr>
          <w:rFonts w:ascii="Calibri" w:hAnsi="Calibri" w:eastAsia="Microsoft JhengHei"/>
          <w:b/>
          <w:sz w:val="22"/>
        </w:rPr>
        <w:t>PI date</w:t>
      </w:r>
      <w:r>
        <w:rPr>
          <w:rFonts w:ascii="Calibri" w:hAnsi="Calibri" w:eastAsia="Microsoft JhengHei"/>
          <w:sz w:val="22"/>
        </w:rPr>
        <w:t>). No branded giveaway.</w:t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Before you sit down</w:t>
      </w:r>
      <w:r>
        <w:rPr>
          <w:rFonts w:ascii="Calibri" w:hAnsi="Calibri" w:eastAsia="Microsoft JhengHei"/>
          <w:sz w:val="28"/>
        </w:rPr>
      </w:r>
      <w:r>
        <w:rPr>
          <w:rFonts w:ascii="Calibri" w:hAnsi="Calibri" w:eastAsia="Microsoft JhengHei"/>
          <w:sz w:val="28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[ ] Brochure is the </w:t>
      </w:r>
      <w:r>
        <w:rPr>
          <w:rFonts w:ascii="Calibri" w:hAnsi="Calibri" w:eastAsia="Microsoft JhengHei"/>
          <w:b/>
          <w:sz w:val="22"/>
        </w:rPr>
        <w:t>cleared</w:t>
      </w:r>
      <w:r>
        <w:rPr>
          <w:rFonts w:ascii="Calibri" w:hAnsi="Calibri" w:eastAsia="Microsoft JhengHei"/>
          <w:sz w:val="22"/>
        </w:rPr>
        <w:t xml:space="preserve"> leave-behind (not a draft screenshot).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[ ] Abbreviated PI + current PI date on the piece or a PI slip.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[ ] PSP terms confirmed today with market access.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[ ] If a meal: ≤ HK$400 lunch / ≤ HK$800 dinner; science is the meeting, not the food.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[ ] No product-branded items.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[ ] Phone on silent; brochure pages pre-ordered: CHR → JAK2 → EFS → Safety → PI.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If he opens with “this is too expensive”</w:t>
      </w:r>
      <w:r>
        <w:rPr>
          <w:rFonts w:ascii="Calibri" w:hAnsi="Calibri" w:eastAsia="Microsoft JhengHei"/>
          <w:sz w:val="28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Colleague’s three lines — which you may use:</w:t>
      </w:r>
      <w:r>
        <w:rPr>
          <w:rFonts w:ascii="Calibri" w:hAnsi="Calibri" w:eastAsia="Microsoft JhengHei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Colleague wants to say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Allowed?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Why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“Our dosage is more / better than Pegasys”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HK PI: do </w:t>
            </w:r>
            <w:r>
              <w:rPr>
                <w:rFonts w:ascii="Calibri" w:hAnsi="Calibri" w:eastAsia="Microsoft JhengHei"/>
                <w:b/>
                <w:sz w:val="20"/>
              </w:rPr>
              <w:t>not</w:t>
            </w:r>
            <w:r>
              <w:rPr>
                <w:rFonts w:ascii="Calibri" w:hAnsi="Calibri" w:eastAsia="Microsoft JhengHei"/>
                <w:sz w:val="20"/>
              </w:rPr>
              <w:t xml:space="preserve"> compare potency with another pegylated or non-pegylated protein of the same class. More mcg, fewer injections, or “stronger IFN” are all IFN-to-IFN.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“First drug with FDA approval for PV”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Do not say it that way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Not</w:t>
            </w:r>
            <w:r>
              <w:rPr>
                <w:rFonts w:ascii="Calibri" w:hAnsi="Calibri" w:eastAsia="Microsoft JhengHei"/>
                <w:sz w:val="20"/>
              </w:rPr>
              <w:t xml:space="preserve"> the first FDA-approved PV drug — ruxolitinib (Jakafi) 2014 (after HU failure/intolerance). Accurate regulatory fact ( </w:t>
            </w:r>
            <w:r>
              <w:rPr>
                <w:rFonts w:ascii="Calibri" w:hAnsi="Calibri" w:eastAsia="Microsoft JhengHei"/>
                <w:b/>
                <w:sz w:val="20"/>
              </w:rPr>
              <w:t>not</w:t>
            </w:r>
            <w:r>
              <w:rPr>
                <w:rFonts w:ascii="Calibri" w:hAnsi="Calibri" w:eastAsia="Microsoft JhengHei"/>
                <w:sz w:val="20"/>
              </w:rPr>
              <w:t xml:space="preserve"> a Pegasys attack): BESREMi is the </w:t>
            </w:r>
            <w:r>
              <w:rPr>
                <w:rFonts w:ascii="Calibri" w:hAnsi="Calibri" w:eastAsia="Microsoft JhengHei"/>
                <w:b/>
                <w:sz w:val="20"/>
              </w:rPr>
              <w:t>first FDA-approved interferon specifically for PV</w:t>
            </w:r>
            <w:r>
              <w:rPr>
                <w:rFonts w:ascii="Calibri" w:hAnsi="Calibri" w:eastAsia="Microsoft JhengHei"/>
                <w:sz w:val="20"/>
              </w:rPr>
              <w:t xml:space="preserve"> (2021), and the first FDA PV medicine that can be used </w:t>
            </w:r>
            <w:r>
              <w:rPr>
                <w:rFonts w:ascii="Calibri" w:hAnsi="Calibri" w:eastAsia="Microsoft JhengHei"/>
                <w:b/>
                <w:sz w:val="20"/>
              </w:rPr>
              <w:t>regardless of prior treatment history</w:t>
            </w:r>
            <w:r>
              <w:rPr>
                <w:rFonts w:ascii="Calibri" w:hAnsi="Calibri" w:eastAsia="Microsoft JhengHei"/>
                <w:sz w:val="20"/>
              </w:rPr>
              <w:t xml:space="preserve"> . Hong Kong follows the </w:t>
            </w:r>
            <w:r>
              <w:rPr>
                <w:rFonts w:ascii="Calibri" w:hAnsi="Calibri" w:eastAsia="Microsoft JhengHei"/>
                <w:b/>
                <w:sz w:val="20"/>
              </w:rPr>
              <w:t>HK PI</w:t>
            </w:r>
            <w:r>
              <w:rPr>
                <w:rFonts w:ascii="Calibri" w:hAnsi="Calibri" w:eastAsia="Microsoft JhengHei"/>
                <w:sz w:val="20"/>
              </w:rPr>
              <w:t xml:space="preserve"> , not FDA.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“Safer than Pegasys because of old Hep B head-to-head”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Even the colleague notes </w:t>
            </w:r>
            <w:r>
              <w:rPr>
                <w:rFonts w:ascii="Calibri" w:hAnsi="Calibri" w:eastAsia="Microsoft JhengHei"/>
                <w:b/>
                <w:sz w:val="20"/>
              </w:rPr>
              <w:t>no MPN H2H</w:t>
            </w:r>
            <w:r>
              <w:rPr>
                <w:rFonts w:ascii="Calibri" w:hAnsi="Calibri" w:eastAsia="Microsoft JhengHei"/>
                <w:sz w:val="20"/>
              </w:rPr>
              <w:t xml:space="preserve"> . Hep B ≠ PV; different products (Pegasys = peg-IFN-α-2a; BESREMi = ropeg-IFN-α-2b). HKAPI comparatives need a </w:t>
            </w:r>
            <w:r>
              <w:rPr>
                <w:rFonts w:ascii="Calibri" w:hAnsi="Calibri" w:eastAsia="Microsoft JhengHei"/>
                <w:b/>
                <w:sz w:val="20"/>
              </w:rPr>
              <w:t>named, significant study in the relevant indication</w:t>
            </w:r>
            <w:r>
              <w:rPr>
                <w:rFonts w:ascii="Calibri" w:hAnsi="Calibri" w:eastAsia="Microsoft JhengHei"/>
                <w:sz w:val="20"/>
              </w:rPr>
              <w:t xml:space="preserve"> .</w:t>
            </w:r>
          </w:p>
        </w:tc>
      </w:tr>
    </w:tbl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Three-layer price answer (this order — do not lead with Pegasys):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Agree it is expensive</w:t>
      </w:r>
      <w:r>
        <w:rPr>
          <w:rFonts w:ascii="Calibri" w:hAnsi="Calibri" w:eastAsia="Microsoft JhengHei"/>
          <w:sz w:val="22"/>
        </w:rPr>
        <w:t xml:space="preserve"> — private pay, premium is a fact. Do not argue “it is not expensive.”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Value stays on-label</w:t>
      </w:r>
      <w:r>
        <w:rPr>
          <w:rFonts w:ascii="Calibri" w:hAnsi="Calibri" w:eastAsia="Microsoft JhengHei"/>
          <w:sz w:val="22"/>
        </w:rPr>
        <w:t xml:space="preserve"> — named RCT vs HU (CHR / EFS / JAK2 rebound) and </w:t>
      </w:r>
      <w:r>
        <w:rPr>
          <w:rFonts w:ascii="Calibri" w:hAnsi="Calibri" w:eastAsia="Microsoft JhengHei"/>
          <w:b/>
          <w:sz w:val="22"/>
        </w:rPr>
        <w:t>this product’s</w:t>
      </w:r>
      <w:r>
        <w:rPr>
          <w:rFonts w:ascii="Calibri" w:hAnsi="Calibri" w:eastAsia="Microsoft JhengHei"/>
          <w:sz w:val="22"/>
        </w:rPr>
        <w:t xml:space="preserve"> q2w, then possible q4w schedule.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Bridge</w:t>
      </w:r>
      <w:r>
        <w:rPr>
          <w:rFonts w:ascii="Calibri" w:hAnsi="Calibri" w:eastAsia="Microsoft JhengHei"/>
          <w:sz w:val="22"/>
        </w:rPr>
        <w:t xml:space="preserve"> — Private Sector PSP if eligible (buy 2 get 1, first year, </w:t>
      </w:r>
      <w:r>
        <w:rPr>
          <w:rFonts w:ascii="Calibri" w:hAnsi="Calibri" w:eastAsia="Microsoft JhengHei"/>
          <w:b/>
          <w:sz w:val="22"/>
        </w:rPr>
        <w:t>ends 2026</w:t>
      </w:r>
      <w:r>
        <w:rPr>
          <w:rFonts w:ascii="Calibri" w:hAnsi="Calibri" w:eastAsia="Microsoft JhengHei"/>
          <w:sz w:val="22"/>
        </w:rPr>
        <w:t>). Do not quote terms until confirmed today.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Heading3"/>
        <w:spacing w:after="120" w:line="276" w:lineRule="auto"/>
      </w:pPr>
      <w:r>
        <w:rPr>
          <w:rFonts w:ascii="Calibri" w:hAnsi="Calibri" w:eastAsia="Microsoft JhengHei"/>
          <w:sz w:val="24"/>
        </w:rPr>
        <w:t>Exact lines if price is the first sentence</w:t>
      </w:r>
      <w:r>
        <w:rPr>
          <w:rFonts w:ascii="Calibri" w:hAnsi="Calibri" w:eastAsia="Microsoft JhengHei"/>
          <w:sz w:val="24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“Professor Liang, in private pay this medicine </w:t>
      </w:r>
      <w:r>
        <w:rPr>
          <w:rFonts w:ascii="Calibri" w:hAnsi="Calibri" w:eastAsia="Microsoft JhengHei"/>
          <w:b/>
          <w:sz w:val="22"/>
        </w:rPr>
        <w:t>is expensive</w:t>
      </w:r>
      <w:r>
        <w:rPr>
          <w:rFonts w:ascii="Calibri" w:hAnsi="Calibri" w:eastAsia="Microsoft JhengHei"/>
          <w:sz w:val="22"/>
        </w:rPr>
        <w:t xml:space="preserve">. I will not compare value against Pegasys or a mainland interferon — the Hong Kong PI </w:t>
      </w:r>
      <w:r>
        <w:rPr>
          <w:rFonts w:ascii="Calibri" w:hAnsi="Calibri" w:eastAsia="Microsoft JhengHei"/>
          <w:b/>
          <w:sz w:val="22"/>
        </w:rPr>
        <w:t>forbids</w:t>
      </w:r>
      <w:r>
        <w:rPr>
          <w:rFonts w:ascii="Calibri" w:hAnsi="Calibri" w:eastAsia="Microsoft JhengHei"/>
          <w:sz w:val="22"/>
        </w:rPr>
        <w:t xml:space="preserve"> potency comparisons in this class, and there is </w:t>
      </w:r>
      <w:r>
        <w:rPr>
          <w:rFonts w:ascii="Calibri" w:hAnsi="Calibri" w:eastAsia="Microsoft JhengHei"/>
          <w:b/>
          <w:sz w:val="22"/>
        </w:rPr>
        <w:t>no</w:t>
      </w:r>
      <w:r>
        <w:rPr>
          <w:rFonts w:ascii="Calibri" w:hAnsi="Calibri" w:eastAsia="Microsoft JhengHei"/>
          <w:sz w:val="22"/>
        </w:rPr>
        <w:t xml:space="preserve"> PV head-to-head.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If the time horizon is </w:t>
      </w:r>
      <w:r>
        <w:rPr>
          <w:rFonts w:ascii="Calibri" w:hAnsi="Calibri" w:eastAsia="Microsoft JhengHei"/>
          <w:b/>
          <w:sz w:val="22"/>
        </w:rPr>
        <w:t>years</w:t>
      </w:r>
      <w:r>
        <w:rPr>
          <w:rFonts w:ascii="Calibri" w:hAnsi="Calibri" w:eastAsia="Microsoft JhengHei"/>
          <w:sz w:val="22"/>
        </w:rPr>
        <w:t xml:space="preserve">, not two or three months of count control, the named data versus HU are 72-month CHR </w:t>
      </w:r>
      <w:r>
        <w:rPr>
          <w:rFonts w:ascii="Calibri" w:hAnsi="Calibri" w:eastAsia="Microsoft JhengHei"/>
          <w:b/>
          <w:sz w:val="22"/>
        </w:rPr>
        <w:t>54.5% vs 34.9%, p=0.02</w:t>
      </w:r>
      <w:r>
        <w:rPr>
          <w:rFonts w:ascii="Calibri" w:hAnsi="Calibri" w:eastAsia="Microsoft JhengHei"/>
          <w:sz w:val="22"/>
        </w:rPr>
        <w:t xml:space="preserve">; EFS </w:t>
      </w:r>
      <w:r>
        <w:rPr>
          <w:rFonts w:ascii="Calibri" w:hAnsi="Calibri" w:eastAsia="Microsoft JhengHei"/>
          <w:b/>
          <w:sz w:val="22"/>
        </w:rPr>
        <w:t>5/95 vs 12/74, p=0.04</w:t>
      </w:r>
      <w:r>
        <w:rPr>
          <w:rFonts w:ascii="Calibri" w:hAnsi="Calibri" w:eastAsia="Microsoft JhengHei"/>
          <w:sz w:val="22"/>
        </w:rPr>
        <w:t xml:space="preserve">; JAK2 at 60 months </w:t>
      </w:r>
      <w:r>
        <w:rPr>
          <w:rFonts w:ascii="Calibri" w:hAnsi="Calibri" w:eastAsia="Microsoft JhengHei"/>
          <w:b/>
          <w:sz w:val="22"/>
        </w:rPr>
        <w:t>8% vs 44% rebound</w:t>
      </w:r>
      <w:r>
        <w:rPr>
          <w:rFonts w:ascii="Calibri" w:hAnsi="Calibri" w:eastAsia="Microsoft JhengHei"/>
          <w:sz w:val="22"/>
        </w:rPr>
        <w:t>. Hydroxyurea is faster in year 1; the PI says that.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On dosing I will only speak the </w:t>
      </w:r>
      <w:r>
        <w:rPr>
          <w:rFonts w:ascii="Calibri" w:hAnsi="Calibri" w:eastAsia="Microsoft JhengHei"/>
          <w:b/>
          <w:sz w:val="22"/>
        </w:rPr>
        <w:t>BESREMi PI</w:t>
      </w:r>
      <w:r>
        <w:rPr>
          <w:rFonts w:ascii="Calibri" w:hAnsi="Calibri" w:eastAsia="Microsoft JhengHei"/>
          <w:sz w:val="22"/>
        </w:rPr>
        <w:t xml:space="preserve">: every two weeks, and after at least 1.5 years stable the interval </w:t>
      </w:r>
      <w:r>
        <w:rPr>
          <w:rFonts w:ascii="Calibri" w:hAnsi="Calibri" w:eastAsia="Microsoft JhengHei"/>
          <w:b/>
          <w:sz w:val="22"/>
        </w:rPr>
        <w:t>may</w:t>
      </w:r>
      <w:r>
        <w:rPr>
          <w:rFonts w:ascii="Calibri" w:hAnsi="Calibri" w:eastAsia="Microsoft JhengHei"/>
          <w:sz w:val="22"/>
        </w:rPr>
        <w:t xml:space="preserve"> go to every four weeks. I will not say ‘fewer injections than Pegasys’ or ‘more dose than Pegasys.’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If the patient is private and eligible, there is a Private Sector PSP — </w:t>
      </w:r>
      <w:r>
        <w:rPr>
          <w:rFonts w:ascii="Calibri" w:hAnsi="Calibri" w:eastAsia="Microsoft JhengHei"/>
          <w:b/>
          <w:sz w:val="22"/>
        </w:rPr>
        <w:t>buy 2 get 1</w:t>
      </w:r>
      <w:r>
        <w:rPr>
          <w:rFonts w:ascii="Calibri" w:hAnsi="Calibri" w:eastAsia="Microsoft JhengHei"/>
          <w:sz w:val="22"/>
        </w:rPr>
        <w:t xml:space="preserve">, first year, </w:t>
      </w:r>
      <w:r>
        <w:rPr>
          <w:rFonts w:ascii="Calibri" w:hAnsi="Calibri" w:eastAsia="Microsoft JhengHei"/>
          <w:b/>
          <w:sz w:val="22"/>
        </w:rPr>
        <w:t>ends 2026</w:t>
      </w:r>
      <w:r>
        <w:rPr>
          <w:rFonts w:ascii="Calibri" w:hAnsi="Calibri" w:eastAsia="Microsoft JhengHei"/>
          <w:sz w:val="22"/>
        </w:rPr>
        <w:t xml:space="preserve"> — I will only quote terms I confirmed with market access today. It is not on the HA Drug Formulary; I will not give a listing date.”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If he follows with “versus Pegasys?”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“There is </w:t>
      </w:r>
      <w:r>
        <w:rPr>
          <w:rFonts w:ascii="Calibri" w:hAnsi="Calibri" w:eastAsia="Microsoft JhengHei"/>
          <w:b/>
          <w:sz w:val="22"/>
        </w:rPr>
        <w:t>no</w:t>
      </w:r>
      <w:r>
        <w:rPr>
          <w:rFonts w:ascii="Calibri" w:hAnsi="Calibri" w:eastAsia="Microsoft JhengHei"/>
          <w:sz w:val="22"/>
        </w:rPr>
        <w:t xml:space="preserve"> Pegasys head-to-head in PV. The PI says not to compare potency. Hepatitis B interferon studies </w:t>
      </w:r>
      <w:r>
        <w:rPr>
          <w:rFonts w:ascii="Calibri" w:hAnsi="Calibri" w:eastAsia="Microsoft JhengHei"/>
          <w:b/>
          <w:sz w:val="22"/>
        </w:rPr>
        <w:t>cannot</w:t>
      </w:r>
      <w:r>
        <w:rPr>
          <w:rFonts w:ascii="Calibri" w:hAnsi="Calibri" w:eastAsia="Microsoft JhengHei"/>
          <w:sz w:val="22"/>
        </w:rPr>
        <w:t xml:space="preserve"> be moved across as ‘safer than Pegasys in PV’ — different disease, different product, different dose. I can stay on this Hong Kong leave-behind versus HU, and the start dose </w:t>
      </w:r>
      <w:r>
        <w:rPr>
          <w:rFonts w:ascii="Calibri" w:hAnsi="Calibri" w:eastAsia="Microsoft JhengHei"/>
          <w:b/>
          <w:sz w:val="22"/>
        </w:rPr>
        <w:t>100/50 µg</w:t>
      </w:r>
      <w:r>
        <w:rPr>
          <w:rFonts w:ascii="Calibri" w:hAnsi="Calibri" w:eastAsia="Microsoft JhengHei"/>
          <w:sz w:val="22"/>
        </w:rPr>
        <w:t>.”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If he asks “first FDA-approved PV drug?”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“The accurate line is: the </w:t>
      </w:r>
      <w:r>
        <w:rPr>
          <w:rFonts w:ascii="Calibri" w:hAnsi="Calibri" w:eastAsia="Microsoft JhengHei"/>
          <w:b/>
          <w:sz w:val="22"/>
        </w:rPr>
        <w:t>first FDA-approved interferon specifically for PV</w:t>
      </w:r>
      <w:r>
        <w:rPr>
          <w:rFonts w:ascii="Calibri" w:hAnsi="Calibri" w:eastAsia="Microsoft JhengHei"/>
          <w:sz w:val="22"/>
        </w:rPr>
        <w:t xml:space="preserve">, and an FDA PV medicine that can be used </w:t>
      </w:r>
      <w:r>
        <w:rPr>
          <w:rFonts w:ascii="Calibri" w:hAnsi="Calibri" w:eastAsia="Microsoft JhengHei"/>
          <w:b/>
          <w:sz w:val="22"/>
        </w:rPr>
        <w:t>regardless of prior treatment history</w:t>
      </w:r>
      <w:r>
        <w:rPr>
          <w:rFonts w:ascii="Calibri" w:hAnsi="Calibri" w:eastAsia="Microsoft JhengHei"/>
          <w:sz w:val="22"/>
        </w:rPr>
        <w:t>. Ruxolitinib was approved for PV in 2014, after hydroxyurea. Hong Kong prescribing follows the Hong Kong PI; FDA is not HA.”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Do not volunteer</w:t>
      </w:r>
      <w:r>
        <w:rPr>
          <w:rFonts w:ascii="Calibri" w:hAnsi="Calibri" w:eastAsia="Microsoft JhengHei"/>
          <w:sz w:val="22"/>
        </w:rPr>
        <w:t xml:space="preserve"> HK$36,000 per injection. If he asks list price, answer then go straight to PSP — do not stop on the number.</w:t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Opening (90 seconds) — consult</w:t>
      </w:r>
      <w:r>
        <w:rPr>
          <w:rFonts w:ascii="Calibri" w:hAnsi="Calibri" w:eastAsia="Microsoft JhengHei"/>
          <w:sz w:val="28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“Professor Liang, thank you for the time. I have you at the Haematology Centre at Sanatorium — Happy Valley or Island East today?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I am not here to recap PV diagnosis. I would like to hear </w:t>
      </w:r>
      <w:r>
        <w:rPr>
          <w:rFonts w:ascii="Calibri" w:hAnsi="Calibri" w:eastAsia="Microsoft JhengHei"/>
          <w:b/>
          <w:sz w:val="22"/>
        </w:rPr>
        <w:t>how you currently cytoreduce adult PV in private practice</w:t>
      </w:r>
      <w:r>
        <w:rPr>
          <w:rFonts w:ascii="Calibri" w:hAnsi="Calibri" w:eastAsia="Microsoft JhengHei"/>
          <w:sz w:val="22"/>
        </w:rPr>
        <w:t xml:space="preserve">, then walk the </w:t>
      </w:r>
      <w:r>
        <w:rPr>
          <w:rFonts w:ascii="Calibri" w:hAnsi="Calibri" w:eastAsia="Microsoft JhengHei"/>
          <w:b/>
          <w:sz w:val="22"/>
        </w:rPr>
        <w:t>Hong Kong BESREMi leave-behind</w:t>
      </w:r>
      <w:r>
        <w:rPr>
          <w:rFonts w:ascii="Calibri" w:hAnsi="Calibri" w:eastAsia="Microsoft JhengHei"/>
          <w:sz w:val="22"/>
        </w:rPr>
        <w:t xml:space="preserve"> — including the year-1 result that did not meet non-inferiority — and see whether there is a </w:t>
      </w:r>
      <w:r>
        <w:rPr>
          <w:rFonts w:ascii="Calibri" w:hAnsi="Calibri" w:eastAsia="Microsoft JhengHei"/>
          <w:b/>
          <w:sz w:val="22"/>
        </w:rPr>
        <w:t>first patient</w:t>
      </w:r>
      <w:r>
        <w:rPr>
          <w:rFonts w:ascii="Calibri" w:hAnsi="Calibri" w:eastAsia="Microsoft JhengHei"/>
          <w:sz w:val="22"/>
        </w:rPr>
        <w:t xml:space="preserve"> who fits the local indication.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The HK indication is monotherapy in </w:t>
      </w:r>
      <w:r>
        <w:rPr>
          <w:rFonts w:ascii="Calibri" w:hAnsi="Calibri" w:eastAsia="Microsoft JhengHei"/>
          <w:b/>
          <w:sz w:val="22"/>
        </w:rPr>
        <w:t>adults with polycythaemia vera without symptomatic splenomegaly</w:t>
      </w:r>
      <w:r>
        <w:rPr>
          <w:rFonts w:ascii="Calibri" w:hAnsi="Calibri" w:eastAsia="Microsoft JhengHei"/>
          <w:sz w:val="22"/>
        </w:rPr>
        <w:t>.”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Then stop talking.</w:t>
      </w:r>
      <w:r>
        <w:rPr>
          <w:rFonts w:ascii="Calibri" w:hAnsi="Calibri" w:eastAsia="Microsoft JhengHei"/>
          <w:sz w:val="22"/>
        </w:rPr>
        <w:t xml:space="preserve"> Notes to capture: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HU vs interferon vs ruxolitinib vs phlebotomy-only — who gets what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Any current IFN (do </w:t>
      </w:r>
      <w:r>
        <w:rPr>
          <w:rFonts w:ascii="Calibri" w:hAnsi="Calibri" w:eastAsia="Microsoft JhengHei"/>
          <w:b/>
          <w:sz w:val="22"/>
        </w:rPr>
        <w:t>not</w:t>
      </w:r>
      <w:r>
        <w:rPr>
          <w:rFonts w:ascii="Calibri" w:hAnsi="Calibri" w:eastAsia="Microsoft JhengHei"/>
          <w:sz w:val="22"/>
        </w:rPr>
        <w:t xml:space="preserve"> rank vs Pegasys)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Symptomatic splenomegaly as a filter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What would make him try ropeg (younger, HU toxicity, phlebotomy burden, JAK2 VAF, q2w/q4w)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Page-by-page script (exact lines)</w:t>
      </w:r>
      <w:r>
        <w:rPr>
          <w:rFonts w:ascii="Calibri" w:hAnsi="Calibri" w:eastAsia="Microsoft JhengHei"/>
          <w:sz w:val="28"/>
        </w:rPr>
      </w:r>
    </w:p>
    <w:p>
      <w:pPr>
        <w:pStyle w:val="Heading3"/>
        <w:spacing w:after="120" w:line="276" w:lineRule="auto"/>
      </w:pPr>
      <w:r>
        <w:rPr>
          <w:rFonts w:ascii="Calibri" w:hAnsi="Calibri" w:eastAsia="Microsoft JhengHei"/>
          <w:sz w:val="24"/>
        </w:rPr>
        <w:t>CHR — “significant and sustained hematologic control”</w:t>
      </w:r>
      <w:r>
        <w:rPr>
          <w:rFonts w:ascii="Calibri" w:hAnsi="Calibri" w:eastAsia="Microsoft JhengHei"/>
          <w:sz w:val="24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CHR on this page:</w:t>
      </w:r>
      <w:r>
        <w:rPr>
          <w:rFonts w:ascii="Calibri" w:hAnsi="Calibri" w:eastAsia="Microsoft JhengHei"/>
          <w:sz w:val="22"/>
        </w:rPr>
        <w:t xml:space="preserve"> no phlebotomy in 3 months; Hct &lt;45%; WBC &lt;10; Plt &lt;400.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Point at the graph, do not skip month 12: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“On </w:t>
      </w:r>
      <w:r>
        <w:rPr>
          <w:rFonts w:ascii="Calibri" w:hAnsi="Calibri" w:eastAsia="Microsoft JhengHei"/>
          <w:b/>
          <w:sz w:val="22"/>
        </w:rPr>
        <w:t>this curve</w:t>
      </w:r>
      <w:r>
        <w:rPr>
          <w:rFonts w:ascii="Calibri" w:hAnsi="Calibri" w:eastAsia="Microsoft JhengHei"/>
          <w:sz w:val="22"/>
        </w:rPr>
        <w:t xml:space="preserve">, hydroxyurea is ahead at 12 months — about </w:t>
      </w:r>
      <w:r>
        <w:rPr>
          <w:rFonts w:ascii="Calibri" w:hAnsi="Calibri" w:eastAsia="Microsoft JhengHei"/>
          <w:b/>
          <w:sz w:val="22"/>
        </w:rPr>
        <w:t>75% vs 62%</w:t>
      </w:r>
      <w:r>
        <w:rPr>
          <w:rFonts w:ascii="Calibri" w:hAnsi="Calibri" w:eastAsia="Microsoft JhengHei"/>
          <w:sz w:val="22"/>
        </w:rPr>
        <w:t xml:space="preserve">. That is the pharmacology: HU is faster. Mean titration in the PI is about </w:t>
      </w:r>
      <w:r>
        <w:rPr>
          <w:rFonts w:ascii="Calibri" w:hAnsi="Calibri" w:eastAsia="Microsoft JhengHei"/>
          <w:b/>
          <w:sz w:val="22"/>
        </w:rPr>
        <w:t>2.6 vs 3.7 months</w:t>
      </w:r>
      <w:r>
        <w:rPr>
          <w:rFonts w:ascii="Calibri" w:hAnsi="Calibri" w:eastAsia="Microsoft JhengHei"/>
          <w:sz w:val="22"/>
        </w:rPr>
        <w:t>. If you need counts down this month to stop thrombosis or bleeding, HU may still be the first tool.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The lines </w:t>
      </w:r>
      <w:r>
        <w:rPr>
          <w:rFonts w:ascii="Calibri" w:hAnsi="Calibri" w:eastAsia="Microsoft JhengHei"/>
          <w:b/>
          <w:sz w:val="22"/>
        </w:rPr>
        <w:t>cross by 24 months</w:t>
      </w:r>
      <w:r>
        <w:rPr>
          <w:rFonts w:ascii="Calibri" w:hAnsi="Calibri" w:eastAsia="Microsoft JhengHei"/>
          <w:sz w:val="22"/>
        </w:rPr>
        <w:t xml:space="preserve">. At 60 months the ropeg curve is about </w:t>
      </w:r>
      <w:r>
        <w:rPr>
          <w:rFonts w:ascii="Calibri" w:hAnsi="Calibri" w:eastAsia="Microsoft JhengHei"/>
          <w:b/>
          <w:sz w:val="22"/>
        </w:rPr>
        <w:t>73%</w:t>
      </w:r>
      <w:r>
        <w:rPr>
          <w:rFonts w:ascii="Calibri" w:hAnsi="Calibri" w:eastAsia="Microsoft JhengHei"/>
          <w:sz w:val="22"/>
        </w:rPr>
        <w:t xml:space="preserve"> vs about </w:t>
      </w:r>
      <w:r>
        <w:rPr>
          <w:rFonts w:ascii="Calibri" w:hAnsi="Calibri" w:eastAsia="Microsoft JhengHei"/>
          <w:b/>
          <w:sz w:val="22"/>
        </w:rPr>
        <w:t>53%</w:t>
      </w:r>
      <w:r>
        <w:rPr>
          <w:rFonts w:ascii="Calibri" w:hAnsi="Calibri" w:eastAsia="Microsoft JhengHei"/>
          <w:sz w:val="22"/>
        </w:rPr>
        <w:t xml:space="preserve"> on HU/BAT. That is the long-term CHR story </w:t>
      </w:r>
      <w:r>
        <w:rPr>
          <w:rFonts w:ascii="Calibri" w:hAnsi="Calibri" w:eastAsia="Microsoft JhengHei"/>
          <w:b/>
          <w:sz w:val="22"/>
        </w:rPr>
        <w:t>on this page</w:t>
      </w:r>
      <w:r>
        <w:rPr>
          <w:rFonts w:ascii="Calibri" w:hAnsi="Calibri" w:eastAsia="Microsoft JhengHei"/>
          <w:sz w:val="22"/>
        </w:rPr>
        <w:t>.”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Point at 84.3% (107/127):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“This </w:t>
      </w:r>
      <w:r>
        <w:rPr>
          <w:rFonts w:ascii="Calibri" w:hAnsi="Calibri" w:eastAsia="Microsoft JhengHei"/>
          <w:b/>
          <w:sz w:val="22"/>
        </w:rPr>
        <w:t>84.3%</w:t>
      </w:r>
      <w:r>
        <w:rPr>
          <w:rFonts w:ascii="Calibri" w:hAnsi="Calibri" w:eastAsia="Microsoft JhengHei"/>
          <w:sz w:val="22"/>
        </w:rPr>
        <w:t xml:space="preserve"> is </w:t>
      </w:r>
      <w:r>
        <w:rPr>
          <w:rFonts w:ascii="Calibri" w:hAnsi="Calibri" w:eastAsia="Microsoft JhengHei"/>
          <w:b/>
          <w:sz w:val="22"/>
        </w:rPr>
        <w:t>not</w:t>
      </w:r>
      <w:r>
        <w:rPr>
          <w:rFonts w:ascii="Calibri" w:hAnsi="Calibri" w:eastAsia="Microsoft JhengHei"/>
          <w:sz w:val="22"/>
        </w:rPr>
        <w:t xml:space="preserve"> that graph. The footnote is ‘criteria met </w:t>
      </w:r>
      <w:r>
        <w:rPr>
          <w:rFonts w:ascii="Calibri" w:hAnsi="Calibri" w:eastAsia="Microsoft JhengHei"/>
          <w:b/>
          <w:sz w:val="22"/>
        </w:rPr>
        <w:t>at any time</w:t>
      </w:r>
      <w:r>
        <w:rPr>
          <w:rFonts w:ascii="Calibri" w:hAnsi="Calibri" w:eastAsia="Microsoft JhengHei"/>
          <w:sz w:val="22"/>
        </w:rPr>
        <w:t xml:space="preserve">’ by 36 months — </w:t>
      </w:r>
      <w:r>
        <w:rPr>
          <w:rFonts w:ascii="Calibri" w:hAnsi="Calibri" w:eastAsia="Microsoft JhengHei"/>
          <w:b/>
          <w:sz w:val="22"/>
        </w:rPr>
        <w:t>ever-response</w:t>
      </w:r>
      <w:r>
        <w:rPr>
          <w:rFonts w:ascii="Calibri" w:hAnsi="Calibri" w:eastAsia="Microsoft JhengHei"/>
          <w:sz w:val="22"/>
        </w:rPr>
        <w:t>, 107 of 127. I will not tell you 84% are still in CHR at three years.”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Then the PI, because he will know PROUD-PV: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“The </w:t>
      </w:r>
      <w:r>
        <w:rPr>
          <w:rFonts w:ascii="Calibri" w:hAnsi="Calibri" w:eastAsia="Microsoft JhengHei"/>
          <w:b/>
          <w:sz w:val="22"/>
        </w:rPr>
        <w:t>registered 12-month primary</w:t>
      </w:r>
      <w:r>
        <w:rPr>
          <w:rFonts w:ascii="Calibri" w:hAnsi="Calibri" w:eastAsia="Microsoft JhengHei"/>
          <w:sz w:val="22"/>
        </w:rPr>
        <w:t xml:space="preserve"> in the Hong Kong PI is </w:t>
      </w:r>
      <w:r>
        <w:rPr>
          <w:rFonts w:ascii="Calibri" w:hAnsi="Calibri" w:eastAsia="Microsoft JhengHei"/>
          <w:b/>
          <w:sz w:val="22"/>
        </w:rPr>
        <w:t>43.1% vs 46.0%, p=0.63</w:t>
      </w:r>
      <w:r>
        <w:rPr>
          <w:rFonts w:ascii="Calibri" w:hAnsi="Calibri" w:eastAsia="Microsoft JhengHei"/>
          <w:sz w:val="22"/>
        </w:rPr>
        <w:t xml:space="preserve">. Non-inferiority was </w:t>
      </w:r>
      <w:r>
        <w:rPr>
          <w:rFonts w:ascii="Calibri" w:hAnsi="Calibri" w:eastAsia="Microsoft JhengHei"/>
          <w:b/>
          <w:sz w:val="22"/>
        </w:rPr>
        <w:t>not met</w:t>
      </w:r>
      <w:r>
        <w:rPr>
          <w:rFonts w:ascii="Calibri" w:hAnsi="Calibri" w:eastAsia="Microsoft JhengHei"/>
          <w:sz w:val="22"/>
        </w:rPr>
        <w:t>. That analysis counts discontinuations as failures. Both numbers can be true: the graph is the leave-behind curve; 43% is the ITT primary.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The PI-aligned late primary from Gisslinger 2023 is </w:t>
      </w:r>
      <w:r>
        <w:rPr>
          <w:rFonts w:ascii="Calibri" w:hAnsi="Calibri" w:eastAsia="Microsoft JhengHei"/>
          <w:b/>
          <w:sz w:val="22"/>
        </w:rPr>
        <w:t>54.5% vs 34.9% at 72 months, p=0.02</w:t>
      </w:r>
      <w:r>
        <w:rPr>
          <w:rFonts w:ascii="Calibri" w:hAnsi="Calibri" w:eastAsia="Microsoft JhengHei"/>
          <w:sz w:val="22"/>
        </w:rPr>
        <w:t>. LOCF 72.6% vs 47.3% is the published analogue of this ~70% visual.”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4/127 box: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“Major thromboembolic events </w:t>
      </w:r>
      <w:r>
        <w:rPr>
          <w:rFonts w:ascii="Calibri" w:hAnsi="Calibri" w:eastAsia="Microsoft JhengHei"/>
          <w:b/>
          <w:sz w:val="22"/>
        </w:rPr>
        <w:t>3% (4/127)</w:t>
      </w:r>
      <w:r>
        <w:rPr>
          <w:rFonts w:ascii="Calibri" w:hAnsi="Calibri" w:eastAsia="Microsoft JhengHei"/>
          <w:sz w:val="22"/>
        </w:rPr>
        <w:t xml:space="preserve"> at 36 months on this page. That is </w:t>
      </w:r>
      <w:r>
        <w:rPr>
          <w:rFonts w:ascii="Calibri" w:hAnsi="Calibri" w:eastAsia="Microsoft JhengHei"/>
          <w:b/>
          <w:sz w:val="22"/>
        </w:rPr>
        <w:t>not</w:t>
      </w:r>
      <w:r>
        <w:rPr>
          <w:rFonts w:ascii="Calibri" w:hAnsi="Calibri" w:eastAsia="Microsoft JhengHei"/>
          <w:sz w:val="22"/>
        </w:rPr>
        <w:t xml:space="preserve"> the six-year EFS count of 5/95 — different set, different time, different composite.”</w:t>
      </w:r>
      <w:r>
        <w:rPr>
          <w:rFonts w:ascii="Calibri" w:hAnsi="Calibri" w:eastAsia="Microsoft JhengHei"/>
          <w:sz w:val="22"/>
        </w:rPr>
      </w:r>
    </w:p>
    <w:p>
      <w:pPr>
        <w:pStyle w:val="Heading3"/>
        <w:spacing w:after="120" w:line="276" w:lineRule="auto"/>
      </w:pPr>
      <w:r>
        <w:rPr>
          <w:rFonts w:ascii="Calibri" w:hAnsi="Calibri" w:eastAsia="Microsoft JhengHei"/>
          <w:sz w:val="24"/>
        </w:rPr>
        <w:t>JAK2 — “allele burden”</w:t>
      </w:r>
      <w:r>
        <w:rPr>
          <w:rFonts w:ascii="Calibri" w:hAnsi="Calibri" w:eastAsia="Microsoft JhengHei"/>
          <w:sz w:val="24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“Median VAF </w:t>
      </w:r>
      <w:r>
        <w:rPr>
          <w:rFonts w:ascii="Calibri" w:hAnsi="Calibri" w:eastAsia="Microsoft JhengHei"/>
          <w:b/>
          <w:sz w:val="22"/>
        </w:rPr>
        <w:t>37% down to 8%</w:t>
      </w:r>
      <w:r>
        <w:rPr>
          <w:rFonts w:ascii="Calibri" w:hAnsi="Calibri" w:eastAsia="Microsoft JhengHei"/>
          <w:sz w:val="22"/>
        </w:rPr>
        <w:t xml:space="preserve"> on ropeg at 60 months. HU/BAT </w:t>
      </w:r>
      <w:r>
        <w:rPr>
          <w:rFonts w:ascii="Calibri" w:hAnsi="Calibri" w:eastAsia="Microsoft JhengHei"/>
          <w:b/>
          <w:sz w:val="22"/>
        </w:rPr>
        <w:t>38% to 44%</w:t>
      </w:r>
      <w:r>
        <w:rPr>
          <w:rFonts w:ascii="Calibri" w:hAnsi="Calibri" w:eastAsia="Microsoft JhengHei"/>
          <w:sz w:val="22"/>
        </w:rPr>
        <w:t xml:space="preserve"> — it rebounds. Higher mutant burden is associated with thrombosis, hemorrhage, and fibrotic progression. I am </w:t>
      </w:r>
      <w:r>
        <w:rPr>
          <w:rFonts w:ascii="Calibri" w:hAnsi="Calibri" w:eastAsia="Microsoft JhengHei"/>
          <w:b/>
          <w:sz w:val="22"/>
        </w:rPr>
        <w:t>not</w:t>
      </w:r>
      <w:r>
        <w:rPr>
          <w:rFonts w:ascii="Calibri" w:hAnsi="Calibri" w:eastAsia="Microsoft JhengHei"/>
          <w:sz w:val="22"/>
        </w:rPr>
        <w:t xml:space="preserve"> saying you can stop the drug at 8%, and I am not claiming treatment-free remission.”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If he says “selectively depletes HSCs”: stay on the page; do not expand to “eradicates the clone.”</w:t>
      </w:r>
      <w:r>
        <w:rPr>
          <w:rFonts w:ascii="Calibri" w:hAnsi="Calibri" w:eastAsia="Microsoft JhengHei"/>
          <w:sz w:val="22"/>
        </w:rPr>
      </w:r>
    </w:p>
    <w:p>
      <w:pPr>
        <w:pStyle w:val="Heading3"/>
        <w:spacing w:after="120" w:line="276" w:lineRule="auto"/>
      </w:pPr>
      <w:r>
        <w:rPr>
          <w:rFonts w:ascii="Calibri" w:hAnsi="Calibri" w:eastAsia="Microsoft JhengHei"/>
          <w:sz w:val="24"/>
        </w:rPr>
        <w:t>EFS KM</w:t>
      </w:r>
      <w:r>
        <w:rPr>
          <w:rFonts w:ascii="Calibri" w:hAnsi="Calibri" w:eastAsia="Microsoft JhengHei"/>
          <w:sz w:val="24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“Event-free survival over at least six years: first risk events </w:t>
      </w:r>
      <w:r>
        <w:rPr>
          <w:rFonts w:ascii="Calibri" w:hAnsi="Calibri" w:eastAsia="Microsoft JhengHei"/>
          <w:b/>
          <w:sz w:val="22"/>
        </w:rPr>
        <w:t>5 in 95 vs 12 in 74, p=0.04</w:t>
      </w:r>
      <w:r>
        <w:rPr>
          <w:rFonts w:ascii="Calibri" w:hAnsi="Calibri" w:eastAsia="Microsoft JhengHei"/>
          <w:sz w:val="22"/>
        </w:rPr>
        <w:t xml:space="preserve">. Events on this page are </w:t>
      </w:r>
      <w:r>
        <w:rPr>
          <w:rFonts w:ascii="Calibri" w:hAnsi="Calibri" w:eastAsia="Microsoft JhengHei"/>
          <w:b/>
          <w:sz w:val="22"/>
        </w:rPr>
        <w:t>progression, death, and thromboembolic events</w:t>
      </w:r>
      <w:r>
        <w:rPr>
          <w:rFonts w:ascii="Calibri" w:hAnsi="Calibri" w:eastAsia="Microsoft JhengHei"/>
          <w:sz w:val="22"/>
        </w:rPr>
        <w:t xml:space="preserve">. This is </w:t>
      </w:r>
      <w:r>
        <w:rPr>
          <w:rFonts w:ascii="Calibri" w:hAnsi="Calibri" w:eastAsia="Microsoft JhengHei"/>
          <w:b/>
          <w:sz w:val="22"/>
        </w:rPr>
        <w:t>not</w:t>
      </w:r>
      <w:r>
        <w:rPr>
          <w:rFonts w:ascii="Calibri" w:hAnsi="Calibri" w:eastAsia="Microsoft JhengHei"/>
          <w:sz w:val="22"/>
        </w:rPr>
        <w:t xml:space="preserve"> overall survival. I will not say it prevents leukemia — the AML cases in this analysis sat in the control arm and the numbers are small.”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If he wants the KM number: probability </w:t>
      </w:r>
      <w:r>
        <w:rPr>
          <w:rFonts w:ascii="Calibri" w:hAnsi="Calibri" w:eastAsia="Microsoft JhengHei"/>
          <w:b/>
          <w:sz w:val="22"/>
        </w:rPr>
        <w:t>0.94 vs 0.82</w:t>
      </w:r>
      <w:r>
        <w:rPr>
          <w:rFonts w:ascii="Calibri" w:hAnsi="Calibri" w:eastAsia="Microsoft JhengHei"/>
          <w:sz w:val="22"/>
        </w:rPr>
        <w:t xml:space="preserve">, HR </w:t>
      </w:r>
      <w:r>
        <w:rPr>
          <w:rFonts w:ascii="Calibri" w:hAnsi="Calibri" w:eastAsia="Microsoft JhengHei"/>
          <w:b/>
          <w:sz w:val="22"/>
        </w:rPr>
        <w:t>0.34</w:t>
      </w:r>
      <w:r>
        <w:rPr>
          <w:rFonts w:ascii="Calibri" w:hAnsi="Calibri" w:eastAsia="Microsoft JhengHei"/>
          <w:sz w:val="22"/>
        </w:rPr>
        <w:t>.</w:t>
      </w:r>
      <w:r>
        <w:rPr>
          <w:rFonts w:ascii="Calibri" w:hAnsi="Calibri" w:eastAsia="Microsoft JhengHei"/>
          <w:sz w:val="22"/>
        </w:rPr>
      </w:r>
    </w:p>
    <w:p>
      <w:pPr>
        <w:pStyle w:val="Heading3"/>
        <w:spacing w:after="120" w:line="276" w:lineRule="auto"/>
      </w:pPr>
      <w:r>
        <w:rPr>
          <w:rFonts w:ascii="Calibri" w:hAnsi="Calibri" w:eastAsia="Microsoft JhengHei"/>
          <w:sz w:val="24"/>
        </w:rPr>
        <w:t>Safety page 9</w:t>
      </w:r>
      <w:r>
        <w:rPr>
          <w:rFonts w:ascii="Calibri" w:hAnsi="Calibri" w:eastAsia="Microsoft JhengHei"/>
          <w:sz w:val="24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“This table is </w:t>
      </w:r>
      <w:r>
        <w:rPr>
          <w:rFonts w:ascii="Calibri" w:hAnsi="Calibri" w:eastAsia="Microsoft JhengHei"/>
          <w:b/>
          <w:sz w:val="22"/>
        </w:rPr>
        <w:t>all-causality</w:t>
      </w:r>
      <w:r>
        <w:rPr>
          <w:rFonts w:ascii="Calibri" w:hAnsi="Calibri" w:eastAsia="Microsoft JhengHei"/>
          <w:sz w:val="22"/>
        </w:rPr>
        <w:t>, 36 months, 127 vs 127.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Cytopenias are </w:t>
      </w:r>
      <w:r>
        <w:rPr>
          <w:rFonts w:ascii="Calibri" w:hAnsi="Calibri" w:eastAsia="Microsoft JhengHei"/>
          <w:b/>
          <w:sz w:val="22"/>
        </w:rPr>
        <w:t>not</w:t>
      </w:r>
      <w:r>
        <w:rPr>
          <w:rFonts w:ascii="Calibri" w:hAnsi="Calibri" w:eastAsia="Microsoft JhengHei"/>
          <w:sz w:val="22"/>
        </w:rPr>
        <w:t xml:space="preserve"> worse than control — thrombocytopenia 21% vs 28%, leukopenia 18% vs 22%, anaemia 13% vs 24%. Fatigue 13% both.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The IFN signature is </w:t>
      </w:r>
      <w:r>
        <w:rPr>
          <w:rFonts w:ascii="Calibri" w:hAnsi="Calibri" w:eastAsia="Microsoft JhengHei"/>
          <w:b/>
          <w:sz w:val="22"/>
        </w:rPr>
        <w:t>liver enzymes</w:t>
      </w:r>
      <w:r>
        <w:rPr>
          <w:rFonts w:ascii="Calibri" w:hAnsi="Calibri" w:eastAsia="Microsoft JhengHei"/>
          <w:sz w:val="22"/>
        </w:rPr>
        <w:t xml:space="preserve">: GGT </w:t>
      </w:r>
      <w:r>
        <w:rPr>
          <w:rFonts w:ascii="Calibri" w:hAnsi="Calibri" w:eastAsia="Microsoft JhengHei"/>
          <w:b/>
          <w:sz w:val="22"/>
        </w:rPr>
        <w:t>16% vs 2%</w:t>
      </w:r>
      <w:r>
        <w:rPr>
          <w:rFonts w:ascii="Calibri" w:hAnsi="Calibri" w:eastAsia="Microsoft JhengHei"/>
          <w:sz w:val="22"/>
        </w:rPr>
        <w:t xml:space="preserve">, grade ≥3 </w:t>
      </w:r>
      <w:r>
        <w:rPr>
          <w:rFonts w:ascii="Calibri" w:hAnsi="Calibri" w:eastAsia="Microsoft JhengHei"/>
          <w:b/>
          <w:sz w:val="22"/>
        </w:rPr>
        <w:t>8% vs 2%</w:t>
      </w:r>
      <w:r>
        <w:rPr>
          <w:rFonts w:ascii="Calibri" w:hAnsi="Calibri" w:eastAsia="Microsoft JhengHei"/>
          <w:sz w:val="22"/>
        </w:rPr>
        <w:t>; ALT 13% vs 2%; AST 10% vs 2%; arthralgia 12% vs 4%.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Separately, </w:t>
      </w:r>
      <w:r>
        <w:rPr>
          <w:rFonts w:ascii="Calibri" w:hAnsi="Calibri" w:eastAsia="Microsoft JhengHei"/>
          <w:b/>
          <w:sz w:val="22"/>
        </w:rPr>
        <w:t>drug-related discontinuation</w:t>
      </w:r>
      <w:r>
        <w:rPr>
          <w:rFonts w:ascii="Calibri" w:hAnsi="Calibri" w:eastAsia="Microsoft JhengHei"/>
          <w:sz w:val="22"/>
        </w:rPr>
        <w:t xml:space="preserve"> is about </w:t>
      </w:r>
      <w:r>
        <w:rPr>
          <w:rFonts w:ascii="Calibri" w:hAnsi="Calibri" w:eastAsia="Microsoft JhengHei"/>
          <w:b/>
          <w:sz w:val="22"/>
        </w:rPr>
        <w:t>11% vs 2–3%</w:t>
      </w:r>
      <w:r>
        <w:rPr>
          <w:rFonts w:ascii="Calibri" w:hAnsi="Calibri" w:eastAsia="Microsoft JhengHei"/>
          <w:sz w:val="22"/>
        </w:rPr>
        <w:t>. That is why we titrate by the PI and monitor LFTs and mood — not because grade ≥3 treatment-related events were higher (~16% both arms).”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Do </w:t>
      </w:r>
      <w:r>
        <w:rPr>
          <w:rFonts w:ascii="Calibri" w:hAnsi="Calibri" w:eastAsia="Microsoft JhengHei"/>
          <w:b/>
          <w:sz w:val="22"/>
        </w:rPr>
        <w:t>not</w:t>
      </w:r>
      <w:r>
        <w:rPr>
          <w:rFonts w:ascii="Calibri" w:hAnsi="Calibri" w:eastAsia="Microsoft JhengHei"/>
          <w:sz w:val="22"/>
        </w:rPr>
        <w:t xml:space="preserve"> quote Japan Ph2 alopecia 55.2% unless he asks about Asian hair loss; PI lists alopecia around 6–7%.</w:t>
      </w:r>
      <w:r>
        <w:rPr>
          <w:rFonts w:ascii="Calibri" w:hAnsi="Calibri" w:eastAsia="Microsoft JhengHei"/>
          <w:sz w:val="22"/>
        </w:rPr>
      </w:r>
    </w:p>
    <w:p>
      <w:pPr>
        <w:pStyle w:val="Heading3"/>
        <w:spacing w:after="120" w:line="276" w:lineRule="auto"/>
      </w:pPr>
      <w:r>
        <w:rPr>
          <w:rFonts w:ascii="Calibri" w:hAnsi="Calibri" w:eastAsia="Microsoft JhengHei"/>
          <w:sz w:val="24"/>
        </w:rPr>
        <w:t>PI page</w:t>
      </w:r>
      <w:r>
        <w:rPr>
          <w:rFonts w:ascii="Calibri" w:hAnsi="Calibri" w:eastAsia="Microsoft JhengHei"/>
          <w:sz w:val="24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“Start </w:t>
      </w:r>
      <w:r>
        <w:rPr>
          <w:rFonts w:ascii="Calibri" w:hAnsi="Calibri" w:eastAsia="Microsoft JhengHei"/>
          <w:b/>
          <w:sz w:val="22"/>
        </w:rPr>
        <w:t>100 micrograms every two weeks</w:t>
      </w:r>
      <w:r>
        <w:rPr>
          <w:rFonts w:ascii="Calibri" w:hAnsi="Calibri" w:eastAsia="Microsoft JhengHei"/>
          <w:sz w:val="22"/>
        </w:rPr>
        <w:t xml:space="preserve">, or </w:t>
      </w:r>
      <w:r>
        <w:rPr>
          <w:rFonts w:ascii="Calibri" w:hAnsi="Calibri" w:eastAsia="Microsoft JhengHei"/>
          <w:b/>
          <w:sz w:val="22"/>
        </w:rPr>
        <w:t>50</w:t>
      </w:r>
      <w:r>
        <w:rPr>
          <w:rFonts w:ascii="Calibri" w:hAnsi="Calibri" w:eastAsia="Microsoft JhengHei"/>
          <w:sz w:val="22"/>
        </w:rPr>
        <w:t xml:space="preserve"> if already on another cytoreductive, or if GFR is 15–29. Up by 50 every two weeks to Hct &lt;45%, platelets &lt;400, WBC &lt;10. Max 500 every two weeks. After at least 1.5 years stable, the interval </w:t>
      </w:r>
      <w:r>
        <w:rPr>
          <w:rFonts w:ascii="Calibri" w:hAnsi="Calibri" w:eastAsia="Microsoft JhengHei"/>
          <w:b/>
          <w:sz w:val="22"/>
        </w:rPr>
        <w:t>may</w:t>
      </w:r>
      <w:r>
        <w:rPr>
          <w:rFonts w:ascii="Calibri" w:hAnsi="Calibri" w:eastAsia="Microsoft JhengHei"/>
          <w:sz w:val="22"/>
        </w:rPr>
        <w:t xml:space="preserve"> go to every four weeks.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Not</w:t>
      </w:r>
      <w:r>
        <w:rPr>
          <w:rFonts w:ascii="Calibri" w:hAnsi="Calibri" w:eastAsia="Microsoft JhengHei"/>
          <w:sz w:val="22"/>
        </w:rPr>
        <w:t xml:space="preserve"> the 250–350–500 HIDAT schedule — that is not the Hong Kong label.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Contraindications on this page include </w:t>
      </w:r>
      <w:r>
        <w:rPr>
          <w:rFonts w:ascii="Calibri" w:hAnsi="Calibri" w:eastAsia="Microsoft JhengHei"/>
          <w:b/>
          <w:sz w:val="22"/>
        </w:rPr>
        <w:t>thyroid disease unless controlled</w:t>
      </w:r>
      <w:r>
        <w:rPr>
          <w:rFonts w:ascii="Calibri" w:hAnsi="Calibri" w:eastAsia="Microsoft JhengHei"/>
          <w:sz w:val="22"/>
        </w:rPr>
        <w:t>, decompensated cirrhosis, ESRD, severe psychiatric disease, severe uncontrolled CV disease, autoimmune disease, transplant immunosuppression, telbivudine.”</w:t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Likely pushbacks (two sentences each)</w:t>
      </w:r>
      <w:r>
        <w:rPr>
          <w:rFonts w:ascii="Calibri" w:hAnsi="Calibri" w:eastAsia="Microsoft JhengHei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He says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You say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“It failed at one year.”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Agree: </w:t>
            </w:r>
            <w:r>
              <w:rPr>
                <w:rFonts w:ascii="Calibri" w:hAnsi="Calibri" w:eastAsia="Microsoft JhengHei"/>
                <w:b/>
                <w:sz w:val="20"/>
              </w:rPr>
              <w:t>43.1% vs 46%, p=0.63</w:t>
            </w:r>
            <w:r>
              <w:rPr>
                <w:rFonts w:ascii="Calibri" w:hAnsi="Calibri" w:eastAsia="Microsoft JhengHei"/>
                <w:sz w:val="20"/>
              </w:rPr>
              <w:t xml:space="preserve"> . HU is faster. The reason to consider ropeg is the </w:t>
            </w:r>
            <w:r>
              <w:rPr>
                <w:rFonts w:ascii="Calibri" w:hAnsi="Calibri" w:eastAsia="Microsoft JhengHei"/>
                <w:b/>
                <w:sz w:val="20"/>
              </w:rPr>
              <w:t>crossing CHR curve</w:t>
            </w:r>
            <w:r>
              <w:rPr>
                <w:rFonts w:ascii="Calibri" w:hAnsi="Calibri" w:eastAsia="Microsoft JhengHei"/>
                <w:sz w:val="20"/>
              </w:rPr>
              <w:t xml:space="preserve"> , </w:t>
            </w:r>
            <w:r>
              <w:rPr>
                <w:rFonts w:ascii="Calibri" w:hAnsi="Calibri" w:eastAsia="Microsoft JhengHei"/>
                <w:b/>
                <w:sz w:val="20"/>
              </w:rPr>
              <w:t>JAK2 rebound on HU</w:t>
            </w:r>
            <w:r>
              <w:rPr>
                <w:rFonts w:ascii="Calibri" w:hAnsi="Calibri" w:eastAsia="Microsoft JhengHei"/>
                <w:sz w:val="20"/>
              </w:rPr>
              <w:t xml:space="preserve"> , and </w:t>
            </w:r>
            <w:r>
              <w:rPr>
                <w:rFonts w:ascii="Calibri" w:hAnsi="Calibri" w:eastAsia="Microsoft JhengHei"/>
                <w:b/>
                <w:sz w:val="20"/>
              </w:rPr>
              <w:t>EFS 5/95 vs 12/74, p=0.04</w:t>
            </w:r>
            <w:r>
              <w:rPr>
                <w:rFonts w:ascii="Calibri" w:hAnsi="Calibri" w:eastAsia="Microsoft JhengHei"/>
                <w:sz w:val="20"/>
              </w:rPr>
              <w:t xml:space="preserve"> — not a 12-month snapshot.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“This 84% is promotional.”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It is </w:t>
            </w:r>
            <w:r>
              <w:rPr>
                <w:rFonts w:ascii="Calibri" w:hAnsi="Calibri" w:eastAsia="Microsoft JhengHei"/>
                <w:b/>
                <w:sz w:val="20"/>
              </w:rPr>
              <w:t>ever-CHR</w:t>
            </w:r>
            <w:r>
              <w:rPr>
                <w:rFonts w:ascii="Calibri" w:hAnsi="Calibri" w:eastAsia="Microsoft JhengHei"/>
                <w:sz w:val="20"/>
              </w:rPr>
              <w:t xml:space="preserve"> with a footnote. The snapshot/LOCF curve is ~73% at 5 years. The conservative late primary is </w:t>
            </w:r>
            <w:r>
              <w:rPr>
                <w:rFonts w:ascii="Calibri" w:hAnsi="Calibri" w:eastAsia="Microsoft JhengHei"/>
                <w:b/>
                <w:sz w:val="20"/>
              </w:rPr>
              <w:t>54.5% vs 34.9%, p=0.02</w:t>
            </w:r>
            <w:r>
              <w:rPr>
                <w:rFonts w:ascii="Calibri" w:hAnsi="Calibri" w:eastAsia="Microsoft JhengHei"/>
                <w:sz w:val="20"/>
              </w:rPr>
              <w:t xml:space="preserve"> . I will use whichever analysis we are pointing at.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“I already use Pegasys / China ropeg.”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No head-to-head. The PI forbids potency comparisons across the IFN class. I can stay on </w:t>
            </w:r>
            <w:r>
              <w:rPr>
                <w:rFonts w:ascii="Calibri" w:hAnsi="Calibri" w:eastAsia="Microsoft JhengHei"/>
                <w:b/>
                <w:sz w:val="20"/>
              </w:rPr>
              <w:t>PV vs HU/phlebotomy</w:t>
            </w:r>
            <w:r>
              <w:rPr>
                <w:rFonts w:ascii="Calibri" w:hAnsi="Calibri" w:eastAsia="Microsoft JhengHei"/>
                <w:sz w:val="20"/>
              </w:rPr>
              <w:t xml:space="preserve"> , </w:t>
            </w:r>
            <w:r>
              <w:rPr>
                <w:rFonts w:ascii="Calibri" w:hAnsi="Calibri" w:eastAsia="Microsoft JhengHei"/>
                <w:b/>
                <w:sz w:val="20"/>
              </w:rPr>
              <w:t>q2w/q4w</w:t>
            </w:r>
            <w:r>
              <w:rPr>
                <w:rFonts w:ascii="Calibri" w:hAnsi="Calibri" w:eastAsia="Microsoft JhengHei"/>
                <w:sz w:val="20"/>
              </w:rPr>
              <w:t xml:space="preserve"> , and </w:t>
            </w:r>
            <w:r>
              <w:rPr>
                <w:rFonts w:ascii="Calibri" w:hAnsi="Calibri" w:eastAsia="Microsoft JhengHei"/>
                <w:b/>
                <w:sz w:val="20"/>
              </w:rPr>
              <w:t>local PI start</w:t>
            </w:r>
            <w:r>
              <w:rPr>
                <w:rFonts w:ascii="Calibri" w:hAnsi="Calibri" w:eastAsia="Microsoft JhengHei"/>
                <w:sz w:val="20"/>
              </w:rPr>
              <w:t xml:space="preserve"> . Log the exchange.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“HU is cheaper and enough.”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For rapid cytoreduction, often yes. For patients who will be on therapy for years, CHR at 72 months and EFS are the named long-term data. Match the drug to the time horizon.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“Will HA list it?”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Not listed.</w:t>
            </w:r>
            <w:r>
              <w:rPr>
                <w:rFonts w:ascii="Calibri" w:hAnsi="Calibri" w:eastAsia="Microsoft JhengHei"/>
                <w:sz w:val="20"/>
              </w:rPr>
              <w:t xml:space="preserve"> Private + PSP is the current bridge. I will not give a listing date.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“Start 250–350–500.”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Hong Kong PI start is </w:t>
            </w:r>
            <w:r>
              <w:rPr>
                <w:rFonts w:ascii="Calibri" w:hAnsi="Calibri" w:eastAsia="Microsoft JhengHei"/>
                <w:b/>
                <w:sz w:val="20"/>
              </w:rPr>
              <w:t>100/50 µg</w:t>
            </w:r>
            <w:r>
              <w:rPr>
                <w:rFonts w:ascii="Calibri" w:hAnsi="Calibri" w:eastAsia="Microsoft JhengHei"/>
                <w:sz w:val="20"/>
              </w:rPr>
              <w:t xml:space="preserve"> .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“ET / MF / spleen.”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Not in the HK indication. If he asks, </w:t>
            </w:r>
            <w:r>
              <w:rPr>
                <w:rFonts w:ascii="Calibri" w:hAnsi="Calibri" w:eastAsia="Microsoft JhengHei"/>
                <w:b/>
                <w:sz w:val="20"/>
              </w:rPr>
              <w:t>reactive only</w:t>
            </w:r>
            <w:r>
              <w:rPr>
                <w:rFonts w:ascii="Calibri" w:hAnsi="Calibri" w:eastAsia="Microsoft JhengHei"/>
                <w:sz w:val="20"/>
              </w:rPr>
              <w:t xml:space="preserve"> : cite PI, no leave-behind on ET/MF, document in Veeva. Symptomatic splenomegaly = </w:t>
            </w:r>
            <w:r>
              <w:rPr>
                <w:rFonts w:ascii="Calibri" w:hAnsi="Calibri" w:eastAsia="Microsoft JhengHei"/>
                <w:b/>
                <w:sz w:val="20"/>
              </w:rPr>
              <w:t>do not</w:t>
            </w:r>
            <w:r>
              <w:rPr>
                <w:rFonts w:ascii="Calibri" w:hAnsi="Calibri" w:eastAsia="Microsoft JhengHei"/>
                <w:sz w:val="20"/>
              </w:rPr>
              <w:t xml:space="preserve"> position BESREMi.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“Can I stop when VAF is 8%?”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No. Not a stopping rule; no TFR claim.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“Too expensive for my patient.” / opens with price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Agree it </w:t>
            </w:r>
            <w:r>
              <w:rPr>
                <w:rFonts w:ascii="Calibri" w:hAnsi="Calibri" w:eastAsia="Microsoft JhengHei"/>
                <w:b/>
                <w:sz w:val="20"/>
              </w:rPr>
              <w:t>is expensive</w:t>
            </w:r>
            <w:r>
              <w:rPr>
                <w:rFonts w:ascii="Calibri" w:hAnsi="Calibri" w:eastAsia="Microsoft JhengHei"/>
                <w:sz w:val="20"/>
              </w:rPr>
              <w:t xml:space="preserve"> . Do </w:t>
            </w:r>
            <w:r>
              <w:rPr>
                <w:rFonts w:ascii="Calibri" w:hAnsi="Calibri" w:eastAsia="Microsoft JhengHei"/>
                <w:b/>
                <w:sz w:val="20"/>
              </w:rPr>
              <w:t>not</w:t>
            </w:r>
            <w:r>
              <w:rPr>
                <w:rFonts w:ascii="Calibri" w:hAnsi="Calibri" w:eastAsia="Microsoft JhengHei"/>
                <w:sz w:val="20"/>
              </w:rPr>
              <w:t xml:space="preserve"> compare to Pegasys. Value = named RCT vs HU + this product’s q2w/q4w. Private Sector PSP only if eligible and terms confirmed.</w:t>
            </w:r>
          </w:p>
        </w:tc>
      </w:tr>
    </w:tbl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Close (2 minutes)</w:t>
      </w:r>
      <w:r>
        <w:rPr>
          <w:rFonts w:ascii="Calibri" w:hAnsi="Calibri" w:eastAsia="Microsoft JhengHei"/>
          <w:sz w:val="28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“If you were to try one patient, the label fit is an </w:t>
      </w:r>
      <w:r>
        <w:rPr>
          <w:rFonts w:ascii="Calibri" w:hAnsi="Calibri" w:eastAsia="Microsoft JhengHei"/>
          <w:b/>
          <w:sz w:val="22"/>
        </w:rPr>
        <w:t>adult with PV, no symptomatic splenomegaly</w:t>
      </w:r>
      <w:r>
        <w:rPr>
          <w:rFonts w:ascii="Calibri" w:hAnsi="Calibri" w:eastAsia="Microsoft JhengHei"/>
          <w:sz w:val="22"/>
        </w:rPr>
        <w:t xml:space="preserve">, where you want disease-directed cytoreduction rather than a one-year hematocrit snapshot — often </w:t>
      </w:r>
      <w:r>
        <w:rPr>
          <w:rFonts w:ascii="Calibri" w:hAnsi="Calibri" w:eastAsia="Microsoft JhengHei"/>
          <w:b/>
          <w:sz w:val="22"/>
        </w:rPr>
        <w:t>HU-intolerant, phlebotomy-burdened, or a longer time horizon</w:t>
      </w:r>
      <w:r>
        <w:rPr>
          <w:rFonts w:ascii="Calibri" w:hAnsi="Calibri" w:eastAsia="Microsoft JhengHei"/>
          <w:sz w:val="22"/>
        </w:rPr>
        <w:t>.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What would you need from us — nurse injection training, PSP paperwork, or a Medical follow-up on a specific protocol question?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I will log any off-label scientific question through Medical and will not leave ET/MF materials.”</w:t>
      </w:r>
      <w:r>
        <w:rPr>
          <w:rFonts w:ascii="Calibri" w:hAnsi="Calibri" w:eastAsia="Microsoft JhengHei"/>
          <w:sz w:val="22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Capture before you leave (internal only):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Will he identify a first patient? Y / N / later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Barrier: efficacy / safety / cost / spleen / habit / other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PSP of interest: Private Sector / Base Case / neither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Off-label question asked? Y/N — Veeva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Follow-up owner + date 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  <w:spacing w:after="120" w:line="276" w:lineRule="auto"/>
      </w:pP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Explicitly out of scope today</w:t>
      </w:r>
      <w:r>
        <w:rPr>
          <w:rFonts w:ascii="Calibri" w:hAnsi="Calibri" w:eastAsia="Microsoft JhengHei"/>
          <w:sz w:val="28"/>
        </w:rPr>
      </w:r>
      <w:r>
        <w:rPr>
          <w:rFonts w:ascii="Calibri" w:hAnsi="Calibri" w:eastAsia="Microsoft JhengHei"/>
          <w:sz w:val="28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HA dossier numbers, unpublished lexicon, advisory-board quotes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Pregnancy case reports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SURPASS-ET, HIDAT as HK start, Novartis early-MF education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Low-PV </w:t>
      </w:r>
      <w:r>
        <w:rPr>
          <w:rFonts w:ascii="Calibri" w:hAnsi="Calibri" w:eastAsia="Microsoft JhengHei"/>
          <w:b/>
          <w:sz w:val="22"/>
        </w:rPr>
        <w:t>fixed 100 µg vs PI titration</w:t>
      </w:r>
      <w:r>
        <w:rPr>
          <w:rFonts w:ascii="Calibri" w:hAnsi="Calibri" w:eastAsia="Microsoft JhengHei"/>
          <w:sz w:val="22"/>
        </w:rPr>
        <w:t xml:space="preserve"> unless Medical has gated it </w:t>
      </w:r>
      <w:r>
        <w:rPr>
          <w:rFonts w:ascii="Calibri" w:hAnsi="Calibri" w:eastAsia="Microsoft JhengHei"/>
          <w:b/>
          <w:sz w:val="22"/>
        </w:rPr>
        <w:t>in</w:t>
      </w:r>
      <w:r>
        <w:rPr>
          <w:rFonts w:ascii="Calibri" w:hAnsi="Calibri" w:eastAsia="Microsoft JhengHei"/>
          <w:sz w:val="22"/>
        </w:rPr>
        <w:t xml:space="preserve"> for this call (different regimen)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Named patients 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HA formulary line</w:t>
      </w:r>
      <w:r>
        <w:rPr>
          <w:rFonts w:ascii="Calibri" w:hAnsi="Calibri" w:eastAsia="Microsoft JhengHei"/>
          <w:sz w:val="28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A credible 1:1 at HKSH that </w:t>
      </w:r>
      <w:r>
        <w:rPr>
          <w:rFonts w:ascii="Calibri" w:hAnsi="Calibri" w:eastAsia="Microsoft JhengHei"/>
          <w:b/>
          <w:sz w:val="22"/>
        </w:rPr>
        <w:t>does not over-claim 84.3%</w:t>
      </w:r>
      <w:r>
        <w:rPr>
          <w:rFonts w:ascii="Calibri" w:hAnsi="Calibri" w:eastAsia="Microsoft JhengHei"/>
          <w:sz w:val="22"/>
        </w:rPr>
        <w:t xml:space="preserve"> is the same honesty Medical will need at HA. Over-claiming the graph in private practice becomes a formulary credibility problem later.</w:t>
      </w: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PSP reminder</w:t>
      </w:r>
      <w:r>
        <w:rPr>
          <w:rFonts w:ascii="Calibri" w:hAnsi="Calibri" w:eastAsia="Microsoft JhengHei"/>
          <w:sz w:val="28"/>
        </w:rPr>
      </w:r>
    </w:p>
    <w:p>
      <w:pPr>
        <w:spacing w:after="120" w:line="276" w:lineRule="auto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Quote only live terms after market-access confirm. Private Sector </w:t>
      </w:r>
      <w:r>
        <w:rPr>
          <w:rFonts w:ascii="Calibri" w:hAnsi="Calibri" w:eastAsia="Microsoft JhengHei"/>
          <w:b/>
          <w:sz w:val="22"/>
        </w:rPr>
        <w:t>ends 2026</w:t>
      </w:r>
      <w:r>
        <w:rPr>
          <w:rFonts w:ascii="Calibri" w:hAnsi="Calibri" w:eastAsia="Microsoft JhengHei"/>
          <w:sz w:val="22"/>
        </w:rPr>
        <w:t>. Do not extend terms informally for a KOL.</w:t>
      </w: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Risks</w:t>
      </w:r>
      <w:r>
        <w:rPr>
          <w:rFonts w:ascii="Calibri" w:hAnsi="Calibri" w:eastAsia="Microsoft JhengHei"/>
          <w:sz w:val="28"/>
        </w:rPr>
      </w:r>
      <w:r>
        <w:rPr>
          <w:rFonts w:ascii="Calibri" w:hAnsi="Calibri" w:eastAsia="Microsoft JhengHei"/>
          <w:sz w:val="28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He treats 84.3% as snapshot CHR — you look promotional. Mitigant: footnote first.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He asks Pegasys H2H — any ranking is a PI/HKAPI breach. Mitigant: class-potency line + log.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Heading2"/>
        <w:spacing w:after="120" w:line="276" w:lineRule="auto"/>
      </w:pPr>
      <w:r>
        <w:rPr>
          <w:rFonts w:ascii="Calibri" w:hAnsi="Calibri" w:eastAsia="Microsoft JhengHei"/>
          <w:sz w:val="28"/>
        </w:rPr>
        <w:t>After the meeting</w:t>
      </w:r>
      <w:r>
        <w:rPr>
          <w:rFonts w:ascii="Calibri" w:hAnsi="Calibri" w:eastAsia="Microsoft JhengHei"/>
          <w:sz w:val="28"/>
        </w:rPr>
      </w:r>
      <w:r>
        <w:rPr>
          <w:rFonts w:ascii="Calibri" w:hAnsi="Calibri" w:eastAsia="Microsoft JhengHei"/>
          <w:sz w:val="28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Log in Veeva (including reactive ET/MF if any).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Email Medical a three-line debrief (no patient identifiers).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76" w:lineRule="auto" w:after="120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If he wants a patient start: PSP eligibility + injection training + current PI. </w:t>
      </w:r>
      <w:r>
        <w:rPr>
          <w:rFonts w:ascii="Calibri" w:hAnsi="Calibri" w:eastAsia="Microsoft JhengHei"/>
          <w:sz w:val="2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 w:eastAsia="Microsoft JhengHei"/>
        <w:color w:val="5A6577"/>
        <w:sz w:val="16"/>
      </w:rPr>
      <w:t xml:space="preserve">PharmaEssentia Asia (Hong Kong) Limited  ·  Mid sensitivity  ·  Page </w:t>
    </w:r>
    <w:r>
      <w:rPr>
        <w:rFonts w:ascii="Calibri" w:hAnsi="Calibri" w:eastAsia="Microsoft JhengHei"/>
        <w:color w:val="5A6577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/>
        <w:color w:val="E07A2F"/>
        <w:sz w:val="18"/>
      </w:rPr>
      <w:t>DRAFT  |  1:1 script — Prof. Liang  |  includes price / Pegasys gate  |  26 Aug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cp-meeting-script-liang-20260826-yue.docx" TargetMode="External"/><Relationship Id="rId12" Type="http://schemas.openxmlformats.org/officeDocument/2006/relationships/hyperlink" Target="hcp-meeting-script-liang-20260826-yu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