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cs="Times New Roman" w:eastAsia="Times New Roman"/>
          <w:b/>
          <w:i w:val="0"/>
          <w:sz w:val="28"/>
        </w:rPr>
        <w:t>Employee Creativity and Innovation at PharmaEssentia Hong Kong</w:t>
      </w:r>
    </w:p>
    <w:p>
      <w:pPr>
        <w:spacing w:before="0" w:after="120" w:line="240" w:lineRule="auto"/>
        <w:jc w:val="center"/>
      </w:pPr>
      <w:r>
        <w:rPr>
          <w:rFonts w:ascii="Times New Roman" w:hAnsi="Times New Roman" w:cs="Times New Roman" w:eastAsia="Times New Roman"/>
          <w:b w:val="0"/>
          <w:i/>
          <w:sz w:val="22"/>
        </w:rPr>
        <w:t>A consulting report for the Hong Kong leadership team  |  October 2026</w:t>
      </w:r>
    </w:p>
    <w:p>
      <w:pPr>
        <w:spacing w:before="160" w:after="0" w:line="480" w:lineRule="auto"/>
      </w:pPr>
      <w:r>
        <w:rPr>
          <w:rFonts w:ascii="Times New Roman" w:hAnsi="Times New Roman" w:cs="Times New Roman" w:eastAsia="Times New Roman"/>
          <w:b/>
          <w:i w:val="0"/>
          <w:sz w:val="24"/>
        </w:rPr>
        <w:t>Introduction</w:t>
      </w:r>
    </w:p>
    <w:p>
      <w:pPr>
        <w:spacing w:before="0" w:after="0" w:line="480" w:lineRule="auto"/>
        <w:ind w:firstLine="720"/>
      </w:pPr>
      <w:r>
        <w:rPr>
          <w:rFonts w:ascii="Times New Roman" w:hAnsi="Times New Roman" w:cs="Times New Roman" w:eastAsia="Times New Roman"/>
          <w:b w:val="0"/>
          <w:i w:val="0"/>
          <w:sz w:val="24"/>
        </w:rPr>
        <w:t>PharmaEssentia Hong Kong commercializes BESREMi (ropeginterferon alfa-2b) for polycythemia vera and carries the clinical, medical, and compliance work that accompanies that launch. The subsidiary is small, specialist, and governed by the Undesirable Medical Advertisements Ordinance and the HKAPI Code of Practice. In this report, creativity means the generation of new and useful ideas, and innovation means the successful implementation of those ideas. I identify the obstacles that hinder employees from doing this work, then recommend one feasible action for each of the two most critical obstacles, with the steps I would use to put those actions in place. The standard on claims, safety, and conduct stays in place. The change is a path on which useful local ideas can be voiced, tested, and decided.</w:t>
      </w:r>
    </w:p>
    <w:p>
      <w:pPr>
        <w:spacing w:before="160" w:after="0" w:line="480" w:lineRule="auto"/>
      </w:pPr>
      <w:r>
        <w:rPr>
          <w:rFonts w:ascii="Times New Roman" w:hAnsi="Times New Roman" w:cs="Times New Roman" w:eastAsia="Times New Roman"/>
          <w:b/>
          <w:i w:val="0"/>
          <w:sz w:val="24"/>
        </w:rPr>
        <w:t>Obstacles to creativity and innovation</w:t>
      </w:r>
    </w:p>
    <w:p>
      <w:pPr>
        <w:spacing w:before="0" w:after="0" w:line="480" w:lineRule="auto"/>
        <w:ind w:firstLine="720"/>
      </w:pPr>
      <w:r>
        <w:rPr>
          <w:rFonts w:ascii="Times New Roman" w:hAnsi="Times New Roman" w:cs="Times New Roman" w:eastAsia="Times New Roman"/>
          <w:b w:val="0"/>
          <w:i w:val="0"/>
          <w:sz w:val="24"/>
        </w:rPr>
        <w:t>Other conditions also hinder creativity: little slack, narrow associate roles, and little joint work between commercial and clinical colleagues. In Amabile's work-environment model these are workload pressure and evaluation pressure. Two obstacles matter more.</w:t>
      </w:r>
    </w:p>
    <w:p>
      <w:pPr>
        <w:spacing w:before="0" w:after="0" w:line="480" w:lineRule="auto"/>
        <w:ind w:firstLine="720"/>
      </w:pPr>
      <w:r>
        <w:rPr>
          <w:rFonts w:ascii="Times New Roman" w:hAnsi="Times New Roman" w:cs="Times New Roman" w:eastAsia="Times New Roman"/>
          <w:b w:val="0"/>
          <w:i w:val="0"/>
          <w:sz w:val="24"/>
        </w:rPr>
        <w:t>The first is a split between local ideas and the authority to implement them. Staff can propose useful changes to patient support, formulary evidence, investigator engagement, and handoffs. Claims, price corridors, contracts, and portfolio choices are decided at headquarters, and Hong Kong cannot sign every commitment. A local explanation waits for global lexicon clearance before the team may use it, so the person who sees the gap does not carry the idea into implementation. Creativity and innovation come apart. Administrative innovation follows when leaders design both creation and implementation (Chen, Gong, Song, and Wang, 2021). The decision map is the evidence: Hong Kong owns local tactics; headquarters owns the lexicon, price corridors, and contracts; and no routine turns one local idea into one headquarters decision.</w:t>
      </w:r>
    </w:p>
    <w:p>
      <w:pPr>
        <w:spacing w:before="0" w:after="0" w:line="480" w:lineRule="auto"/>
        <w:ind w:firstLine="720"/>
      </w:pPr>
      <w:r>
        <w:rPr>
          <w:rFonts w:ascii="Times New Roman" w:hAnsi="Times New Roman" w:cs="Times New Roman" w:eastAsia="Times New Roman"/>
          <w:b w:val="0"/>
          <w:i w:val="0"/>
          <w:sz w:val="24"/>
        </w:rPr>
        <w:t>The second obstacle is more critical because it stops ideas earlier. Success means delivery against plan, progress on public access, and a clean promotional and safety record. That is the right floor for a regulated medicine. It hinders creativity when it is the only signal people receive: a novel comment is heard as a compliance risk, and goals reward the number and the code. Learning orientation and psychological safety raise creativity by making information exchange possible (Gong, Kim, Zhu, and Lee, 2013; Gong, Cheung, Wang, and Huang, 2012). Creative self-efficacy and intrinsic motivation for creativity strengthen each other. On difficult work, encouragement and small wins build the belief that a creative result is possible (Chen, Kim, Gong, and Liang, 2025). Feedback here is clearance, lexicon checks, and target reviews, so staff conclude that accurate execution is what the organization values.</w:t>
      </w:r>
    </w:p>
    <w:p>
      <w:pPr>
        <w:spacing w:before="160" w:after="0" w:line="480" w:lineRule="auto"/>
      </w:pPr>
      <w:r>
        <w:rPr>
          <w:rFonts w:ascii="Times New Roman" w:hAnsi="Times New Roman" w:cs="Times New Roman" w:eastAsia="Times New Roman"/>
          <w:b/>
          <w:i w:val="0"/>
          <w:sz w:val="24"/>
        </w:rPr>
        <w:t>Recommendations and how I would implement them</w:t>
      </w:r>
    </w:p>
    <w:p>
      <w:pPr>
        <w:spacing w:before="0" w:after="0" w:line="480" w:lineRule="auto"/>
        <w:ind w:firstLine="720"/>
      </w:pPr>
      <w:r>
        <w:rPr>
          <w:rFonts w:ascii="Times New Roman" w:hAnsi="Times New Roman" w:cs="Times New Roman" w:eastAsia="Times New Roman"/>
          <w:b w:val="0"/>
          <w:i w:val="0"/>
          <w:sz w:val="24"/>
        </w:rPr>
        <w:t>For the implementation gap, I recommend a quarterly idea-to-decision path. Decision rights stay with headquarters. Once a quarter, the Head of Office chairs a 90-minute session with product, clinical, and compliance in the same room. The technique is to defer judgment, go for quantity, and build on other people's ideas. Each idea is one page: the local problem, why the idea is new, why it is useful for patients or for Hong Kong, and which claims it leaves untouched. Price, new scientific claims, and contract language stay off that page. Compliance attends in order to design a safe test. The group keeps the single strongest idea and scores it on usefulness, compliance containment, and feasibility. The Head of Office then sends headquarters the note this office already uses: two or three options, one recommendation, and a clear split between what Hong Kong can do alone and what needs medical, regulatory, or commercial approval.</w:t>
      </w:r>
    </w:p>
    <w:p>
      <w:pPr>
        <w:spacing w:before="0" w:after="0" w:line="480" w:lineRule="auto"/>
        <w:ind w:firstLine="720"/>
      </w:pPr>
      <w:r>
        <w:rPr>
          <w:rFonts w:ascii="Times New Roman" w:hAnsi="Times New Roman" w:cs="Times New Roman" w:eastAsia="Times New Roman"/>
          <w:b w:val="0"/>
          <w:i w:val="0"/>
          <w:sz w:val="24"/>
        </w:rPr>
        <w:t>I would apply the course emphasis on disruptive innovation as a boundary (Christensen, Raynor, and McDonald, 2015). The scientific core of BESREMi is a sustaining innovation owned by headquarters, and the processes that protect claims and contracts exist to keep that core consistent across markets. Local experiments belong in the operating system around the product: how evidence is prepared for formulary dialogue, how a field question reaches medical information, and how patient-support steps reduce drop-off. In week one, the Head of Office states that an idea remains an idea until the second stage classifies it. In week two, the pilot uses one problem that commercial and clinical colleagues already share. Within two further weeks, the note goes to headquarters. At day 90, I would apply one test. The idea has received a decision: a local pilot, a request to revise, or a decline that states the reason. A reasoned decline teaches the system. An idea that disappears means the path has failed.</w:t>
      </w:r>
    </w:p>
    <w:p>
      <w:pPr>
        <w:spacing w:before="0" w:after="0" w:line="480" w:lineRule="auto"/>
        <w:ind w:firstLine="720"/>
      </w:pPr>
      <w:r>
        <w:rPr>
          <w:rFonts w:ascii="Times New Roman" w:hAnsi="Times New Roman" w:cs="Times New Roman" w:eastAsia="Times New Roman"/>
          <w:b w:val="0"/>
          <w:i w:val="0"/>
          <w:sz w:val="24"/>
        </w:rPr>
        <w:t>For the climate, I recommend one covered creative assignment for every associate, each quarter. Performance goals and compliance goals remain, and a learning goal is added beside them. Intrinsic interest and extrinsic goals produce more creativity when they are tuned together, so the assignment is real work and the attempt is recognized (Gong, Wu, Song, and Zhang, 2017). A commercial colleague might redraw the path a field question takes into medical information. A clinical colleague might propose two cleaner handoffs between site follow-up and medical information. The manager tells the person that they are capable of the work, defines the finished product as a one-page set of options, and comments on novelty and usefulness. The task sits slightly outside the person's usual lane. That variety engages them in the creative process and rebuilds creative self-efficacy on difficult work (Chen, Kim, Gong, and Liang, 2025). The first review uses the same rules as the quarterly session, so comments address the idea in the convergent pass. One line is added to the biweekly review the office already holds: what we learned, and what we will try next.</w:t>
      </w:r>
    </w:p>
    <w:p>
      <w:pPr>
        <w:spacing w:before="0" w:after="0" w:line="480" w:lineRule="auto"/>
        <w:ind w:firstLine="720"/>
      </w:pPr>
      <w:r>
        <w:rPr>
          <w:rFonts w:ascii="Times New Roman" w:hAnsi="Times New Roman" w:cs="Times New Roman" w:eastAsia="Times New Roman"/>
          <w:b w:val="0"/>
          <w:i w:val="0"/>
          <w:sz w:val="24"/>
        </w:rPr>
        <w:t>I would implement this with the resources the office already has. Headcount stays as it is, and compliance remains above commercial convenience. The lever is managerial behavior on hard work: encouragement, a bounded challenge, and a small win. By the end of the quarter, each associate has completed one small win, and the Head of Office can point to one process that changed because of an employee's idea. A five-question pulse at that point, covering voice, learning, safety, time, and whether an idea received a decision, tells leadership whether the climate moved.</w:t>
      </w:r>
    </w:p>
    <w:p>
      <w:pPr>
        <w:spacing w:before="160" w:after="0" w:line="480" w:lineRule="auto"/>
      </w:pPr>
      <w:r>
        <w:rPr>
          <w:rFonts w:ascii="Times New Roman" w:hAnsi="Times New Roman" w:cs="Times New Roman" w:eastAsia="Times New Roman"/>
          <w:b/>
          <w:i w:val="0"/>
          <w:sz w:val="24"/>
        </w:rPr>
        <w:t>Conclusion</w:t>
      </w:r>
    </w:p>
    <w:p>
      <w:pPr>
        <w:spacing w:before="0" w:after="0" w:line="480" w:lineRule="auto"/>
        <w:ind w:firstLine="720"/>
      </w:pPr>
      <w:r>
        <w:rPr>
          <w:rFonts w:ascii="Times New Roman" w:hAnsi="Times New Roman" w:cs="Times New Roman" w:eastAsia="Times New Roman"/>
          <w:b w:val="0"/>
          <w:i w:val="0"/>
          <w:sz w:val="24"/>
        </w:rPr>
        <w:t>PharmaEssentia Hong Kong has a serious task and capable people. The subsidiary needs a path from a new and useful idea to a decision, and a climate in which employees can develop an idea and then have that idea judged. The two actions are small on purpose. A quarterly idea-to-decision path makes innovation mean implementation. One covered assignment per person makes creative work part of the job. Claims, safety, and conduct remain the floor. Headquarters receives an option and a recommendation. The people closest to patients in Hong Kong gain a way to improve the system around a medicine that already has a global standard.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color w:val="555555"/>
        <w:sz w:val="18"/>
      </w:rPr>
      <w:t xml:space="preserve">Course draft  |  Page </w:t>
    </w:r>
    <w:r>
      <w:rPr>
        <w:rFonts w:ascii="Times New Roman" w:hAnsi="Times New Roman" w:cs="Times New Roman" w:eastAsia="Times New Roman"/>
        <w:b w:val="0"/>
        <w:i w:val="0"/>
        <w:color w:val="55555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cs="Times New Roman" w:eastAsia="Times New Roman"/>
        <w:b w:val="0"/>
        <w:i/>
        <w:color w:val="555555"/>
        <w:sz w:val="18"/>
      </w:rPr>
      <w:t>PharmaEssentia Hong Kong  |  Consulting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