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BESREMi physician product training (HK) — revised module</w:t>
      </w:r>
      <w:r/>
      <w:r/>
    </w:p>
    <w:p>
      <w:r/>
      <w:r>
        <w:rPr>
          <w:b/>
        </w:rPr>
        <w:t>Status:</w:t>
      </w:r>
      <w:r>
        <w:t xml:space="preserve"> DRAFT pending local Medical / Regulatory / Compliance clearance. Not for field use until approved.</w:t>
        <w:br/>
      </w:r>
      <w:r/>
      <w:r>
        <w:rPr>
          <w:b/>
        </w:rPr>
        <w:t>Audience:</w:t>
      </w:r>
      <w:r>
        <w:t xml:space="preserve"> Internal field, MSL, and PM certification to detail Hong Kong hematologists.</w:t>
        <w:br/>
      </w:r>
      <w:r/>
      <w:r>
        <w:rPr>
          <w:b/>
        </w:rPr>
        <w:t>Sensitivity:</w:t>
      </w:r>
      <w:r>
        <w:t xml:space="preserve"> Mid — approved-piece localization + published evidence + HK PI. No patient-level data.</w:t>
        <w:br/>
      </w:r>
      <w:r/>
      <w:r>
        <w:rPr>
          <w:b/>
        </w:rPr>
        <w:t>Revision date:</w:t>
      </w:r>
      <w:r>
        <w:t xml:space="preserve"> 2026-08-25</w:t>
        <w:br/>
      </w:r>
      <w:r/>
      <w:r>
        <w:rPr>
          <w:b/>
        </w:rPr>
        <w:t>What changed:</w:t>
      </w:r>
      <w:r>
        <w:t xml:space="preserve"> Folded the two attached approved visual pieces into a single physician-training narrative, then overlaid Hong Kong PI, claim boundaries, and field talk-tracks.</w:t>
      </w:r>
      <w:r/>
      <w:r/>
    </w:p>
    <w:p>
      <w:pPr>
        <w:pStyle w:val="Heading2"/>
      </w:pPr>
      <w:r>
        <w:t>Source pieces incorporated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D6E6E" w:val="clear"/>
          </w:tcPr>
          <w:p>
            <w:r>
              <w:rPr>
                <w:b/>
                <w:color w:val="FFFFFF"/>
                <w:sz w:val="18"/>
              </w:rPr>
              <w:t>Piece</w:t>
            </w:r>
          </w:p>
        </w:tc>
        <w:tc>
          <w:tcPr>
            <w:tcW w:type="dxa" w:w="3213"/>
            <w:shd w:fill="0D6E6E" w:val="clear"/>
          </w:tcPr>
          <w:p>
            <w:r>
              <w:rPr>
                <w:b/>
                <w:color w:val="FFFFFF"/>
                <w:sz w:val="18"/>
              </w:rPr>
              <w:t>Code / title</w:t>
            </w:r>
          </w:p>
        </w:tc>
        <w:tc>
          <w:tcPr>
            <w:tcW w:type="dxa" w:w="3213"/>
            <w:shd w:fill="0D6E6E" w:val="clear"/>
          </w:tcPr>
          <w:p>
            <w:r>
              <w:rPr>
                <w:b/>
                <w:color w:val="FFFFFF"/>
                <w:sz w:val="18"/>
              </w:rPr>
              <w:t>Role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A — Disease education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PharmaEssentia MPN / PV clinical reference (classification, JAK2, WHO 2016, risk, treatment goals)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Opens the call: diagnose and stage PV before product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B — Treatment &amp; evidence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i/>
                <w:sz w:val="18"/>
              </w:rPr>
              <w:t>Rediscovering Polycythemia Vera</w:t>
            </w:r>
            <w:r>
              <w:rPr>
                <w:rFonts w:ascii="Calibri" w:hAnsi="Calibri"/>
                <w:sz w:val="18"/>
              </w:rPr>
              <w:t xml:space="preserve"> · </w:t>
            </w:r>
            <w:r>
              <w:rPr>
                <w:rFonts w:ascii="Calibri" w:hAnsi="Calibri"/>
                <w:sz w:val="18"/>
              </w:rPr>
              <w:t>PEC-BES-HK020126</w:t>
            </w:r>
            <w:r>
              <w:rPr>
                <w:rFonts w:ascii="Calibri" w:hAnsi="Calibri"/>
                <w:sz w:val="18"/>
              </w:rPr>
              <w:t xml:space="preserve"> · PharmaEssentia Asia (Hong Kong) Limited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NCCN pathway, hydroxyurea (HU) long-term risk, BESREMi CHR and event-free survival (EFS)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C — Local label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 xml:space="preserve">HK PI ( </w:t>
            </w:r>
            <w:r>
              <w:rPr>
                <w:rFonts w:ascii="Calibri" w:hAnsi="Calibri"/>
                <w:sz w:val="18"/>
              </w:rPr>
              <w:t>besremi-hk-pi-summary.md</w:t>
            </w:r>
            <w:r>
              <w:rPr>
                <w:rFonts w:ascii="Calibri" w:hAnsi="Calibri"/>
                <w:sz w:val="18"/>
              </w:rPr>
              <w:t xml:space="preserve"> 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Binding on-label boundary for every proactive claim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D — Evidence vault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pv-clinical-evidence.md</w:t>
            </w:r>
            <w:r>
              <w:rPr>
                <w:rFonts w:ascii="Calibri" w:hAnsi="Calibri"/>
                <w:sz w:val="18"/>
              </w:rPr>
              <w:t xml:space="preserve"> · Gisslinger et al., </w:t>
            </w:r>
            <w:r>
              <w:rPr>
                <w:rFonts w:ascii="Calibri" w:hAnsi="Calibri"/>
                <w:i/>
                <w:sz w:val="18"/>
              </w:rPr>
              <w:t>Leukemia</w:t>
            </w:r>
            <w:r>
              <w:rPr>
                <w:rFonts w:ascii="Calibri" w:hAnsi="Calibri"/>
                <w:sz w:val="18"/>
              </w:rPr>
              <w:t xml:space="preserve"> 2023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Named RCT numbers for comparative claims vs HU / best available therapy (BAT)</w:t>
            </w:r>
          </w:p>
        </w:tc>
      </w:tr>
    </w:tbl>
    <w:p>
      <w:r/>
    </w:p>
    <w:p>
      <w:r/>
      <w:r>
        <w:rPr>
          <w:b/>
        </w:rPr>
        <w:t>Deliverables in this revision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D6E6E" w:val="clear"/>
          </w:tcPr>
          <w:p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4819"/>
            <w:shd w:fill="0D6E6E" w:val="clear"/>
          </w:tcPr>
          <w:p>
            <w:r>
              <w:rPr>
                <w:b/>
                <w:color w:val="FFFFFF"/>
                <w:sz w:val="18"/>
              </w:rPr>
              <w:t>Where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Facilitator / talk-track</w:t>
            </w:r>
          </w:p>
        </w:tc>
        <w:tc>
          <w:tcPr>
            <w:tcW w:type="dxa" w:w="4819"/>
          </w:tcPr>
          <w:p>
            <w:hyperlink r:id="rId11">
              <w:r>
                <w:rPr>
                  <w:color w:val="0000EE"/>
                  <w:u w:val="single"/>
                </w:rPr>
                <w:t>physician-product-training.md</w:t>
              </w:r>
            </w:hyperlink>
            <w:r>
              <w:rPr>
                <w:rFonts w:ascii="Calibri" w:hAnsi="Calibri"/>
                <w:sz w:val="18"/>
              </w:rPr>
              <w:t xml:space="preserve"> (this file) · Word: </w:t>
            </w:r>
            <w:hyperlink r:id="rId12">
              <w:r>
                <w:rPr>
                  <w:color w:val="0000EE"/>
                  <w:u w:val="single"/>
                </w:rPr>
                <w:t>physician-product-training.docx</w:t>
              </w:r>
            </w:hyperlink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Compliance pre-flight</w:t>
            </w:r>
          </w:p>
        </w:tc>
        <w:tc>
          <w:tcPr>
            <w:tcW w:type="dxa" w:w="4819"/>
          </w:tcPr>
          <w:p>
            <w:hyperlink r:id="rId13">
              <w:r>
                <w:rPr>
                  <w:color w:val="0000EE"/>
                  <w:u w:val="single"/>
                </w:rPr>
                <w:t>physician-product-training-compliance.md</w:t>
              </w:r>
            </w:hyperlink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HTML slide deck (keyboard ← →)</w:t>
            </w:r>
          </w:p>
        </w:tc>
        <w:tc>
          <w:tcPr>
            <w:tcW w:type="dxa" w:w="4819"/>
          </w:tcPr>
          <w:p>
            <w:hyperlink r:id="rId14">
              <w:r>
                <w:rPr>
                  <w:color w:val="0000EE"/>
                  <w:u w:val="single"/>
                </w:rPr>
                <w:t>physician-product-training-slides.html</w:t>
              </w:r>
            </w:hyperlink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Canva 12-slide deck (DRAFT)</w:t>
            </w:r>
          </w:p>
        </w:tc>
        <w:tc>
          <w:tcPr>
            <w:tcW w:type="dxa" w:w="4819"/>
          </w:tcPr>
          <w:p>
            <w:hyperlink r:id="rId15">
              <w:r>
                <w:rPr>
                  <w:color w:val="0000EE"/>
                  <w:u w:val="single"/>
                </w:rPr>
                <w:t>Open in Canva</w:t>
              </w:r>
            </w:hyperlink>
            <w:r>
              <w:rPr>
                <w:rFonts w:ascii="Calibri" w:hAnsi="Calibri"/>
                <w:sz w:val="18"/>
              </w:rPr>
              <w:t xml:space="preserve"> (design </w:t>
            </w:r>
            <w:r>
              <w:rPr>
                <w:rFonts w:ascii="Calibri" w:hAnsi="Calibri"/>
                <w:sz w:val="18"/>
              </w:rPr>
              <w:t>DAHTRbuo6kQ</w:t>
            </w:r>
            <w:r>
              <w:rPr>
                <w:rFonts w:ascii="Calibri" w:hAnsi="Calibri"/>
                <w:sz w:val="18"/>
              </w:rPr>
              <w:t xml:space="preserve"> )</w:t>
            </w:r>
          </w:p>
        </w:tc>
      </w:tr>
    </w:tbl>
    <w:p>
      <w:r/>
    </w:p>
    <w:p>
      <w:r/>
      <w:r>
        <w:rPr>
          <w:b/>
        </w:rPr>
        <w:t>Do not</w:t>
      </w:r>
      <w:r>
        <w:t xml:space="preserve"> treat Piece A/B as a substitute for HK PI. NCCN is a </w:t>
      </w:r>
      <w:r>
        <w:rPr>
          <w:b/>
        </w:rPr>
        <w:t>US</w:t>
      </w:r>
      <w:r>
        <w:t xml:space="preserve"> guideline. Hong Kong prescribing follows the local indication, not NCCN category ranking.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Recommendation for how to run the session</w:t>
      </w:r>
      <w:r/>
    </w:p>
    <w:p>
      <w:r/>
      <w:r>
        <w:rPr>
          <w:b/>
        </w:rPr>
        <w:t>Do</w:t>
      </w:r>
      <w:r>
        <w:t xml:space="preserve"> certify the field on a disease-first, label-bound talk-track that uses Piece A then Piece B, then closes on HK dosing, safety, and access.</w:t>
        <w:br/>
      </w:r>
      <w:r/>
      <w:r>
        <w:rPr>
          <w:b/>
        </w:rPr>
        <w:t>Do not</w:t>
      </w:r>
      <w:r>
        <w:t xml:space="preserve"> let the NCCN “preferred” language or the HU 10-year risk numbers become an anti-HU attack, and </w:t>
      </w:r>
      <w:r>
        <w:rPr>
          <w:b/>
        </w:rPr>
        <w:t>do not</w:t>
      </w:r>
      <w:r>
        <w:t xml:space="preserve"> use ET/PMF panels as an implied indication.</w:t>
      </w:r>
      <w:r/>
    </w:p>
    <w:p>
      <w:r/>
      <w:r>
        <w:rPr>
          <w:b/>
        </w:rPr>
        <w:t>Session length:</w:t>
      </w:r>
      <w:r>
        <w:t xml:space="preserve"> 45 minutes scientific + 15 minutes objections / knowledge check.</w:t>
        <w:br/>
      </w:r>
      <w:r/>
      <w:r>
        <w:rPr>
          <w:b/>
        </w:rPr>
        <w:t>HKAPI:</w:t>
      </w:r>
      <w:r>
        <w:t xml:space="preserve"> If delivered as a sponsored HCP meeting, ≥ two-thirds genuine scientific content; hospitality within Code caps; abbreviated PI on every leave-behind.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Module objectives (field must be able to…)</w:t>
      </w:r>
      <w:r/>
      <w:r/>
    </w:p>
    <w:p>
      <w:pPr>
        <w:pStyle w:val="ListNumber"/>
        <w:spacing w:line="240" w:lineRule="auto"/>
        <w:ind w:left="720"/>
      </w:pPr>
      <w:r/>
      <w:r>
        <w:t>Place polycythemia vera (PV) inside myeloproliferative neoplasms (MPNs) without promoting essential thrombocythemia (ET) or primary myelofibrosis (PMF).</w:t>
      </w:r>
      <w:r/>
    </w:p>
    <w:p>
      <w:pPr>
        <w:pStyle w:val="ListNumber"/>
        <w:spacing w:line="240" w:lineRule="auto"/>
        <w:ind w:left="720"/>
      </w:pPr>
      <w:r/>
      <w:r>
        <w:t>Walk a hematologist through WHO 2016 PV criteria, JAK2 biology, risk (age / thrombosis), and treatment goals using Piece A.</w:t>
      </w:r>
      <w:r/>
    </w:p>
    <w:p>
      <w:pPr>
        <w:pStyle w:val="ListNumber"/>
        <w:spacing w:line="240" w:lineRule="auto"/>
        <w:ind w:left="720"/>
      </w:pPr>
      <w:r/>
      <w:r>
        <w:t xml:space="preserve">Map </w:t>
      </w:r>
      <w:r>
        <w:rPr>
          <w:b/>
        </w:rPr>
        <w:t>NCCN-style</w:t>
      </w:r>
      <w:r>
        <w:t xml:space="preserve"> low- vs high-risk cytoreduction using Piece B, then immediately restate the </w:t>
      </w:r>
      <w:r>
        <w:rPr>
          <w:b/>
        </w:rPr>
        <w:t>HK indication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Quote BESREMi vs HU/BAT outcomes from named studies, matching the poster visuals to PI-safe numbers.</w:t>
      </w:r>
      <w:r/>
    </w:p>
    <w:p>
      <w:pPr>
        <w:pStyle w:val="ListNumber"/>
        <w:spacing w:line="240" w:lineRule="auto"/>
        <w:ind w:left="720"/>
      </w:pPr>
      <w:r/>
      <w:r>
        <w:t>Handle “why not Pegasys / China ropeg / cheaper IFN?” without IFN-to-IFN superiority.</w:t>
      </w:r>
      <w:r/>
    </w:p>
    <w:p>
      <w:pPr>
        <w:pStyle w:val="ListNumber"/>
        <w:spacing w:line="240" w:lineRule="auto"/>
        <w:ind w:left="720"/>
      </w:pPr>
      <w:r/>
      <w:r>
        <w:t>Start, titrate, and stop per HK PI; report ADRs; describe PSP only as currently approved.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Compliance banner (say this before any HCP delivery)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On-label (HK):</w:t>
      </w:r>
      <w:r>
        <w:t xml:space="preserve"> monotherapy in </w:t>
      </w:r>
      <w:r>
        <w:rPr>
          <w:b/>
        </w:rPr>
        <w:t>adults</w:t>
      </w:r>
      <w:r>
        <w:t xml:space="preserve"> for </w:t>
      </w:r>
      <w:r>
        <w:rPr>
          <w:b/>
        </w:rPr>
        <w:t>polycythaemia vera without symptomatic splenomegaly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ET / MF:</w:t>
      </w:r>
      <w:r>
        <w:t xml:space="preserve"> disease-classification context only. No efficacy, dosing, or access discussion unless the physician asks — then reactive, documented, PI-cited.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No IFN-class superiority.</w:t>
      </w:r>
      <w:r>
        <w:t xml:space="preserve"> PI: potency of this product must not be compared with another pegylated or non-pegylated protein of the same class.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Comparative claims</w:t>
      </w:r>
      <w:r>
        <w:t xml:space="preserve"> vs HU or phlebotomy: named RCT + statistically significant result only (HKAPI §3.5).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NCCN ≠ HA Drug Formulary.</w:t>
      </w:r>
      <w:r>
        <w:t xml:space="preserve"> Do not imply Hospital Authority listing or local guideline adoption.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Every promotional leave-behind:</w:t>
      </w:r>
      <w:r>
        <w:t xml:space="preserve"> abbreviated PI (indication, dosage, contraindications, side effects, approval date).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Talk-track (use this order)</w:t>
      </w:r>
      <w:r/>
    </w:p>
    <w:p>
      <w:pPr>
        <w:pStyle w:val="Heading3"/>
      </w:pPr>
      <w:r>
        <w:t>1. Open — why PV still needs rediscovering (2 min)</w:t>
      </w:r>
      <w:r/>
    </w:p>
    <w:p>
      <w:r/>
      <w:r>
        <w:rPr>
          <w:b/>
        </w:rPr>
        <w:t>Say:</w:t>
      </w:r>
      <w:r>
        <w:t xml:space="preserve"> PV is a chronic JAK2-driven MPN. Control of hematocrit is necessary but not sufficient: goals are prevent thrombosis, prevent myelofibrotic transformation, prevent acute leukemia, and improve symptoms.</w:t>
      </w:r>
      <w:r/>
    </w:p>
    <w:p>
      <w:r/>
      <w:r>
        <w:rPr>
          <w:b/>
        </w:rPr>
        <w:t>Show:</w:t>
      </w:r>
      <w:r>
        <w:t xml:space="preserve"> Piece A treatment-goal panel (thrombosis / myelofibrosis / acute leukemia).</w:t>
        <w:br/>
      </w:r>
      <w:r/>
      <w:r>
        <w:rPr>
          <w:b/>
        </w:rPr>
        <w:t>Do not say:</w:t>
      </w:r>
      <w:r>
        <w:t xml:space="preserve"> “BESREMi is proven to prevent leukemia” — EFS includes rare progression events; do not convert a composite into a leukemia-prevention claim.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2. Piece A — MPN classification (5 min)</w:t>
      </w:r>
      <w:r/>
    </w:p>
    <w:p>
      <w:r/>
      <w:r>
        <w:t>PV is overproduction of erythrocytes, sometimes with high leukocytes and platelets, from neoplastic JAK2-driven proliferation.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D6E6E" w:val="clear"/>
          </w:tcPr>
          <w:p/>
        </w:tc>
        <w:tc>
          <w:tcPr>
            <w:tcW w:type="dxa" w:w="2409"/>
            <w:shd w:fill="0D6E6E" w:val="clear"/>
          </w:tcPr>
          <w:p>
            <w:r>
              <w:rPr>
                <w:b/>
                <w:color w:val="FFFFFF"/>
                <w:sz w:val="18"/>
              </w:rPr>
              <w:t>PV</w:t>
            </w:r>
          </w:p>
        </w:tc>
        <w:tc>
          <w:tcPr>
            <w:tcW w:type="dxa" w:w="2409"/>
            <w:shd w:fill="0D6E6E" w:val="clear"/>
          </w:tcPr>
          <w:p>
            <w:r>
              <w:rPr>
                <w:b/>
                <w:color w:val="FFFFFF"/>
                <w:sz w:val="18"/>
              </w:rPr>
              <w:t>ET</w:t>
            </w:r>
          </w:p>
        </w:tc>
        <w:tc>
          <w:tcPr>
            <w:tcW w:type="dxa" w:w="2409"/>
            <w:shd w:fill="0D6E6E" w:val="clear"/>
          </w:tcPr>
          <w:p>
            <w:r>
              <w:rPr>
                <w:b/>
                <w:color w:val="FFFFFF"/>
                <w:sz w:val="18"/>
              </w:rPr>
              <w:t>PMF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Driver mutations (Piece A)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97% JAK2 V617F; 1% JAK2 exon 12; 2% unknown / triple-negative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55% JAK2 V617F; 25% CALR exon 9; 5% MPL exon 10; 15% unknown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55% JAK2 V617F; 30% CALR; 8% MPL; 7% unknown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Most common symptoms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Fatigue 74%; itching 57%; sleep difficulty 55%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Fatigue 71%; bruising 52%; numbness/tingling 50%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Fatigue 81%; abdominal discomfort 58%; night sweats 55%; sleep difficulty 53%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Most severe (checked on piece)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Fatigue, inactivity, sleep difficulty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Fatigue, inactivity, numbness/tingling, muscle aches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Fatigue, inactivity, concentrating problems, sleep difficulty</w:t>
            </w:r>
          </w:p>
        </w:tc>
      </w:tr>
    </w:tbl>
    <w:p>
      <w:r/>
    </w:p>
    <w:p>
      <w:r/>
      <w:r>
        <w:rPr>
          <w:b/>
        </w:rPr>
        <w:t>Field rule:</w:t>
      </w:r>
      <w:r>
        <w:t xml:space="preserve"> Spend ~80% of this table on the </w:t>
      </w:r>
      <w:r>
        <w:rPr>
          <w:b/>
        </w:rPr>
        <w:t>PV column</w:t>
      </w:r>
      <w:r>
        <w:t xml:space="preserve">. ET/PMF columns answer “how is this different from the other MPNs?” — they are </w:t>
      </w:r>
      <w:r>
        <w:rPr>
          <w:b/>
        </w:rPr>
        <w:t>not</w:t>
      </w:r>
      <w:r>
        <w:t xml:space="preserve"> a prompt to discuss BESREMi in ET or MF.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3. Piece A — JAK2 pathophysiology (3 min)</w:t>
      </w:r>
      <w:r/>
    </w:p>
    <w:p>
      <w:r/>
      <w:r>
        <w:rPr>
          <w:b/>
        </w:rPr>
        <w:t>Normal:</w:t>
      </w:r>
      <w:r>
        <w:t xml:space="preserve"> erythropoietin (EPO) binds EPO receptor → receptor homodimerization → JAK2 autophosphorylation.</w:t>
        <w:br/>
      </w:r>
      <w:r/>
      <w:r>
        <w:rPr>
          <w:b/>
        </w:rPr>
        <w:t>PV:</w:t>
      </w:r>
      <w:r>
        <w:t xml:space="preserve"> JAK2 mutation → constitutive signaling </w:t>
      </w:r>
      <w:r>
        <w:rPr>
          <w:b/>
        </w:rPr>
        <w:t>without</w:t>
      </w:r>
      <w:r>
        <w:t xml:space="preserve"> EPO.</w:t>
      </w:r>
      <w:r/>
    </w:p>
    <w:p>
      <w:r/>
      <w:r>
        <w:rPr>
          <w:b/>
        </w:rPr>
        <w:t>Bridge:</w:t>
      </w:r>
      <w:r>
        <w:t xml:space="preserve"> This is why hematocrit control plus disease-directed cytoreduction is the clinical conversation — not phlebotomy as a stand-alone long-term plan in patients who meet cytoreduction criteria.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4. Piece A — WHO 2016 diagnostic criteria for PV (4 min)</w:t>
      </w:r>
      <w:r/>
    </w:p>
    <w:p>
      <w:r/>
      <w:r>
        <w:rPr>
          <w:b/>
        </w:rPr>
        <w:t>Major</w:t>
      </w:r>
      <w:r/>
      <w:r/>
    </w:p>
    <w:p>
      <w:pPr>
        <w:pStyle w:val="ListNumber"/>
        <w:spacing w:line="240" w:lineRule="auto"/>
        <w:ind w:left="720"/>
      </w:pPr>
      <w:r/>
      <w:r>
        <w:t xml:space="preserve">Hemoglobin &gt;16.5 g/dL (male) / &gt;16.0 g/dL (female) </w:t>
      </w:r>
      <w:r>
        <w:rPr>
          <w:b/>
        </w:rPr>
        <w:t>or</w:t>
      </w:r>
      <w:r>
        <w:t xml:space="preserve"> hematocrit &gt;49% (male) / &gt;48% (female) </w:t>
      </w:r>
      <w:r>
        <w:rPr>
          <w:b/>
        </w:rPr>
        <w:t>or</w:t>
      </w:r>
      <w:r>
        <w:t xml:space="preserve"> red-cell mass &gt;25% above mean predicted.</w:t>
      </w:r>
      <w:r/>
    </w:p>
    <w:p>
      <w:pPr>
        <w:pStyle w:val="ListNumber"/>
        <w:spacing w:line="240" w:lineRule="auto"/>
        <w:ind w:left="720"/>
      </w:pPr>
      <w:r/>
      <w:r>
        <w:t>Bone-marrow biopsy: prominent erythroid, granulocytic, and megakaryocytic proliferation.</w:t>
      </w:r>
      <w:r/>
    </w:p>
    <w:p>
      <w:pPr>
        <w:pStyle w:val="ListNumber"/>
        <w:spacing w:line="240" w:lineRule="auto"/>
        <w:ind w:left="720"/>
      </w:pPr>
      <w:r/>
      <w:r>
        <w:t>JAK2 V617F or JAK2 exon 12 mutation.</w:t>
      </w:r>
      <w:r/>
      <w:r/>
    </w:p>
    <w:p>
      <w:r/>
      <w:r>
        <w:rPr>
          <w:b/>
        </w:rPr>
        <w:t>Minor:</w:t>
      </w:r>
      <w:r>
        <w:t xml:space="preserve"> subnormal serum EPO.</w:t>
      </w:r>
      <w:r/>
    </w:p>
    <w:p>
      <w:r/>
      <w:r>
        <w:rPr>
          <w:b/>
        </w:rPr>
        <w:t>Diagnosis:</w:t>
      </w:r>
      <w:r>
        <w:t xml:space="preserve"> all 3 major, </w:t>
      </w:r>
      <w:r>
        <w:rPr>
          <w:b/>
        </w:rPr>
        <w:t>or</w:t>
      </w:r>
      <w:r>
        <w:t xml:space="preserve"> first 2 major + the minor criterion.</w:t>
      </w:r>
      <w:r/>
    </w:p>
    <w:p>
      <w:r/>
      <w:r>
        <w:rPr>
          <w:b/>
        </w:rPr>
        <w:t>Local note:</w:t>
      </w:r>
      <w:r>
        <w:t xml:space="preserve"> If a physician uses newer WHO/ICC language, do not argue version numbers. Stay on the diagnostic logic; do not invent updated cut-offs.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5. Piece A — PV risk stratification (2 min)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D6E6E" w:val="clear"/>
          </w:tcPr>
          <w:p/>
        </w:tc>
        <w:tc>
          <w:tcPr>
            <w:tcW w:type="dxa" w:w="3213"/>
            <w:shd w:fill="0D6E6E" w:val="clear"/>
          </w:tcPr>
          <w:p>
            <w:r>
              <w:rPr>
                <w:b/>
                <w:color w:val="FFFFFF"/>
                <w:sz w:val="18"/>
              </w:rPr>
              <w:t xml:space="preserve">History of thrombosis </w:t>
            </w:r>
            <w:r>
              <w:rPr>
                <w:b/>
                <w:color w:val="FFFFFF"/>
                <w:sz w:val="18"/>
              </w:rPr>
              <w:t>yes</w:t>
            </w:r>
          </w:p>
        </w:tc>
        <w:tc>
          <w:tcPr>
            <w:tcW w:type="dxa" w:w="3213"/>
            <w:shd w:fill="0D6E6E" w:val="clear"/>
          </w:tcPr>
          <w:p>
            <w:r>
              <w:rPr>
                <w:b/>
                <w:color w:val="FFFFFF"/>
                <w:sz w:val="18"/>
              </w:rPr>
              <w:t xml:space="preserve">History of thrombosis </w:t>
            </w:r>
            <w:r>
              <w:rPr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Age ≥60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High-risk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High-risk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Age &lt;60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High-risk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Low-risk</w:t>
            </w:r>
          </w:p>
        </w:tc>
      </w:tr>
    </w:tbl>
    <w:p>
      <w:r/>
    </w:p>
    <w:p>
      <w:r/>
      <w:r>
        <w:t xml:space="preserve">Only </w:t>
      </w:r>
      <w:r>
        <w:rPr>
          <w:b/>
        </w:rPr>
        <w:t>age &lt;60 and no prior thrombosis</w:t>
      </w:r>
      <w:r>
        <w:t xml:space="preserve"> is low-risk on this piece. Everyone else is high-risk.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6. Piece B — NCCN treatment pathways (8 min)</w:t>
      </w:r>
      <w:r/>
    </w:p>
    <w:p>
      <w:r/>
      <w:r>
        <w:rPr>
          <w:b/>
        </w:rPr>
        <w:t>Label the slide verbally:</w:t>
      </w:r>
      <w:r>
        <w:t xml:space="preserve"> “This is </w:t>
      </w:r>
      <w:r>
        <w:rPr>
          <w:b/>
        </w:rPr>
        <w:t>NCCN (US)</w:t>
      </w:r>
      <w:r>
        <w:t xml:space="preserve"> as shown on </w:t>
      </w:r>
      <w:r>
        <w:rPr>
          <w:rFonts w:ascii="Courier" w:hAnsi="Courier"/>
        </w:rPr>
        <w:t>PEC-BES-HK020126</w:t>
      </w:r>
      <w:r>
        <w:t>. It is scientific context. Hong Kong prescribing is the local PI.”</w:t>
      </w:r>
      <w:r/>
    </w:p>
    <w:p>
      <w:pPr>
        <w:pStyle w:val="Heading4"/>
      </w:pPr>
      <w:r>
        <w:t>Low-risk PV (NCCN as on Piece B)</w:t>
      </w:r>
      <w:r/>
    </w:p>
    <w:p>
      <w:r/>
      <w:r>
        <w:rPr>
          <w:b/>
        </w:rPr>
        <w:t>Initial management (all patients):</w:t>
      </w:r>
      <w:r>
        <w:t xml:space="preserve"> manage cardiovascular risk; aspirin 81–100 mg/day; phlebotomy to hematocrit &lt;45%.</w:t>
      </w:r>
      <w:r/>
    </w:p>
    <w:p>
      <w:r/>
      <w:r>
        <w:rPr>
          <w:b/>
        </w:rPr>
        <w:t>Monitor</w:t>
      </w:r>
      <w:r>
        <w:t xml:space="preserve"> for new thrombosis/bleeding and for cytoreduction indications.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D6E6E" w:val="clear"/>
          </w:tcPr>
          <w:p>
            <w:r>
              <w:rPr>
                <w:b/>
                <w:color w:val="FFFFFF"/>
                <w:sz w:val="18"/>
              </w:rPr>
              <w:t>If…</w:t>
            </w:r>
          </w:p>
        </w:tc>
        <w:tc>
          <w:tcPr>
            <w:tcW w:type="dxa" w:w="4819"/>
            <w:shd w:fill="0D6E6E" w:val="clear"/>
          </w:tcPr>
          <w:p>
            <w:r>
              <w:rPr>
                <w:b/>
                <w:color w:val="FFFFFF"/>
                <w:sz w:val="18"/>
              </w:rPr>
              <w:t>Then…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Asymptomatic, no cytoreduction indications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Continue monitoring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Symptomatic / indications present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Initiate cytoreductive therapy</w:t>
            </w:r>
          </w:p>
        </w:tc>
      </w:tr>
    </w:tbl>
    <w:p>
      <w:r/>
    </w:p>
    <w:p>
      <w:r/>
      <w:r>
        <w:rPr>
          <w:b/>
        </w:rPr>
        <w:t>Potential indications for cytoreduction (Piece B):</w:t>
      </w:r>
      <w:r>
        <w:t xml:space="preserve"> new thrombosis or bleeding; frequent or poorly tolerated phlebotomy; progressive thrombocytosis or leukocytosis; splenomegaly; disease-related symptoms (pruritus, night sweats, fatigue).</w:t>
      </w:r>
      <w:r/>
    </w:p>
    <w:p>
      <w:r/>
      <w:r>
        <w:rPr>
          <w:b/>
        </w:rPr>
        <w:t>Initiate cytoreduction (NCCN language on piece):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Preferred:</w:t>
      </w:r>
      <w:r>
        <w:t xml:space="preserve"> clinical trial </w:t>
      </w:r>
      <w:r>
        <w:rPr>
          <w:b/>
        </w:rPr>
        <w:t>or</w:t>
      </w:r>
      <w:r>
        <w:t xml:space="preserve"> ropeginterferon alfa-2b-njft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Other recommended:</w:t>
      </w:r>
      <w:r>
        <w:t xml:space="preserve"> hydroxyurea </w:t>
      </w:r>
      <w:r>
        <w:rPr>
          <w:b/>
        </w:rPr>
        <w:t>or</w:t>
      </w:r>
      <w:r>
        <w:t xml:space="preserve"> peginterferon alfa-2a</w:t>
      </w:r>
      <w:r/>
      <w:r/>
    </w:p>
    <w:p>
      <w:r/>
      <w:r>
        <w:rPr>
          <w:b/>
        </w:rPr>
        <w:t>HK overlay (must say):</w:t>
      </w:r>
      <w:r>
        <w:t xml:space="preserve"> BESREMi is indicated as </w:t>
      </w:r>
      <w:r>
        <w:rPr>
          <w:b/>
        </w:rPr>
        <w:t>monotherapy in adults with PV without symptomatic splenomegaly</w:t>
      </w:r>
      <w:r>
        <w:t xml:space="preserve">. NCCN “preferred” does </w:t>
      </w:r>
      <w:r>
        <w:rPr>
          <w:b/>
        </w:rPr>
        <w:t>not</w:t>
      </w:r>
      <w:r>
        <w:t xml:space="preserve"> equal HA listing and does </w:t>
      </w:r>
      <w:r>
        <w:rPr>
          <w:b/>
        </w:rPr>
        <w:t>not</w:t>
      </w:r>
      <w:r>
        <w:t xml:space="preserve"> authorize off-label use. If the patient has </w:t>
      </w:r>
      <w:r>
        <w:rPr>
          <w:b/>
        </w:rPr>
        <w:t>symptomatic splenomegaly</w:t>
      </w:r>
      <w:r>
        <w:t>, do not proactively position BESREMi.</w:t>
      </w:r>
      <w:r/>
    </w:p>
    <w:p>
      <w:pPr>
        <w:pStyle w:val="Heading4"/>
      </w:pPr>
      <w:r>
        <w:t>High-risk PV (NCCN as on Piece B)</w:t>
      </w:r>
      <w:r/>
    </w:p>
    <w:p>
      <w:r/>
      <w:r>
        <w:t xml:space="preserve">Same backbone (CV risk, aspirin, phlebotomy to Hct &lt;45%) </w:t>
      </w:r>
      <w:r>
        <w:rPr>
          <w:b/>
        </w:rPr>
        <w:t>plus</w:t>
      </w:r>
      <w:r>
        <w:t xml:space="preserve"> cytoreduction: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Preferred:</w:t>
      </w:r>
      <w:r>
        <w:t xml:space="preserve"> hydroxyurea </w:t>
      </w:r>
      <w:r>
        <w:rPr>
          <w:b/>
        </w:rPr>
        <w:t>or</w:t>
      </w:r>
      <w:r>
        <w:t xml:space="preserve"> ropeginterferon alfa-2b-njft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Other recommended:</w:t>
      </w:r>
      <w:r>
        <w:t xml:space="preserve"> peginterferon alfa-2a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Useful in certain circumstances:</w:t>
      </w:r>
      <w:r>
        <w:t xml:space="preserve"> ruxolitinib</w:t>
      </w:r>
      <w:r/>
      <w:r/>
    </w:p>
    <w:p>
      <w:r/>
      <w:r>
        <w:rPr>
          <w:b/>
        </w:rPr>
        <w:t>If inadequate response or loss of response — preferred change (NCCN on piece):</w:t>
      </w:r>
      <w:r/>
      <w:r/>
    </w:p>
    <w:p>
      <w:pPr>
        <w:pStyle w:val="ListNumber"/>
        <w:spacing w:line="240" w:lineRule="auto"/>
        <w:ind w:left="720"/>
      </w:pPr>
      <w:r/>
      <w:r>
        <w:t xml:space="preserve">Clinical trial </w:t>
      </w:r>
      <w:r>
        <w:rPr>
          <w:b/>
        </w:rPr>
        <w:t>or</w:t>
      </w:r>
      <w:r>
        <w:t xml:space="preserve"> ruxolitinib (NCCN category 1 in high-risk PV after HU resistance/intolerance)</w:t>
      </w:r>
      <w:r/>
    </w:p>
    <w:p>
      <w:pPr>
        <w:pStyle w:val="ListNumber"/>
        <w:spacing w:line="240" w:lineRule="auto"/>
        <w:ind w:left="720"/>
      </w:pPr>
      <w:r/>
      <w:r>
        <w:t>Other recommended if not previously used: ropeginterferon alfa-2b-njft, hydroxyurea, or peginterferon alfa-2a</w:t>
      </w:r>
      <w:r/>
      <w:r/>
    </w:p>
    <w:p>
      <w:r/>
      <w:r>
        <w:rPr>
          <w:b/>
        </w:rPr>
        <w:t>HK overlay:</w:t>
      </w:r>
      <w:r>
        <w:t xml:space="preserve"> Ruxolitinib sequencing is a </w:t>
      </w:r>
      <w:r>
        <w:rPr>
          <w:b/>
        </w:rPr>
        <w:t>guideline</w:t>
      </w:r>
      <w:r>
        <w:t xml:space="preserve"> statement, not a BESREMi comparative claim. Do not claim BESREMi is “better than ruxolitinib.” Do not claim BESREMi is indicated after HU failure unless that use is within the HK PI and Medical-cleared lexicon.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7. Piece B — long-term risk under hydroxyurea (4 min)</w:t>
      </w:r>
      <w:r/>
    </w:p>
    <w:p>
      <w:r/>
      <w:r>
        <w:t xml:space="preserve">As shown on </w:t>
      </w:r>
      <w:r>
        <w:rPr>
          <w:rFonts w:ascii="Courier" w:hAnsi="Courier"/>
        </w:rPr>
        <w:t>PEC-BES-HK020126</w:t>
      </w:r>
      <w:r>
        <w:t xml:space="preserve"> (piece cites Spivak, Mehta, Gisslinger and NCCN in the footer — Medical to keep the exact footnote locked to the approved artwork):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0D6E6E" w:val="clear"/>
          </w:tcPr>
          <w:p>
            <w:r>
              <w:rPr>
                <w:b/>
                <w:color w:val="FFFFFF"/>
                <w:sz w:val="18"/>
              </w:rPr>
              <w:t>Time on HU</w:t>
            </w:r>
          </w:p>
        </w:tc>
        <w:tc>
          <w:tcPr>
            <w:tcW w:type="dxa" w:w="3213"/>
            <w:shd w:fill="0D6E6E" w:val="clear"/>
          </w:tcPr>
          <w:p>
            <w:r>
              <w:rPr>
                <w:b/>
                <w:color w:val="FFFFFF"/>
                <w:sz w:val="18"/>
              </w:rPr>
              <w:t>Myelofibrotic transformation</w:t>
            </w:r>
          </w:p>
        </w:tc>
        <w:tc>
          <w:tcPr>
            <w:tcW w:type="dxa" w:w="3213"/>
            <w:shd w:fill="0D6E6E" w:val="clear"/>
          </w:tcPr>
          <w:p>
            <w:r>
              <w:rPr>
                <w:b/>
                <w:color w:val="FFFFFF"/>
                <w:sz w:val="18"/>
              </w:rPr>
              <w:t>Mortality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1 year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0.9%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2.4%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5 years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5.0%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12.6%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10 years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33.7%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b/>
                <w:sz w:val="18"/>
              </w:rPr>
              <w:t>56.2%</w:t>
            </w:r>
          </w:p>
        </w:tc>
      </w:tr>
    </w:tbl>
    <w:p>
      <w:r/>
    </w:p>
    <w:p>
      <w:r/>
      <w:r>
        <w:rPr>
          <w:b/>
        </w:rPr>
        <w:t>How to say it:</w:t>
      </w:r>
      <w:r>
        <w:t xml:space="preserve"> “PV is not static. In this referenced HU-treated experience, transformation and mortality rise substantially by year 10. That is why treatment goals include more than a one-year hematocrit snapshot.”</w:t>
      </w:r>
      <w:r/>
    </w:p>
    <w:p>
      <w:r/>
      <w:r>
        <w:rPr>
          <w:b/>
        </w:rPr>
        <w:t>How not to say it:</w:t>
      </w:r>
      <w:r>
        <w:t xml:space="preserve"> “HU causes a one-in-three chance of myelofibrosis” or “HU is unsafe.” These are </w:t>
      </w:r>
      <w:r>
        <w:rPr>
          <w:b/>
        </w:rPr>
        <w:t>risk estimates in a cited cohort</w:t>
      </w:r>
      <w:r>
        <w:t>, not a head-to-head BESREMi safety claim. Do not imply BESREMi has been proven to cut 10-year mortality to a specific number.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8. Piece B — BESREMi complete hematologic response (6 min)</w:t>
      </w:r>
      <w:r/>
    </w:p>
    <w:p>
      <w:r/>
      <w:r>
        <w:rPr>
          <w:b/>
        </w:rPr>
        <w:t>CHR definition (Piece B):</w:t>
      </w:r>
      <w:r>
        <w:t xml:space="preserve"> no phlebotomy in the past 3 months; hematocrit &lt;45%; leukocytes &lt;10 × 10⁹/L; platelets &lt;400 × 10⁹/L.</w:t>
      </w:r>
      <w:r/>
    </w:p>
    <w:p>
      <w:r/>
      <w:r>
        <w:rPr>
          <w:b/>
        </w:rPr>
        <w:t>Poster claim:</w:t>
      </w:r>
      <w:r>
        <w:t xml:space="preserve"> greater CHR vs control (HU/BAT) at 24 months, </w:t>
      </w:r>
      <w:r>
        <w:rPr>
          <w:b/>
        </w:rPr>
        <w:t>sustained through 60 months</w:t>
      </w:r>
      <w:r>
        <w:t>.</w:t>
      </w:r>
      <w:r/>
    </w:p>
    <w:p>
      <w:r/>
      <w:r>
        <w:rPr>
          <w:b/>
        </w:rPr>
        <w:t xml:space="preserve">Numbers to use in HK (named study — Gisslinger et al., </w:t>
      </w:r>
      <w:r>
        <w:rPr>
          <w:b/>
          <w:i/>
        </w:rPr>
        <w:t>Leukemia</w:t>
      </w:r>
      <w:r>
        <w:rPr>
          <w:b/>
        </w:rPr>
        <w:t xml:space="preserve"> 2023; PROUD-PV / CONTINUATION-PV):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0D6E6E" w:val="clear"/>
          </w:tcPr>
          <w:p>
            <w:r>
              <w:rPr>
                <w:b/>
                <w:color w:val="FFFFFF"/>
                <w:sz w:val="18"/>
              </w:rPr>
              <w:t>Analysis</w:t>
            </w:r>
          </w:p>
        </w:tc>
        <w:tc>
          <w:tcPr>
            <w:tcW w:type="dxa" w:w="2409"/>
            <w:shd w:fill="0D6E6E" w:val="clear"/>
          </w:tcPr>
          <w:p>
            <w:r>
              <w:rPr>
                <w:b/>
                <w:color w:val="FFFFFF"/>
                <w:sz w:val="18"/>
              </w:rPr>
              <w:t>BESREMi</w:t>
            </w:r>
          </w:p>
        </w:tc>
        <w:tc>
          <w:tcPr>
            <w:tcW w:type="dxa" w:w="2409"/>
            <w:shd w:fill="0D6E6E" w:val="clear"/>
          </w:tcPr>
          <w:p>
            <w:r>
              <w:rPr>
                <w:b/>
                <w:color w:val="FFFFFF"/>
                <w:sz w:val="18"/>
              </w:rPr>
              <w:t>Control (HU → BAT)</w:t>
            </w:r>
          </w:p>
        </w:tc>
        <w:tc>
          <w:tcPr>
            <w:tcW w:type="dxa" w:w="2409"/>
            <w:shd w:fill="0D6E6E" w:val="clear"/>
          </w:tcPr>
          <w:p>
            <w:r>
              <w:rPr>
                <w:b/>
                <w:color w:val="FFFFFF"/>
                <w:sz w:val="18"/>
              </w:rPr>
              <w:t>Stats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b/>
                <w:sz w:val="18"/>
              </w:rPr>
              <w:t>CHR at 72 months (primary; discontinued = non-responders)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8"/>
              </w:rPr>
              <w:t>54.5%</w:t>
            </w:r>
            <w:r>
              <w:rPr>
                <w:rFonts w:ascii="Calibri" w:hAnsi="Calibri"/>
                <w:sz w:val="18"/>
              </w:rPr>
              <w:t xml:space="preserve"> (48/88)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b/>
                <w:sz w:val="18"/>
              </w:rPr>
              <w:t>34.9%</w:t>
            </w:r>
            <w:r>
              <w:rPr>
                <w:rFonts w:ascii="Calibri" w:hAnsi="Calibri"/>
                <w:sz w:val="18"/>
              </w:rPr>
              <w:t xml:space="preserve"> (22/63)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 xml:space="preserve">RR 1.55; 95% CI 1.07–2.26; </w:t>
            </w:r>
            <w:r>
              <w:rPr>
                <w:rFonts w:ascii="Calibri" w:hAnsi="Calibri"/>
                <w:b/>
                <w:sz w:val="18"/>
              </w:rPr>
              <w:t>p=0.02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LOCF sensitivity (explains the poster’s ~70% visual)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72.6% (69/95)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47.3% (35/74)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RR 1.54; 95% CI 1.18–2.00; p=0.001</w:t>
            </w:r>
          </w:p>
        </w:tc>
      </w:tr>
      <w:tr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Mean time in CHR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60.9%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41.2%</w:t>
            </w:r>
          </w:p>
        </w:tc>
        <w:tc>
          <w:tcPr>
            <w:tcW w:type="dxa" w:w="2409"/>
          </w:tcPr>
          <w:p>
            <w:r>
              <w:rPr>
                <w:rFonts w:ascii="Calibri" w:hAnsi="Calibri"/>
                <w:sz w:val="18"/>
              </w:rPr>
              <w:t>p=0.04</w:t>
            </w:r>
          </w:p>
        </w:tc>
      </w:tr>
    </w:tbl>
    <w:p>
      <w:r/>
    </w:p>
    <w:p>
      <w:r/>
      <w:r>
        <w:rPr>
          <w:b/>
        </w:rPr>
        <w:t>Field rule:</w:t>
      </w:r>
      <w:r>
        <w:t xml:space="preserve"> Lead with </w:t>
      </w:r>
      <w:r>
        <w:rPr>
          <w:b/>
        </w:rPr>
        <w:t>54.5% vs 34.9% at 72 months</w:t>
      </w:r>
      <w:r>
        <w:t xml:space="preserve"> — this is the PI-aligned, lexicon-safe figure. If the physician is looking at the Piece B line graph (~70–80% range), explain it as the </w:t>
      </w:r>
      <w:r>
        <w:rPr>
          <w:b/>
        </w:rPr>
        <w:t>LOCF sensitivity</w:t>
      </w:r>
      <w:r>
        <w:t>, not the primary analysis. Do not say “about 80% of patients respond.”</w:t>
      </w:r>
      <w:r/>
    </w:p>
    <w:p>
      <w:r/>
      <w:r>
        <w:rPr>
          <w:b/>
        </w:rPr>
        <w:t>Titration honesty (HK PI):</w:t>
      </w:r>
      <w:r>
        <w:t xml:space="preserve"> mean titration ~3.7 months (ropeg) vs ~2.6 months (hydroxycarbamide). HU may be preferred when </w:t>
      </w:r>
      <w:r>
        <w:rPr>
          <w:b/>
        </w:rPr>
        <w:t>early</w:t>
      </w:r>
      <w:r>
        <w:t xml:space="preserve"> count reduction is needed to prevent thrombosis/bleeding. This is a clinical nuance, not an anti-product line.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9. Piece B — event-free survival (5 min)</w:t>
      </w:r>
      <w:r/>
    </w:p>
    <w:p>
      <w:r/>
      <w:r>
        <w:rPr>
          <w:b/>
        </w:rPr>
        <w:t>Poster:</w:t>
      </w:r>
      <w:r>
        <w:t xml:space="preserve"> significantly higher probability of EFS over ≥6 years; </w:t>
      </w:r>
      <w:r>
        <w:rPr>
          <w:b/>
        </w:rPr>
        <w:t>p=0.04</w:t>
      </w:r>
      <w:r>
        <w:t>.</w:t>
      </w:r>
      <w:r/>
    </w:p>
    <w:p>
      <w:r/>
      <w:r>
        <w:rPr>
          <w:b/>
        </w:rPr>
        <w:t>Named data (same CONTINUATION-PV analysis):</w:t>
      </w:r>
      <w:r/>
      <w:r/>
    </w:p>
    <w:p>
      <w:pPr>
        <w:pStyle w:val="ListBullet"/>
        <w:spacing w:line="240" w:lineRule="auto"/>
        <w:ind w:left="720"/>
      </w:pPr>
      <w:r/>
      <w:r>
        <w:t xml:space="preserve">EFS probability: </w:t>
      </w:r>
      <w:r>
        <w:rPr>
          <w:b/>
        </w:rPr>
        <w:t>0.94 vs 0.82</w:t>
      </w:r>
      <w:r>
        <w:t xml:space="preserve"> (log-rank p=0.04)</w:t>
      </w:r>
      <w:r/>
    </w:p>
    <w:p>
      <w:pPr>
        <w:pStyle w:val="ListBullet"/>
        <w:spacing w:line="240" w:lineRule="auto"/>
        <w:ind w:left="720"/>
      </w:pPr>
      <w:r/>
      <w:r>
        <w:t xml:space="preserve">HR </w:t>
      </w:r>
      <w:r>
        <w:rPr>
          <w:b/>
        </w:rPr>
        <w:t>0.34</w:t>
      </w:r>
      <w:r>
        <w:t xml:space="preserve"> (95% CI 0.12–0.97)</w:t>
      </w:r>
      <w:r/>
    </w:p>
    <w:p>
      <w:pPr>
        <w:pStyle w:val="ListBullet"/>
        <w:spacing w:line="240" w:lineRule="auto"/>
        <w:ind w:left="720"/>
      </w:pPr>
      <w:r/>
      <w:r>
        <w:t xml:space="preserve">First risk events: </w:t>
      </w:r>
      <w:r>
        <w:rPr>
          <w:b/>
        </w:rPr>
        <w:t>5/95 (5.3%)</w:t>
      </w:r>
      <w:r>
        <w:t xml:space="preserve"> BESREMi vs </w:t>
      </w:r>
      <w:r>
        <w:rPr>
          <w:b/>
        </w:rPr>
        <w:t>12/74 (16.2%)</w:t>
      </w:r>
      <w:r>
        <w:t xml:space="preserve"> control</w:t>
      </w:r>
      <w:r/>
    </w:p>
    <w:p>
      <w:pPr>
        <w:pStyle w:val="ListBullet"/>
        <w:spacing w:line="240" w:lineRule="auto"/>
        <w:ind w:left="720"/>
      </w:pPr>
      <w:r/>
      <w:r>
        <w:t xml:space="preserve">Events on the piece: disease progression, death, thromboembolic events </w:t>
      </w:r>
      <w:r/>
    </w:p>
    <w:p>
      <w:pPr>
        <w:pStyle w:val="ListBullet"/>
        <w:spacing w:line="240" w:lineRule="auto"/>
        <w:ind w:left="720"/>
      </w:pPr>
      <w:r/>
      <w:r>
        <w:t>Published first-event mix (for Medical Q&amp;A, not a promotional bar chart unless lexicon-approved): BESREMi — thrombosis 2, myelofibrosis 1, death 2; control — thrombosis 5, myelofibrosis 2, acute leukemia 2, death 3</w:t>
      </w:r>
      <w:r/>
      <w:r/>
    </w:p>
    <w:p>
      <w:r/>
      <w:r>
        <w:rPr>
          <w:b/>
        </w:rPr>
        <w:t>Do not</w:t>
      </w:r>
      <w:r>
        <w:t xml:space="preserve"> say “prevents death” or “prevents leukemia.” Say: “In this randomized long-term analysis, fewer patients on ropeginterferon experienced a first risk event, and EFS was higher (p=0.04).”</w:t>
      </w:r>
      <w:r/>
    </w:p>
    <w:p>
      <w:r/>
      <w:r>
        <w:rPr>
          <w:b/>
        </w:rPr>
        <w:t>Molecular (lexicon-optional, not on Piece B):</w:t>
      </w:r>
      <w:r>
        <w:t xml:space="preserve"> JAK2V617F molecular response 66.0% vs 19.4% at 6 years (p&lt;0.0001); median allele burden 8.5% vs 50.4%. Use only if the global lexicon and local Medical allow it in this module.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10. HK product box — what to prescribe (5 min)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D6E6E" w:val="clear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19"/>
            <w:shd w:fill="0D6E6E" w:val="clear"/>
          </w:tcPr>
          <w:p>
            <w:r>
              <w:rPr>
                <w:b/>
                <w:color w:val="FFFFFF"/>
                <w:sz w:val="18"/>
              </w:rPr>
              <w:t>HK PI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Product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Besremi® ropeginterferon alfa-2b, 500 mcg/mL prefilled syringe (1 mL), SC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Indication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 xml:space="preserve">Monotherapy in adults for PV </w:t>
            </w:r>
            <w:r>
              <w:rPr>
                <w:rFonts w:ascii="Calibri" w:hAnsi="Calibri"/>
                <w:b/>
                <w:sz w:val="18"/>
              </w:rPr>
              <w:t>without symptomatic splenomegaly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Start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100 mcg q2w (50 mcg if already on another cytoreductive)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Titration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+50 mcg every 2 weeks; taper the other cytoreductive in parallel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Targets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Hct &lt;45%; platelets &lt;400 × 10⁹/L; WBC &lt;10 × 10⁹/L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Max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500 mcg q2w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Maintenance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 xml:space="preserve">q2w for ≥1.5 years at stable dose; may extend to </w:t>
            </w:r>
            <w:r>
              <w:rPr>
                <w:rFonts w:ascii="Calibri" w:hAnsi="Calibri"/>
                <w:b/>
                <w:sz w:val="18"/>
              </w:rPr>
              <w:t>q4w</w:t>
            </w:r>
          </w:p>
        </w:tc>
      </w:tr>
    </w:tbl>
    <w:p>
      <w:r/>
    </w:p>
    <w:p>
      <w:r/>
      <w:r>
        <w:rPr>
          <w:b/>
        </w:rPr>
        <w:t>Key contraindications (abbreviate verbally; full list on leave-behind):</w:t>
      </w:r>
      <w:r>
        <w:t xml:space="preserve"> decompensated cirrhosis (Child-Pugh B/C); ESRD (GFR &lt;15); severe psychiatric history; severe uncontrolled CV disease; autoimmune disease; transplant immunosuppression; telbivudine combination; hypersensitivity. Excipient of known effect: benzyl alcohol 10 mg/mL.</w:t>
      </w:r>
      <w:r/>
    </w:p>
    <w:p>
      <w:r/>
      <w:r>
        <w:rPr>
          <w:b/>
        </w:rPr>
        <w:t>ADR:</w:t>
      </w:r>
      <w:r>
        <w:t xml:space="preserve"> suspected ADRs via Drug Office — http://www.drugoffice.gov.hk/adr.html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11. Access (field-only; not on HCP slide unless Medical-approved PSP wording exists)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Private now → HA Drug Formulary is the public-access goal.</w:t>
      </w:r>
      <w:r>
        <w:t xml:space="preserve"> Do not announce a listing date.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PSP:</w:t>
      </w:r>
      <w:r>
        <w:t xml:space="preserve"> Base Case (buy 5 get 1); Private Sector (buy 2 get 1, private only, first year, expires </w:t>
      </w:r>
      <w:r>
        <w:rPr>
          <w:b/>
        </w:rPr>
        <w:t>end 2026</w:t>
      </w:r>
      <w:r>
        <w:t xml:space="preserve">). Confirm current eligibility with market access </w:t>
      </w:r>
      <w:r>
        <w:rPr>
          <w:b/>
        </w:rPr>
        <w:t>before</w:t>
      </w:r>
      <w:r>
        <w:t xml:space="preserve"> quoting a physician.</w:t>
      </w:r>
      <w:r/>
    </w:p>
    <w:p>
      <w:pPr>
        <w:pStyle w:val="ListBullet"/>
        <w:spacing w:line="240" w:lineRule="auto"/>
        <w:ind w:left="720"/>
      </w:pPr>
      <w:r/>
      <w:r>
        <w:t xml:space="preserve">List price and PSP economics stay </w:t>
      </w:r>
      <w:r>
        <w:rPr>
          <w:b/>
        </w:rPr>
        <w:t>internal</w:t>
      </w:r>
      <w:r>
        <w:t>. Do not volunteer HK$ figures on a promotional slide.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12. Objection handling (10 min)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D6E6E" w:val="clear"/>
          </w:tcPr>
          <w:p>
            <w:r>
              <w:rPr>
                <w:b/>
                <w:color w:val="FFFFFF"/>
                <w:sz w:val="18"/>
              </w:rPr>
              <w:t>Physician says</w:t>
            </w:r>
          </w:p>
        </w:tc>
        <w:tc>
          <w:tcPr>
            <w:tcW w:type="dxa" w:w="4819"/>
            <w:shd w:fill="0D6E6E" w:val="clear"/>
          </w:tcPr>
          <w:p>
            <w:r>
              <w:rPr>
                <w:b/>
                <w:color w:val="FFFFFF"/>
                <w:sz w:val="18"/>
              </w:rPr>
              <w:t>Compliant response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“NCCN prefers ropeg in low-risk — so I should start everyone.”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 xml:space="preserve">NCCN is US context on </w:t>
            </w:r>
            <w:r>
              <w:rPr>
                <w:rFonts w:ascii="Calibri" w:hAnsi="Calibri"/>
                <w:sz w:val="18"/>
              </w:rPr>
              <w:t>PEC-BES-HK020126</w:t>
            </w:r>
            <w:r>
              <w:rPr>
                <w:rFonts w:ascii="Calibri" w:hAnsi="Calibri"/>
                <w:sz w:val="18"/>
              </w:rPr>
              <w:t xml:space="preserve"> . HK indication is adult PV </w:t>
            </w:r>
            <w:r>
              <w:rPr>
                <w:rFonts w:ascii="Calibri" w:hAnsi="Calibri"/>
                <w:b/>
                <w:sz w:val="18"/>
              </w:rPr>
              <w:t>without symptomatic splenomegaly</w:t>
            </w:r>
            <w:r>
              <w:rPr>
                <w:rFonts w:ascii="Calibri" w:hAnsi="Calibri"/>
                <w:sz w:val="18"/>
              </w:rPr>
              <w:t xml:space="preserve"> . Low-risk patients still need cytoreduction </w:t>
            </w:r>
            <w:r>
              <w:rPr>
                <w:rFonts w:ascii="Calibri" w:hAnsi="Calibri"/>
                <w:b/>
                <w:sz w:val="18"/>
              </w:rPr>
              <w:t>indications</w:t>
            </w:r>
            <w:r>
              <w:rPr>
                <w:rFonts w:ascii="Calibri" w:hAnsi="Calibri"/>
                <w:sz w:val="18"/>
              </w:rPr>
              <w:t xml:space="preserve"> (symptoms, phlebotomy intolerance, progressive counts, etc.).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“HU is cheaper and faster.”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Agree that HU often drops counts faster (PI: ~2.6 vs ~3.7 months titration). Then: CHR at 72 months 54.5% vs 34.9% (p=0.02) and EFS 0.94 vs 0.82 (p=0.04) in PROUD-PV / CONTINUATION-PV. Match the drug to the time horizon and the patient.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“Why is this so much more than Pegasys / China ropeg / traditional IFN?”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No head-to-head. PI forbids potency comparisons across the IFN class. Stay on PV evidence, q2w/q4w dosing, and named HU/phlebotomy data. Log the exchange.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“I want it for ET / MF.”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Not in HK PI. Reactive scientific exchange only; document in Veeva; do not leave Piece A’s ET/PMF columns as a mini-detail-aid.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“The poster shows ~80% CHR.”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 xml:space="preserve">That visual aligns with </w:t>
            </w:r>
            <w:r>
              <w:rPr>
                <w:rFonts w:ascii="Calibri" w:hAnsi="Calibri"/>
                <w:b/>
                <w:sz w:val="18"/>
              </w:rPr>
              <w:t>LOCF 72.6%</w:t>
            </w:r>
            <w:r>
              <w:rPr>
                <w:rFonts w:ascii="Calibri" w:hAnsi="Calibri"/>
                <w:sz w:val="18"/>
              </w:rPr>
              <w:t xml:space="preserve"> . Primary analysis (discontinued = non-responder) is </w:t>
            </w:r>
            <w:r>
              <w:rPr>
                <w:rFonts w:ascii="Calibri" w:hAnsi="Calibri"/>
                <w:b/>
                <w:sz w:val="18"/>
              </w:rPr>
              <w:t>54.5% vs 34.9%</w:t>
            </w:r>
            <w:r>
              <w:rPr>
                <w:rFonts w:ascii="Calibri" w:hAnsi="Calibri"/>
                <w:sz w:val="18"/>
              </w:rPr>
              <w:t xml:space="preserve"> . Use the primary number unless Medical has cleared the LOCF graph language.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“Will HA pay?”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Not listed as of this module. Private + PSP bridge. Formulary is the company milestone — no promised date.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Knowledge check (pass = all five)</w:t>
      </w:r>
      <w:r/>
      <w:r/>
    </w:p>
    <w:p>
      <w:pPr>
        <w:pStyle w:val="ListNumber"/>
        <w:spacing w:line="240" w:lineRule="auto"/>
        <w:ind w:left="720"/>
      </w:pPr>
      <w:r/>
      <w:r>
        <w:t xml:space="preserve">HK indication in one sentence? </w:t>
      </w:r>
      <w:r/>
    </w:p>
    <w:p>
      <w:pPr>
        <w:pStyle w:val="ListNumber"/>
        <w:spacing w:line="240" w:lineRule="auto"/>
        <w:ind w:left="720"/>
      </w:pPr>
      <w:r/>
      <w:r>
        <w:t xml:space="preserve">Who is low-risk PV on Piece A? </w:t>
      </w:r>
      <w:r/>
    </w:p>
    <w:p>
      <w:pPr>
        <w:pStyle w:val="ListNumber"/>
        <w:spacing w:line="240" w:lineRule="auto"/>
        <w:ind w:left="720"/>
      </w:pPr>
      <w:r/>
      <w:r>
        <w:t xml:space="preserve">Primary CHR at 72 months vs control, with p-value? </w:t>
      </w:r>
      <w:r/>
    </w:p>
    <w:p>
      <w:pPr>
        <w:pStyle w:val="ListNumber"/>
        <w:spacing w:line="240" w:lineRule="auto"/>
        <w:ind w:left="720"/>
      </w:pPr>
      <w:r/>
      <w:r>
        <w:t xml:space="preserve">EFS probabilities and p-value? </w:t>
      </w:r>
      <w:r/>
    </w:p>
    <w:p>
      <w:pPr>
        <w:pStyle w:val="ListNumber"/>
        <w:spacing w:line="240" w:lineRule="auto"/>
        <w:ind w:left="720"/>
      </w:pPr>
      <w:r/>
      <w:r>
        <w:t>What is forbidden when a physician asks about Pegasys?</w:t>
      </w:r>
      <w:r/>
      <w:r/>
    </w:p>
    <w:p>
      <w:r/>
      <w:r>
        <w:rPr>
          <w:b/>
        </w:rPr>
        <w:t>Answers:</w:t>
      </w:r>
      <w:r>
        <w:t xml:space="preserve"> (1) Adult monotherapy for PV without symptomatic splenomegaly. (2) Age &lt;60 </w:t>
      </w:r>
      <w:r>
        <w:rPr>
          <w:b/>
        </w:rPr>
        <w:t>and</w:t>
      </w:r>
      <w:r>
        <w:t xml:space="preserve"> no thrombosis history. (3) 54.5% vs 34.9%, p=0.02. (4) 0.94 vs 0.82, p=0.04. (5) IFN-to-IFN superiority / potency comparison.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Abbreviated PI block (required on HCP-facing leave-behinds)</w:t>
      </w:r>
      <w:r/>
    </w:p>
    <w:p>
      <w:r/>
      <w:r>
        <w:rPr>
          <w:b/>
        </w:rPr>
        <w:t>Besremi® (ropeginterferon alfa-2b)</w:t>
      </w:r>
      <w:r>
        <w:t xml:space="preserve"> solution for injection, 500 mcg/mL prefilled syringe.</w:t>
        <w:br/>
      </w:r>
      <w:r/>
      <w:r>
        <w:rPr>
          <w:b/>
        </w:rPr>
        <w:t>Indication (HK):</w:t>
      </w:r>
      <w:r>
        <w:t xml:space="preserve"> monotherapy in adults for polycythaemia vera without symptomatic splenomegaly.</w:t>
        <w:br/>
      </w:r>
      <w:r/>
      <w:r>
        <w:rPr>
          <w:b/>
        </w:rPr>
        <w:t>Dosage:</w:t>
      </w:r>
      <w:r>
        <w:t xml:space="preserve"> start 100 mcg SC q2w (50 mcg if switching from other cytoreductive); increase by 50 mcg q2w to hematologic targets; max 500 mcg q2w; may extend to q4w after ≥1.5 years stable.</w:t>
        <w:br/>
      </w:r>
      <w:r/>
      <w:r>
        <w:rPr>
          <w:b/>
        </w:rPr>
        <w:t>Contraindications:</w:t>
      </w:r>
      <w:r>
        <w:t xml:space="preserve"> include decompensated cirrhosis, ESRD GFR &lt;15, severe psychiatric disease, severe uncontrolled CV disease, autoimmune disease, immunosuppression after transplant, telbivudine, hypersensitivity.</w:t>
        <w:br/>
      </w:r>
      <w:r/>
      <w:r>
        <w:rPr>
          <w:b/>
        </w:rPr>
        <w:t>Undesirable effects:</w:t>
      </w:r>
      <w:r>
        <w:t xml:space="preserve"> interferon-class effects (influenza-like symptoms, liver enzyme elevation, cytopenias, psychiatric, autoimmune, ischemic) — see full PI.</w:t>
        <w:br/>
      </w:r>
      <w:r/>
      <w:r>
        <w:rPr>
          <w:b/>
        </w:rPr>
        <w:t>ADR reporting:</w:t>
      </w:r>
      <w:r>
        <w:t xml:space="preserve"> http://www.drugoffice.gov.hk/adr.html</w:t>
        <w:br/>
      </w:r>
      <w:r/>
      <w:r>
        <w:rPr>
          <w:b/>
        </w:rPr>
        <w:t>Approval / PI date:</w:t>
      </w:r>
      <w:r>
        <w:t xml:space="preserve"> insert current HK registered PI date before print.</w:t>
        <w:br/>
      </w:r>
      <w:r/>
      <w:r>
        <w:rPr>
          <w:i/>
        </w:rPr>
        <w:t>This training module is not the PI. Always refer to the current Hong Kong package insert.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HA formulary impact</w:t>
      </w:r>
      <w:r/>
    </w:p>
    <w:p>
      <w:r/>
      <w:r>
        <w:t xml:space="preserve">A certified, lexicon-aligned physician narrative (CHR + EFS vs HU, disease-modification goals, honest titration) is the same evidence spine as the HA dossier. Misuse of NCCN “preferred” or HU scare statistics in the private market creates a </w:t>
      </w:r>
      <w:r>
        <w:rPr>
          <w:b/>
        </w:rPr>
        <w:t>compliance and credibility risk</w:t>
      </w:r>
      <w:r>
        <w:t xml:space="preserve"> that can follow the brand into formulary Q&amp;A. Keep private-market talk-tracks identical in substance to what Medical will defend at HA.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PSP reminder</w:t>
      </w:r>
      <w:r/>
    </w:p>
    <w:p>
      <w:r/>
      <w:r>
        <w:t xml:space="preserve">Quote only live programs: Base Case (buy 5 get 1) and Private Sector (buy 2 get 1, private, first year, </w:t>
      </w:r>
      <w:r>
        <w:rPr>
          <w:b/>
        </w:rPr>
        <w:t>ends 2026</w:t>
      </w:r>
      <w:r>
        <w:t>). Re-confirm with market access before each HCP conversation as the 2026 expiry approaches.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Assumptions</w:t>
      </w:r>
      <w:r/>
      <w:r/>
    </w:p>
    <w:p>
      <w:pPr>
        <w:pStyle w:val="ListBullet"/>
        <w:spacing w:line="240" w:lineRule="auto"/>
        <w:ind w:left="720"/>
      </w:pPr>
      <w:r/>
      <w:r>
        <w:t>~500 PV patients in HK (planning figure in role memory).</w:t>
      </w:r>
      <w:r/>
    </w:p>
    <w:p>
      <w:pPr>
        <w:pStyle w:val="ListBullet"/>
        <w:spacing w:line="240" w:lineRule="auto"/>
        <w:ind w:left="720"/>
      </w:pPr>
      <w:r/>
      <w:r>
        <w:t xml:space="preserve">Pieces A and B are the attached approved-style artworks; Piece B reference code </w:t>
      </w:r>
      <w:r>
        <w:rPr>
          <w:rFonts w:ascii="Courier" w:hAnsi="Courier"/>
        </w:rPr>
        <w:t>PEC-BES-HK020126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Global lexicon still permits named PROUD-PV / CONTINUATION-PV CHR and EFS claims vs HU/BAT.</w:t>
      </w:r>
      <w:r/>
    </w:p>
    <w:p>
      <w:pPr>
        <w:pStyle w:val="ListBullet"/>
        <w:spacing w:line="240" w:lineRule="auto"/>
        <w:ind w:left="720"/>
      </w:pPr>
      <w:r/>
      <w:r>
        <w:t xml:space="preserve">NCCN language on Piece B has already been artwork-approved for HK scientific use; this module does </w:t>
      </w:r>
      <w:r>
        <w:rPr>
          <w:b/>
        </w:rPr>
        <w:t>not</w:t>
      </w:r>
      <w:r>
        <w:t xml:space="preserve"> newly adopt NCCN as a local claim.</w:t>
      </w:r>
      <w:r/>
      <w:r/>
    </w:p>
    <w:p>
      <w:pPr>
        <w:pStyle w:val="Heading2"/>
      </w:pPr>
      <w:r>
        <w:t>Risks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Compliance:</w:t>
      </w:r>
      <w:r>
        <w:t xml:space="preserve"> NCCN “preferred,” HU 10-year mortality/MF percentages, and the CHR line graph can all over-claim if the field paraphrases them. Mitigant: primary 54.5% + EFS p=0.04 as the only comparative headlines; posters as visual support with footnotes.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Off-label drift:</w:t>
      </w:r>
      <w:r>
        <w:t xml:space="preserve"> Piece A’s ET/PMF columns invite “do you have data in ET?” Mitigant: 80/20 PV time split; reactive-only script.</w:t>
      </w:r>
      <w:r/>
      <w:r/>
    </w:p>
    <w:p>
      <w:pPr>
        <w:pStyle w:val="Heading2"/>
      </w:pPr>
      <w:r>
        <w:t>Next actions (role owners)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0D6E6E" w:val="clear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4819"/>
            <w:shd w:fill="0D6E6E" w:val="clear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Clear this module + Piece A/B talk-tracks vs current global lexicon and HK PI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Medical / Regulatory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HKAPI/UMAO review of HCP slide HTML and any printed leave-behind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Legal / Compliance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Insert current PI approval date into abbreviated PI block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PM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Field certification (knowledge check) before first use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PM + sales lead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Confirm PSP scripts still match live terms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Market access / finance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 xml:space="preserve">Do </w:t>
            </w:r>
            <w:r>
              <w:rPr>
                <w:rFonts w:ascii="Calibri" w:hAnsi="Calibri"/>
                <w:b/>
                <w:sz w:val="18"/>
              </w:rPr>
              <w:t>not</w:t>
            </w:r>
            <w:r>
              <w:rPr>
                <w:rFonts w:ascii="Calibri" w:hAnsi="Calibri"/>
                <w:sz w:val="18"/>
              </w:rPr>
              <w:t xml:space="preserve"> add ET/MF efficacy slides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sz w:val="18"/>
              </w:rPr>
              <w:t>All</w:t>
            </w:r>
          </w:p>
        </w:tc>
      </w:tr>
    </w:tbl>
    <w:p>
      <w:r/>
    </w:p>
    <w:p>
      <w:pPr>
        <w:pStyle w:val="Heading2"/>
      </w:pPr>
      <w:r>
        <w:t>References (training, not a promotional footnote block)</w:t>
      </w:r>
      <w:r/>
      <w:r/>
    </w:p>
    <w:p>
      <w:pPr>
        <w:pStyle w:val="ListBullet"/>
        <w:spacing w:line="240" w:lineRule="auto"/>
        <w:ind w:left="720"/>
      </w:pPr>
      <w:r/>
      <w:r>
        <w:t xml:space="preserve">Piece B artwork </w:t>
      </w:r>
      <w:r>
        <w:rPr>
          <w:rFonts w:ascii="Courier" w:hAnsi="Courier"/>
        </w:rPr>
        <w:t>PEC-BES-HK020126</w:t>
      </w:r>
      <w:r>
        <w:t xml:space="preserve"> (NCCN pathway, HU long-term rates, CHR/EFS visuals)</w:t>
      </w:r>
      <w:r/>
    </w:p>
    <w:p>
      <w:pPr>
        <w:pStyle w:val="ListBullet"/>
        <w:spacing w:line="240" w:lineRule="auto"/>
        <w:ind w:left="720"/>
      </w:pPr>
      <w:r/>
      <w:r>
        <w:t xml:space="preserve">Gisslinger H, et al. </w:t>
      </w:r>
      <w:r>
        <w:rPr>
          <w:i/>
        </w:rPr>
        <w:t>Leukemia</w:t>
      </w:r>
      <w:r>
        <w:t>. 2023. PROUD-PV / CONTINUATION-PV EFS and CHR (including LOCF sensitivity)</w:t>
      </w:r>
      <w:r/>
    </w:p>
    <w:p>
      <w:pPr>
        <w:pStyle w:val="ListBullet"/>
        <w:spacing w:line="240" w:lineRule="auto"/>
        <w:ind w:left="720"/>
      </w:pPr>
      <w:r/>
      <w:r>
        <w:t xml:space="preserve">HK PI — Besremi (see </w:t>
      </w:r>
      <w:r>
        <w:rPr>
          <w:rFonts w:ascii="Courier" w:hAnsi="Courier"/>
        </w:rPr>
        <w:t>besremi-hk-pi-summary.md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t>NCCN Guidelines — Myeloproliferative Neoplasms (US; as depicted on Piece B)</w:t>
      </w:r>
      <w:r/>
    </w:p>
    <w:p>
      <w:pPr>
        <w:pStyle w:val="ListBullet"/>
        <w:spacing w:line="240" w:lineRule="auto"/>
        <w:ind w:left="720"/>
      </w:pPr>
      <w:r/>
      <w:r>
        <w:t>WHO 2016 PV diagnostic criteria (as depicted on Piece A)</w:t>
      </w:r>
      <w:r/>
    </w:p>
    <w:p>
      <w:pPr>
        <w:pStyle w:val="ListBullet"/>
        <w:spacing w:line="240" w:lineRule="auto"/>
        <w:ind w:left="720"/>
      </w:pPr>
      <w:r/>
      <w:r>
        <w:t>HKAPI Code of Practice 21st ed. §§3.5, 4, 5; UMAO Cap. 231</w:t>
      </w:r>
      <w:r/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color w:val="5A6577"/>
        <w:sz w:val="16"/>
      </w:rPr>
      <w:t xml:space="preserve">PharmaEssentia Asia (Hong Kong) Limited  ·  PEC-BES-HK020126  ·  Sensitivity: Mid  ·  Page </w:t>
    </w:r>
    <w:r>
      <w:rPr>
        <w:rFonts w:ascii="Calibri" w:hAnsi="Calibri" w:eastAsia="Calibri"/>
        <w:color w:val="5A6577"/>
        <w:sz w:val="16"/>
      </w:rPr>
      <w:fldChar w:fldCharType="begin"/>
    </w:r>
    <w:r>
      <w:rPr>
        <w:rFonts w:ascii="Calibri" w:hAnsi="Calibri" w:eastAsia="Calibri"/>
        <w:color w:val="5A6577"/>
        <w:sz w:val="16"/>
      </w:rPr>
      <w:instrText xml:space="preserve"> PAGE </w:instrText>
    </w:r>
    <w:r>
      <w:rPr>
        <w:rFonts w:ascii="Calibri" w:hAnsi="Calibri" w:eastAsia="Calibri"/>
        <w:color w:val="5A6577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E07A2F"/>
        <w:sz w:val="18"/>
      </w:rPr>
      <w:t>DRAFT — BESREMi physician product training (HK) — not for field use until Medical / Compliance clearance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3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physician-product-training.md" TargetMode="External"/><Relationship Id="rId12" Type="http://schemas.openxmlformats.org/officeDocument/2006/relationships/hyperlink" Target="physician-product-training.docx" TargetMode="External"/><Relationship Id="rId13" Type="http://schemas.openxmlformats.org/officeDocument/2006/relationships/hyperlink" Target="physician-product-training-compliance.md" TargetMode="External"/><Relationship Id="rId14" Type="http://schemas.openxmlformats.org/officeDocument/2006/relationships/hyperlink" Target="physician-product-training-slides.html" TargetMode="External"/><Relationship Id="rId15" Type="http://schemas.openxmlformats.org/officeDocument/2006/relationships/hyperlink" Target="https://www.canva.com/d/bp9GpvLL8cxB5m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