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JhengHei"/>
          <w:b/>
          <w:color w:val="0B6E6E"/>
          <w:sz w:val="20"/>
        </w:rPr>
        <w:t>MPNicare ｜ 藥華醫藥香港</w:t>
      </w:r>
    </w:p>
    <w:p>
      <w:r>
        <w:rPr>
          <w:rFonts w:ascii="Calibri" w:hAnsi="Calibri" w:eastAsia="Microsoft JhengHei"/>
          <w:b/>
          <w:color w:val="12353A"/>
          <w:sz w:val="40"/>
        </w:rPr>
        <w:t>Terms of use and privacy policy — English rewrite (legal review draft)</w:t>
      </w:r>
    </w:p>
    <w:p>
      <w:pPr>
        <w:spacing w:after="160"/>
      </w:pPr>
      <w:r>
        <w:rPr>
          <w:rFonts w:ascii="Calibri" w:hAnsi="Calibri" w:eastAsia="Microsoft JhengHei"/>
          <w:b w:val="0"/>
          <w:sz w:val="22"/>
        </w:rPr>
        <w:t>Replace the live /en terms page. Do not keep Taiwan PDPA Arts. 3, 10 and 11, “Medical sexual information”, or broken company names. Rewrite under Hong Kong Cap. 486. Do not publish until Legal signs off.</w:t>
      </w:r>
    </w:p>
    <w:p>
      <w:pPr>
        <w:spacing w:after="160"/>
      </w:pPr>
      <w:r>
        <w:rPr>
          <w:rFonts w:ascii="Calibri" w:hAnsi="Calibri" w:eastAsia="Microsoft JhengHei"/>
          <w:b w:val="0"/>
          <w:sz w:val="20"/>
        </w:rPr>
        <w:t>日期：2026年9月2日  ·  敏感度：低（公開病人教育網站）  ·  狀態：建議用語／法律審閱草稿</w:t>
      </w:r>
    </w:p>
    <w:p>
      <w:pPr>
        <w:pStyle w:val="Heading1"/>
      </w:pPr>
      <w:r>
        <w:rPr>
          <w:rFonts w:ascii="Calibri" w:hAnsi="Calibri" w:eastAsia="Microsoft JhengHei"/>
          <w:b/>
          <w:color w:val="12353A"/>
          <w:sz w:val="32"/>
        </w:rPr>
        <w:t>1. 現有 /en 必須刪除</w:t>
      </w:r>
    </w:p>
    <w:tbl>
      <w:tblPr>
        <w:tblStyle w:val="TableGrid"/>
        <w:tblW w:type="auto" w:w="0"/>
        <w:jc w:val="center"/>
        <w:tblLook w:firstColumn="1" w:firstRow="1" w:lastColumn="0" w:lastRow="0" w:noHBand="0" w:noVBand="1" w:val="04A0"/>
      </w:tblPr>
      <w:tblGrid>
        <w:gridCol w:w="4986"/>
        <w:gridCol w:w="4986"/>
      </w:tblGrid>
      <w:tr>
        <w:tc>
          <w:tcPr>
            <w:tcW w:type="dxa" w:w="4819"/>
            <w:shd w:fill="12353A"/>
          </w:tcPr>
          <w:p>
            <w:r/>
            <w:r>
              <w:rPr>
                <w:rFonts w:ascii="Calibri" w:hAnsi="Calibri" w:eastAsia="Microsoft JhengHei"/>
                <w:b/>
                <w:color w:val="FFFFFF"/>
                <w:sz w:val="20"/>
              </w:rPr>
              <w:t>現有 Google 翻譯</w:t>
            </w:r>
          </w:p>
        </w:tc>
        <w:tc>
          <w:tcPr>
            <w:tcW w:type="dxa" w:w="4819"/>
            <w:shd w:fill="12353A"/>
          </w:tcPr>
          <w:p>
            <w:r/>
            <w:r>
              <w:rPr>
                <w:rFonts w:ascii="Calibri" w:hAnsi="Calibri" w:eastAsia="Microsoft JhengHei"/>
                <w:b/>
                <w:color w:val="FFFFFF"/>
                <w:sz w:val="20"/>
              </w:rPr>
              <w:t>建議</w:t>
            </w:r>
          </w:p>
        </w:tc>
      </w:tr>
      <w:tr>
        <w:tc>
          <w:tcPr>
            <w:tcW w:type="dxa" w:w="4819"/>
          </w:tcPr>
          <w:p>
            <w:r/>
            <w:r>
              <w:rPr>
                <w:rFonts w:ascii="Calibri" w:hAnsi="Calibri" w:eastAsia="Microsoft JhengHei"/>
                <w:b w:val="0"/>
                <w:sz w:val="20"/>
              </w:rPr>
              <w:t>Medical sexual information</w:t>
            </w:r>
          </w:p>
        </w:tc>
        <w:tc>
          <w:tcPr>
            <w:tcW w:type="dxa" w:w="4819"/>
          </w:tcPr>
          <w:p>
            <w:r/>
            <w:r>
              <w:rPr>
                <w:rFonts w:ascii="Calibri" w:hAnsi="Calibri" w:eastAsia="Microsoft JhengHei"/>
                <w:b w:val="0"/>
                <w:sz w:val="20"/>
              </w:rPr>
              <w:t>Medical information</w:t>
            </w:r>
          </w:p>
        </w:tc>
      </w:tr>
      <w:tr>
        <w:tc>
          <w:tcPr>
            <w:tcW w:type="dxa" w:w="4819"/>
          </w:tcPr>
          <w:p>
            <w:r/>
            <w:r>
              <w:rPr>
                <w:rFonts w:ascii="Calibri" w:hAnsi="Calibri" w:eastAsia="Microsoft JhengHei"/>
                <w:b w:val="0"/>
                <w:sz w:val="20"/>
              </w:rPr>
              <w:t>PharmaEssence / PharmaEssential / PharmaEs / PharmaWorld / Yaohua Pharmaceutical / PharmaEssentials</w:t>
            </w:r>
          </w:p>
        </w:tc>
        <w:tc>
          <w:tcPr>
            <w:tcW w:type="dxa" w:w="4819"/>
          </w:tcPr>
          <w:p>
            <w:r/>
            <w:r>
              <w:rPr>
                <w:rFonts w:ascii="Calibri" w:hAnsi="Calibri" w:eastAsia="Microsoft JhengHei"/>
                <w:b w:val="0"/>
                <w:sz w:val="20"/>
              </w:rPr>
              <w:t>PharmaEssentia</w:t>
            </w:r>
          </w:p>
        </w:tc>
      </w:tr>
      <w:tr>
        <w:tc>
          <w:tcPr>
            <w:tcW w:type="dxa" w:w="4819"/>
          </w:tcPr>
          <w:p>
            <w:r/>
            <w:r>
              <w:rPr>
                <w:rFonts w:ascii="Calibri" w:hAnsi="Calibri" w:eastAsia="Microsoft JhengHei"/>
                <w:b w:val="0"/>
                <w:sz w:val="20"/>
              </w:rPr>
              <w:t>Articles 3, 10 and 11 of the Personal Data Protection Act</w:t>
            </w:r>
          </w:p>
        </w:tc>
        <w:tc>
          <w:tcPr>
            <w:tcW w:type="dxa" w:w="4819"/>
          </w:tcPr>
          <w:p>
            <w:r/>
            <w:r>
              <w:rPr>
                <w:rFonts w:ascii="Calibri" w:hAnsi="Calibri" w:eastAsia="Microsoft JhengHei"/>
                <w:b w:val="0"/>
                <w:sz w:val="20"/>
              </w:rPr>
              <w:t>Personal Data (Privacy) Ordinance (Cap. 486) — access s.18; correction s.22; refusal s.20 / s.24; fee s.28</w:t>
            </w:r>
          </w:p>
        </w:tc>
      </w:tr>
      <w:tr>
        <w:tc>
          <w:tcPr>
            <w:tcW w:type="dxa" w:w="4819"/>
          </w:tcPr>
          <w:p>
            <w:r/>
            <w:r>
              <w:rPr>
                <w:rFonts w:ascii="Calibri" w:hAnsi="Calibri" w:eastAsia="Microsoft JhengHei"/>
                <w:b w:val="0"/>
                <w:sz w:val="20"/>
              </w:rPr>
              <w:t>Collective/cluster data</w:t>
            </w:r>
          </w:p>
        </w:tc>
        <w:tc>
          <w:tcPr>
            <w:tcW w:type="dxa" w:w="4819"/>
          </w:tcPr>
          <w:p>
            <w:r/>
            <w:r>
              <w:rPr>
                <w:rFonts w:ascii="Calibri" w:hAnsi="Calibri" w:eastAsia="Microsoft JhengHei"/>
                <w:b w:val="0"/>
                <w:sz w:val="20"/>
              </w:rPr>
              <w:t>可簡寫為 aggregated / cookie data，或併入 cookies 段</w:t>
            </w:r>
          </w:p>
        </w:tc>
      </w:tr>
    </w:tbl>
    <w:p/>
    <w:p>
      <w:pPr>
        <w:pStyle w:val="Heading1"/>
      </w:pPr>
      <w:r>
        <w:rPr>
          <w:rFonts w:ascii="Calibri" w:hAnsi="Calibri" w:eastAsia="Microsoft JhengHei"/>
          <w:b/>
          <w:color w:val="12353A"/>
          <w:sz w:val="32"/>
        </w:rPr>
        <w:t>2. Draft English page</w:t>
      </w:r>
    </w:p>
    <w:p>
      <w:pPr>
        <w:spacing w:after="160"/>
      </w:pPr>
      <w:r>
        <w:rPr>
          <w:rFonts w:ascii="Calibri" w:hAnsi="Calibri" w:eastAsia="Microsoft JhengHei"/>
          <w:b w:val="0"/>
          <w:sz w:val="22"/>
        </w:rPr>
        <w:t>This website is operated by PharmaEssentia Corporation (referred to below as “PharmaEssentia”). Please read these terms carefully. They explain how you may use the site and how we handle personal data.</w:t>
      </w:r>
    </w:p>
    <w:p>
      <w:pPr>
        <w:spacing w:after="160"/>
      </w:pPr>
      <w:r>
        <w:rPr>
          <w:rFonts w:ascii="Calibri" w:hAnsi="Calibri" w:eastAsia="Microsoft JhengHei"/>
          <w:b/>
          <w:sz w:val="24"/>
        </w:rPr>
        <w:t>General information</w:t>
      </w:r>
    </w:p>
    <w:p>
      <w:pPr>
        <w:spacing w:after="160"/>
      </w:pPr>
      <w:r>
        <w:rPr>
          <w:rFonts w:ascii="Calibri" w:hAnsi="Calibri" w:eastAsia="Microsoft JhengHei"/>
          <w:b w:val="0"/>
          <w:sz w:val="22"/>
        </w:rPr>
        <w:t>Your access to or use of this website is governed by these terms and all applicable laws. By browsing the site, you accept these terms without limitation. They replace any earlier agreement between you and PharmaEssentia about this website.</w:t>
      </w:r>
    </w:p>
    <w:p>
      <w:pPr>
        <w:spacing w:after="160"/>
      </w:pPr>
      <w:r>
        <w:rPr>
          <w:rFonts w:ascii="Calibri" w:hAnsi="Calibri" w:eastAsia="Microsoft JhengHei"/>
          <w:b/>
          <w:sz w:val="24"/>
        </w:rPr>
        <w:t>Medical information</w:t>
      </w:r>
    </w:p>
    <w:p>
      <w:pPr>
        <w:spacing w:after="160"/>
      </w:pPr>
      <w:r>
        <w:rPr>
          <w:rFonts w:ascii="Calibri" w:hAnsi="Calibri" w:eastAsia="Microsoft JhengHei"/>
          <w:b w:val="0"/>
          <w:sz w:val="22"/>
        </w:rPr>
        <w:t>Medical content on this website is for scientific information and patient education only. Medical science changes quickly, so we cannot guarantee that every item is complete or current. For diagnosis, medication, or treatment, please consult your doctor or nurse. This website does not give medical advice.</w:t>
      </w:r>
    </w:p>
    <w:p>
      <w:pPr>
        <w:spacing w:after="160"/>
      </w:pPr>
      <w:r>
        <w:rPr>
          <w:rFonts w:ascii="Calibri" w:hAnsi="Calibri" w:eastAsia="Microsoft JhengHei"/>
          <w:b/>
          <w:sz w:val="24"/>
        </w:rPr>
        <w:t>Privacy policy (Hong Kong)</w:t>
      </w:r>
    </w:p>
    <w:p>
      <w:pPr>
        <w:spacing w:after="160"/>
      </w:pPr>
      <w:r>
        <w:rPr>
          <w:rFonts w:ascii="Calibri" w:hAnsi="Calibri" w:eastAsia="Microsoft JhengHei"/>
          <w:b w:val="0"/>
          <w:sz w:val="22"/>
        </w:rPr>
        <w:t>PharmaEssentia respects your privacy and handles personal data in line with the data protection principles of the Personal Data (Privacy) Ordinance (Cap. 486) (the “Ordinance”).</w:t>
      </w:r>
    </w:p>
    <w:p>
      <w:pPr>
        <w:spacing w:after="160"/>
      </w:pPr>
      <w:r>
        <w:rPr>
          <w:rFonts w:ascii="Calibri" w:hAnsi="Calibri" w:eastAsia="Microsoft JhengHei"/>
          <w:b w:val="0"/>
          <w:sz w:val="22"/>
        </w:rPr>
        <w:t>You may make a data access request (section 18) and a data correction request (section 22). We will reply within the time allowed by the Ordinance. We may refuse a request in the cases listed in sections 20 and 24, and may charge a fee that does not exceed direct cost (section 28).</w:t>
      </w:r>
    </w:p>
    <w:p>
      <w:pPr>
        <w:spacing w:after="160"/>
      </w:pPr>
      <w:r>
        <w:rPr>
          <w:rFonts w:ascii="Calibri" w:hAnsi="Calibri" w:eastAsia="Microsoft JhengHei"/>
          <w:b w:val="0"/>
          <w:sz w:val="22"/>
        </w:rPr>
        <w:t>The Ordinance does not give the same general statutory right to deletion as Article 3 of Taiwan’s Personal Data Protection Act. We still delete or stop using personal data when we no longer need it. You may also opt out of communications.</w:t>
      </w:r>
    </w:p>
    <w:p>
      <w:pPr>
        <w:spacing w:after="160"/>
      </w:pPr>
      <w:r>
        <w:rPr>
          <w:rFonts w:ascii="Calibri" w:hAnsi="Calibri" w:eastAsia="Microsoft JhengHei"/>
          <w:b/>
          <w:sz w:val="24"/>
        </w:rPr>
        <w:t>How we use personal data</w:t>
      </w:r>
    </w:p>
    <w:p>
      <w:pPr>
        <w:spacing w:after="160"/>
      </w:pPr>
      <w:r>
        <w:rPr>
          <w:rFonts w:ascii="Calibri" w:hAnsi="Calibri" w:eastAsia="Microsoft JhengHei"/>
          <w:b w:val="0"/>
          <w:sz w:val="22"/>
        </w:rPr>
        <w:t>We collect your name, address, telephone number, email address, or other identifying information only when you choose to give it. We may use it for reasonable business purposes, including contact by messaging apps or updates, and for statistics that do not identify you. Data may be sent to PharmaEssentia affiliates in other countries. We will not sell or rent personal data unless we tell you first and you give clear consent.</w:t>
      </w:r>
    </w:p>
    <w:p>
      <w:pPr>
        <w:spacing w:after="160"/>
      </w:pPr>
      <w:r>
        <w:rPr>
          <w:rFonts w:ascii="Calibri" w:hAnsi="Calibri" w:eastAsia="Microsoft JhengHei"/>
          <w:b w:val="0"/>
          <w:sz w:val="22"/>
        </w:rPr>
        <w:t>Please contact us: sales@museshc.com</w:t>
      </w:r>
    </w:p>
    <w:p>
      <w:pPr>
        <w:pStyle w:val="Heading1"/>
      </w:pPr>
      <w:r>
        <w:rPr>
          <w:rFonts w:ascii="Calibri" w:hAnsi="Calibri" w:eastAsia="Microsoft JhengHei"/>
          <w:b/>
          <w:color w:val="12353A"/>
          <w:sz w:val="32"/>
        </w:rPr>
        <w:t>3. 法務要點</w:t>
      </w:r>
    </w:p>
    <w:p>
      <w:pPr>
        <w:spacing w:after="160"/>
      </w:pPr>
      <w:r>
        <w:rPr>
          <w:rFonts w:ascii="Calibri" w:hAnsi="Calibri" w:eastAsia="Microsoft JhengHei"/>
          <w:b w:val="0"/>
          <w:sz w:val="22"/>
        </w:rPr>
        <w:t>• 核對第486章查閱／改正／拒絕／費用條文及私隱專員公署指引。</w:t>
      </w:r>
    </w:p>
    <w:p>
      <w:pPr>
        <w:spacing w:after="160"/>
      </w:pPr>
      <w:r>
        <w:rPr>
          <w:rFonts w:ascii="Calibri" w:hAnsi="Calibri" w:eastAsia="Microsoft JhengHei"/>
          <w:b w:val="0"/>
          <w:sz w:val="22"/>
        </w:rPr>
        <w:t>• 公司英文法定名稱以公司註冊為準（PharmaEssentia Corporation / PharmaEssentia 藥華醫藥）。</w:t>
      </w:r>
    </w:p>
    <w:p>
      <w:pPr>
        <w:spacing w:after="160"/>
      </w:pPr>
      <w:r>
        <w:rPr>
          <w:rFonts w:ascii="Calibri" w:hAnsi="Calibri" w:eastAsia="Microsoft JhengHei"/>
          <w:b w:val="0"/>
          <w:sz w:val="22"/>
        </w:rPr>
        <w:t>• 法務簽署前不得上線。</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