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0B6E6E"/>
          <w:sz w:val="20"/>
        </w:rPr>
        <w:t>MPNicare ｜ 藥華醫藥香港</w:t>
      </w:r>
    </w:p>
    <w:p>
      <w:r>
        <w:rPr>
          <w:rFonts w:ascii="Calibri" w:hAnsi="Calibri" w:eastAsia="Microsoft JhengHei"/>
          <w:b/>
          <w:color w:val="12353A"/>
          <w:sz w:val="40"/>
        </w:rPr>
        <w:t>使用條款與私隱政策——香港重寫稿（法律審閱草稿）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不是把台灣《個人資料保護法》第3、10、11條逐字替換。須按香港法例第486章重寫。法務簽署前不得上線。</w:t>
      </w:r>
    </w:p>
    <w:p>
      <w:pPr>
        <w:spacing w:after="160"/>
      </w:pPr>
      <w:r>
        <w:rPr>
          <w:rFonts w:ascii="Calibri" w:hAnsi="Calibri" w:eastAsia="Microsoft JhengHei"/>
          <w:b w:val="0"/>
          <w:sz w:val="20"/>
        </w:rPr>
        <w:t>日期：2026年8月21日  ·  敏感度：低（公開病人教育網站）  ·  狀態：實作規格／法律審閱草稿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1. 現有頁面對照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現有用字（不要保留）</w:t>
            </w:r>
          </w:p>
        </w:tc>
        <w:tc>
          <w:tcPr>
            <w:tcW w:type="dxa" w:w="5102"/>
            <w:shd w:fill="12353A"/>
          </w:tcPr>
          <w:p>
            <w:r/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香港用字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無限製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無限制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個資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個人資料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個人資料保護法第三條／第10條／第11條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《個人資料（私隱）條例》（第486章）——查閱資料第18條；改正第22條；拒絕第20／24條；費用第28條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互聯網事業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網上業務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「藥華藥」與「藥華醫藥」混用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首次寫 PharmaEssentia 藥華醫藥；其後一律「藥華醫藥」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資訊百份百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資料百分百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使用條款與隱私權政策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Microsoft JhengHei"/>
                <w:b w:val="0"/>
                <w:sz w:val="20"/>
              </w:rPr>
              <w:t>使用條款與私隱政策</w:t>
            </w:r>
          </w:p>
        </w:tc>
      </w:tr>
    </w:tbl>
    <w:p/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2. 香港頁面草稿全文</w:t>
      </w:r>
    </w:p>
    <w:p>
      <w:pPr>
        <w:spacing w:after="160"/>
      </w:pPr>
      <w:r>
        <w:rPr>
          <w:rFonts w:ascii="Calibri" w:hAnsi="Calibri" w:eastAsia="Microsoft JhengHei"/>
          <w:b/>
          <w:sz w:val="28"/>
        </w:rPr>
        <w:t>使用條款與私隱政策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本網站由 PharmaEssentia 藥華醫藥股份有限公司（以下簡稱「藥華醫藥」）所建立經營。我們重視每一位使用者所享有的服務，特此說明本網站的使用政策，以保障您的權益，請您細讀本使用條款的內容。</w:t>
      </w:r>
    </w:p>
    <w:p>
      <w:pPr>
        <w:spacing w:after="160"/>
      </w:pPr>
      <w:r>
        <w:rPr>
          <w:rFonts w:ascii="Calibri" w:hAnsi="Calibri" w:eastAsia="Microsoft JhengHei"/>
          <w:b/>
          <w:sz w:val="24"/>
        </w:rPr>
        <w:t>一般性資料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對於本站所載資料的取覽或使用，您受下列條款和條件以及所有適用法律所規範。經由取覽或瀏覽本網站，您無限制或無條件地接受這些條款和條件，並確認其將取代您和藥華醫藥之間其他任何的協議。</w:t>
      </w:r>
    </w:p>
    <w:p>
      <w:pPr>
        <w:spacing w:after="160"/>
      </w:pPr>
      <w:r>
        <w:rPr>
          <w:rFonts w:ascii="Calibri" w:hAnsi="Calibri" w:eastAsia="Microsoft JhengHei"/>
          <w:b/>
          <w:sz w:val="24"/>
        </w:rPr>
        <w:t>醫療資料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本網站之醫療相關資料僅供科學資料或病人教育目的使用。由於醫療科技的發展日新月異，本公司無法保證資料百分百正確無誤。任何疾病治療、醫學問題及專業知識，應諮詢您的專業醫生及護士，本站不提供任何診斷、用藥或治療建議。</w:t>
      </w:r>
    </w:p>
    <w:p>
      <w:pPr>
        <w:spacing w:after="160"/>
      </w:pPr>
      <w:r>
        <w:rPr>
          <w:rFonts w:ascii="Calibri" w:hAnsi="Calibri" w:eastAsia="Microsoft JhengHei"/>
          <w:b/>
          <w:sz w:val="24"/>
        </w:rPr>
        <w:t>私隱政策（香港）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藥華醫藥尊重訪客私隱，並按香港法例第486章《個人資料（私隱）條例》（下稱「《條例》」）的保障資料原則處理個人資料。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您可向本公司提出：（一）查閱資料要求（《條例》第18條）；以及（二）改正資料要求（《條例》第22條）。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本公司會在《條例》規定的時限內回覆。在第20條所列明的情況下，本公司可拒絕依從查閱資料要求；在第24條所列明的情況下，可拒絕依從改正資料要求。本公司亦可按第28條收取不超逾直接成本的合理費用。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《條例》並無賦予與台灣《個人資料保護法》第3條相同的概括「刪除／停止處理」法定權利。本公司仍會按保障資料第2原則（保留期間）及第3原則（使用限制），在不再需要時刪除或停止使用個人資料。您亦可要求退出通訊服務。是否接納個別申請，須視乎執行業務所必須、法定保存期間及《條例》准許的豁免而定。</w:t>
      </w:r>
    </w:p>
    <w:p>
      <w:pPr>
        <w:spacing w:after="160"/>
      </w:pPr>
      <w:r>
        <w:rPr>
          <w:rFonts w:ascii="Calibri" w:hAnsi="Calibri" w:eastAsia="Microsoft JhengHei"/>
          <w:b/>
          <w:sz w:val="24"/>
        </w:rPr>
        <w:t>個人資料的使用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個人資料包括您的姓名、地址、電話號碼、電郵地址，或其他可合理用於識別您的資料。藥華醫藥只在您自願提供時收集該等資料。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當藥華醫藥收到個人資料時，我們可能將資料用於合理商業用途，如同非網上業務的使用方式。例如，我們可能透過通訊軟件或定期訊息聯絡您。為提供準確服務，收集的資料亦可能用於編製統計及分析，但不會公開可識別個別人士的資料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您的資料可能傳送至位於其他國家的藥華醫藥附屬機構處理。藥華醫藥不會出售或出租個人資料，除非事先通知並取得您的明確同意。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請聯絡我們：sales@museshc.com</w:t>
      </w:r>
    </w:p>
    <w:p>
      <w:pPr>
        <w:pStyle w:val="Heading1"/>
      </w:pPr>
      <w:r>
        <w:rPr>
          <w:rFonts w:ascii="Calibri" w:hAnsi="Calibri" w:eastAsia="Microsoft JhengHei"/>
          <w:b/>
          <w:color w:val="12353A"/>
          <w:sz w:val="32"/>
        </w:rPr>
        <w:t>3. 法務審閱要點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核對查閱／改正／拒絕／費用條文，是否符合現行第486章及個人資料私隱專員公署指引。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確認自願刪除／退出通訊的字句，應否保留為公司政策（而非台灣個資法第3條的法定權利）。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確認藥華醫藥附屬機構跨境傳送個人資料的用字。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《不良廣告（醫藥）條例》（第231章）不在本檔範圍；待用戶上傳條例檔案後，另核介面用語及標示。</w:t>
      </w:r>
    </w:p>
    <w:p>
      <w:pPr>
        <w:spacing w:after="160"/>
      </w:pPr>
      <w:r>
        <w:rPr>
          <w:rFonts w:ascii="Calibri" w:hAnsi="Calibri" w:eastAsia="Microsoft JhengHei"/>
          <w:b w:val="0"/>
          <w:sz w:val="22"/>
        </w:rPr>
        <w:t>• 法務簽署前，不得將本草稿作為正式私隱聲明上線。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