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0B6E6E"/>
          <w:sz w:val="20"/>
        </w:rPr>
        <w:t>MPNicare ｜ 藥華醫藥香港</w:t>
      </w:r>
    </w:p>
    <w:p>
      <w:r>
        <w:rPr>
          <w:rFonts w:ascii="Calibri" w:hAnsi="Calibri" w:eastAsia="Microsoft JhengHei"/>
          <w:b/>
          <w:color w:val="12353A"/>
          <w:sz w:val="40"/>
        </w:rPr>
        <w:t>香港中文用語覆蓋層——改動清單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版面、頁面結構及欄目位置維持不變。只改香港介面用語（選單、標題、頁尾、條款）及地區內容標示。三個地區欄目的文章正文不改寫。</w:t>
      </w:r>
    </w:p>
    <w:p>
      <w:pPr>
        <w:spacing w:after="160"/>
      </w:pPr>
      <w:r>
        <w:rPr>
          <w:rFonts w:ascii="Calibri" w:hAnsi="Calibri" w:eastAsia="Microsoft JhengHei"/>
          <w:b w:val="0"/>
          <w:sz w:val="20"/>
        </w:rPr>
        <w:t>日期：2026年8月21日  ·  敏感度：低（公開病人教育網站）  ·  狀態：實作規格／法律審閱草稿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1. 本檔用途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本檔為 mpnicare.org「中文（香港）」語系的工作改動清單，供網頁（Wix 字串）、醫學事務（只審免責字句）及法務（使用條款頁）一併使用。內容反映 2026年8月21日審閱後的實作：地區提示不得出現在「病人教育專區」，只加在三個原文欄目。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2. 標示規則（不得改寫文章）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只適用於以下三欄（選單名稱會改；正文維持原文）：血腫專欄 → 血液腫瘤專欄；健康照護 → 健康資訊；品味生活（標題由「生活品味」統一）。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948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4252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加入以下字句</w:t>
            </w:r>
          </w:p>
        </w:tc>
        <w:tc>
          <w:tcPr>
            <w:tcW w:type="dxa" w:w="2551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不要加在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欄目頁——現有標題下、文章列表上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其他地區內容提示</w:t>
              <w:br/>
              <w:t>本欄文章由香港以外地區的團隊或醫護專業人員提供，內容未必適用於香港，僅供一般參考。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病人教育專區、關於MPN、首頁整頁、友善連結、使用條款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文章卡——現有分類名稱旁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其他地區內容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病人教育專區的分類卡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文章頁——標題或作者欄下一行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其他地區內容｜原文保留，內容未必適用於香港。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香港介面頁面</w:t>
            </w:r>
          </w:p>
        </w:tc>
      </w:tr>
    </w:tbl>
    <w:p/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首頁：不放整頁警告框。三張最新文章卡只在分類名稱旁加小標籤。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3. 已實作的用語改動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587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頁面</w:t>
            </w:r>
          </w:p>
        </w:tc>
        <w:tc>
          <w:tcPr>
            <w:tcW w:type="dxa" w:w="1814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原文</w:t>
            </w:r>
          </w:p>
        </w:tc>
        <w:tc>
          <w:tcPr>
            <w:tcW w:type="dxa" w:w="2381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出現位置／原句</w:t>
            </w:r>
          </w:p>
        </w:tc>
        <w:tc>
          <w:tcPr>
            <w:tcW w:type="dxa" w:w="2381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香港用語</w:t>
            </w:r>
          </w:p>
        </w:tc>
        <w:tc>
          <w:tcPr>
            <w:tcW w:type="dxa" w:w="2154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網站選單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血腫專欄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選單項目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血液腫瘤專欄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「血腫」≠血液腫瘤科。只改選單。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網站選單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健康照護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選單項目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健康資訊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只改選單；文章正文不變。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選單＋頁面標題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品味生活 / 生活品味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選單與標題用字次序不一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品味生活（兩者統一）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統一即可；不要改寫文章。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頁尾（全站）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信息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非本網站所有之信息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資料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香港共用頁尾。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頁尾（全站）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帳號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加入MPN官方line帳號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賬號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香港用「賬」。全站頁尾，故須改。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頁尾（全站）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智慧財產權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為了尊重授權使用之智慧財產權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知識產權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香港全站頁尾。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首頁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並發症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易引發嚴重並發症甚至危及生命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併發症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醫學用字應為「併」。現有 /zh-hk 誤用「並」。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紅細胞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真性紅細胞增多症 / 主要是紅細胞增生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紅血球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避免機器翻譯回退。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白細胞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血小板與白細胞增多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白血球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與「紅血球」對齊。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血細胞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若同頁出現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血球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血球不要寫成「⋯細胞」。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按我了解更多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按我了解更多MPN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按此了解更多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香港網頁少用「按我」。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教育專區頁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衛教專區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頁面／分類名稱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病人教育專區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只改名稱。此頁不加地區橫幅。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教育專區頁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紅細胞增多症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認識紅細胞增多症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認識紅血球增多症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標題對齊。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教育專區頁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有愛相髓病友故事集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分類標題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病友故事集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只改名稱；故事正文不變。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使用條款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無限製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您無限製或無條件地接受這些條款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無限制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簡轉繁錯誤。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使用條款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個資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刪除您的個資等權利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個人資料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香港法律文本不用「個資」。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使用條款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個人資料保護法 第3、10、11條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台灣個資法條號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按《個人資料（私隱）條例》（第486章）重寫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不要保留第3／10／11條。見檔案二。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使用條款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互聯網事業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如同非互聯網事業的使用方式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網上業務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香港商業用語。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使用條款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藥華藥 / 藥華醫藥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兩個簡稱混用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藥華醫藥（首次：PharmaEssentia 藥華醫藥）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統一。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使用條款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百份百 / 資訊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無法保證資訊百份百正確無誤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百分百 / 資料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改正用字，並與頁尾「資料」對齊。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4. 不得改動的項目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血腫專欄／健康照護／品味生活的全部文章正文（即使選單已改名）。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該等文章內的治療方法、藥名、研究、劑量及百分比。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該等文章內的本地用語、醫院名稱、產品名稱及系統名稱。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現有版面、分頁及欄目結構。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友善連結頁：無須改字。現有非香港機構連結保留；日後再以額外列加入香港機構。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5. 不要原樣沿用現有 Wix /zh-hk 語系包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現時公開頁 https://www.mpnicare.org/zh-hk 會清空三個文章欄、引入「紅細胞／白細胞／並發症／無限製」，並仍引用台灣《個人資料保護法》第3、10、11條。應改用本覆蓋層：保留原文＋加上標示＋改香港介面用語。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6. 審閱負責人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268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負責人</w:t>
            </w:r>
          </w:p>
        </w:tc>
        <w:tc>
          <w:tcPr>
            <w:tcW w:type="dxa" w:w="4252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待決事項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Wix 字串表及三處標示位置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產品經理＋網頁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實作覆蓋層，不要重建版面範本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三句免責字句（只審這三句）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醫學事務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確認用字；不要改寫文章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第486章條款（檔案二）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法務／合規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上線前簽署確認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頁面用語及標示的《不良廣告（醫藥）條例》核對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產品經理＋法務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待用戶提供第231章檔案後再核</w:t>
            </w:r>
          </w:p>
        </w:tc>
      </w:tr>
    </w:tbl>
    <w:p/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本站為病人教育網站，並非 BESREMi 推廣物料。不加新產品聲稱。原文文章中的 ET／MF 內容，一律標示為非香港內容。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