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F4E79"/>
          <w:sz w:val="40"/>
        </w:rPr>
        <w:t>Pre-read for Dr. Gill</w:t>
      </w:r>
    </w:p>
    <w:p>
      <w:r>
        <w:rPr>
          <w:b/>
          <w:color w:val="1F4E79"/>
          <w:sz w:val="28"/>
        </w:rPr>
        <w:t>QMH MPN database — data feasibility and research alignment</w:t>
      </w:r>
    </w:p>
    <w:p>
      <w:r>
        <w:rPr>
          <w:i/>
        </w:rPr>
        <w:t>PV, ET, and pMF</w:t>
      </w:r>
    </w:p>
    <w:p>
      <w:r>
        <w:rPr>
          <w:b/>
        </w:rPr>
        <w:t xml:space="preserve">Meeting duration: </w:t>
      </w:r>
      <w:r>
        <w:t>45–60 minutes</w:t>
        <w:br/>
      </w:r>
      <w:r>
        <w:rPr>
          <w:b/>
        </w:rPr>
        <w:t xml:space="preserve">Format: </w:t>
      </w:r>
      <w:r>
        <w:t>Conversation — no written answers required in advance</w:t>
        <w:br/>
      </w:r>
      <w:r>
        <w:rPr>
          <w:b/>
        </w:rPr>
        <w:t xml:space="preserve">Purpose: </w:t>
      </w:r>
      <w:r>
        <w:t>Understand what the database can support, identify 2–3 feasible research questions, and hear what support you would need from us to proceed.</w:t>
      </w:r>
    </w:p>
    <w:p/>
    <w:p>
      <w:pPr>
        <w:pStyle w:val="Heading1"/>
      </w:pPr>
      <w:r>
        <w:t>Meeting objective</w:t>
      </w:r>
    </w:p>
    <w:p>
      <w:r>
        <w:t>Confirm what the QMH database can support for PV, ET, and pMF research, align on a small set of feasible questions, and agree what each side needs in order to proceed.</w:t>
      </w:r>
    </w:p>
    <w:p>
      <w:r>
        <w:t>We are not asking you to commit to every question below. The aim is to test fit against the data you actually have.</w:t>
      </w:r>
    </w:p>
    <w:p>
      <w:pPr>
        <w:pStyle w:val="Heading1"/>
      </w:pPr>
      <w:r>
        <w:t>Proposed agenda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1296"/>
            <w:shd w:val="clear" w:color="auto" w:fill="F4F7FA"/>
          </w:tcPr>
          <w:p>
            <w:r>
              <w:rPr>
                <w:b/>
                <w:sz w:val="18"/>
              </w:rPr>
              <w:t>Time</w:t>
            </w:r>
          </w:p>
        </w:tc>
        <w:tc>
          <w:tcPr>
            <w:tcW w:type="dxa" w:w="2880"/>
            <w:shd w:val="clear" w:color="auto" w:fill="F4F7FA"/>
          </w:tcPr>
          <w:p>
            <w:r>
              <w:rPr>
                <w:b/>
                <w:sz w:val="18"/>
              </w:rPr>
              <w:t>Topic</w:t>
            </w:r>
          </w:p>
        </w:tc>
        <w:tc>
          <w:tcPr>
            <w:tcW w:type="dxa" w:w="4896"/>
            <w:shd w:val="clear" w:color="auto" w:fill="F4F7FA"/>
          </w:tcPr>
          <w:p>
            <w:r>
              <w:rPr>
                <w:b/>
                <w:sz w:val="18"/>
              </w:rPr>
              <w:t>What we hope to leave with</w:t>
            </w:r>
          </w:p>
        </w:tc>
      </w:tr>
      <w:tr>
        <w:tc>
          <w:tcPr>
            <w:tcW w:type="dxa" w:w="1296"/>
          </w:tcPr>
          <w:p>
            <w:r>
              <w:rPr>
                <w:sz w:val="18"/>
              </w:rPr>
              <w:t>3 min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Opening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  <w:t>Shared purpose for today</w:t>
            </w:r>
          </w:p>
        </w:tc>
      </w:tr>
      <w:tr>
        <w:tc>
          <w:tcPr>
            <w:tcW w:type="dxa" w:w="1296"/>
          </w:tcPr>
          <w:p>
            <w:r>
              <w:rPr>
                <w:sz w:val="18"/>
              </w:rPr>
              <w:t>20 min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1. Data in the QMH database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  <w:t>Inventory: types, numbers, completeness, treatment capture</w:t>
            </w:r>
          </w:p>
        </w:tc>
      </w:tr>
      <w:tr>
        <w:tc>
          <w:tcPr>
            <w:tcW w:type="dxa" w:w="1296"/>
          </w:tcPr>
          <w:p>
            <w:r>
              <w:rPr>
                <w:sz w:val="18"/>
              </w:rPr>
              <w:t>20 min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2. Research priorities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  <w:t>Which questions are feasible now / later / not suitable</w:t>
            </w:r>
          </w:p>
        </w:tc>
      </w:tr>
      <w:tr>
        <w:tc>
          <w:tcPr>
            <w:tcW w:type="dxa" w:w="1296"/>
          </w:tcPr>
          <w:p>
            <w:r>
              <w:rPr>
                <w:sz w:val="18"/>
              </w:rPr>
              <w:t>10 min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3. Support needed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  <w:t>Funding, biostats, ethics, other</w:t>
            </w:r>
          </w:p>
        </w:tc>
      </w:tr>
      <w:tr>
        <w:tc>
          <w:tcPr>
            <w:tcW w:type="dxa" w:w="1296"/>
          </w:tcPr>
          <w:p>
            <w:r>
              <w:rPr>
                <w:sz w:val="18"/>
              </w:rPr>
              <w:t>5 min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Close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  <w:t>Next steps and owners</w:t>
            </w:r>
          </w:p>
        </w:tc>
      </w:tr>
    </w:tbl>
    <w:p>
      <w:r>
        <w:rPr>
          <w:i/>
        </w:rPr>
        <w:t>Please add anything you would like on the agenda. The lists below are a checklist for discussion, not a commitment to every question.</w:t>
      </w:r>
    </w:p>
    <w:p>
      <w:pPr>
        <w:pStyle w:val="Heading1"/>
      </w:pPr>
      <w:r>
        <w:t>1. Data available in the QMH database</w:t>
      </w:r>
    </w:p>
    <w:p>
      <w:r>
        <w:t>Please distinguish structured fields (codes, labs, medications, questionnaires) from unstructured notes (clinic letters, free text).</w:t>
      </w:r>
    </w:p>
    <w:p>
      <w:pPr>
        <w:pStyle w:val="Heading2"/>
      </w:pPr>
      <w:r>
        <w:t>1.1 What types of data are held?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  <w:shd w:val="clear" w:color="auto" w:fill="F4F7FA"/>
          </w:tcPr>
          <w:p>
            <w:r>
              <w:rPr>
                <w:b/>
                <w:sz w:val="18"/>
              </w:rPr>
              <w:t>Domain</w:t>
            </w:r>
          </w:p>
        </w:tc>
        <w:tc>
          <w:tcPr>
            <w:tcW w:type="dxa" w:w="1930"/>
            <w:shd w:val="clear" w:color="auto" w:fill="F4F7FA"/>
          </w:tcPr>
          <w:p>
            <w:r>
              <w:rPr>
                <w:b/>
                <w:sz w:val="18"/>
              </w:rPr>
              <w:t>Structured examples</w:t>
            </w:r>
          </w:p>
        </w:tc>
        <w:tc>
          <w:tcPr>
            <w:tcW w:type="dxa" w:w="1930"/>
            <w:shd w:val="clear" w:color="auto" w:fill="F4F7FA"/>
          </w:tcPr>
          <w:p>
            <w:r>
              <w:rPr>
                <w:b/>
                <w:sz w:val="18"/>
              </w:rPr>
              <w:t>Unstructured examples</w:t>
            </w:r>
          </w:p>
        </w:tc>
        <w:tc>
          <w:tcPr>
            <w:tcW w:type="dxa" w:w="1930"/>
            <w:shd w:val="clear" w:color="auto" w:fill="F4F7FA"/>
          </w:tcPr>
          <w:p>
            <w:r>
              <w:rPr>
                <w:b/>
                <w:sz w:val="18"/>
              </w:rPr>
              <w:t>Present? (Y / N / partial)</w:t>
            </w:r>
          </w:p>
        </w:tc>
        <w:tc>
          <w:tcPr>
            <w:tcW w:type="dxa" w:w="1930"/>
            <w:shd w:val="clear" w:color="auto" w:fill="F4F7FA"/>
          </w:tcPr>
          <w:p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1930"/>
          </w:tcPr>
          <w:p>
            <w:r>
              <w:rPr>
                <w:sz w:val="18"/>
              </w:rPr>
              <w:t>Diagnosis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PV / ET / pMF codes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Clinic letters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30"/>
          </w:tcPr>
          <w:p>
            <w:r>
              <w:rPr>
                <w:sz w:val="18"/>
              </w:rPr>
              <w:t>Labs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Serial CBC, other routine labs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30"/>
          </w:tcPr>
          <w:p>
            <w:r>
              <w:rPr>
                <w:sz w:val="18"/>
              </w:rPr>
              <w:t>Molecular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JAK2, CALR, MPL allele burden; other mutations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30"/>
          </w:tcPr>
          <w:p>
            <w:r>
              <w:rPr>
                <w:sz w:val="18"/>
              </w:rPr>
              <w:t>Treatment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Drug, dose, start/stop dates, sequence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30"/>
          </w:tcPr>
          <w:p>
            <w:r>
              <w:rPr>
                <w:sz w:val="18"/>
              </w:rPr>
              <w:t>Supportive care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Phlebotomy, RBC transfusion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30"/>
          </w:tcPr>
          <w:p>
            <w:r>
              <w:rPr>
                <w:sz w:val="18"/>
              </w:rPr>
              <w:t>Other interventions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JAK inhibitors, transplantation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30"/>
          </w:tcPr>
          <w:p>
            <w:r>
              <w:rPr>
                <w:sz w:val="18"/>
              </w:rPr>
              <w:t>Clinical outcomes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Thrombosis, progression, transformation, survival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30"/>
          </w:tcPr>
          <w:p>
            <w:r>
              <w:rPr>
                <w:sz w:val="18"/>
              </w:rPr>
              <w:t>Patient-reported outcomes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PRO questionnaires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Free-text symptoms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</w:p>
        </w:tc>
      </w:tr>
    </w:tbl>
    <w:p>
      <w:pPr>
        <w:pStyle w:val="Heading2"/>
      </w:pPr>
      <w:r>
        <w:t>1.2 Cohort size</w:t>
      </w:r>
    </w:p>
    <w:p>
      <w:r>
        <w:t>Approximately how many patients are included for: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1440"/>
            <w:shd w:val="clear" w:color="auto" w:fill="F4F7FA"/>
          </w:tcPr>
          <w:p>
            <w:r>
              <w:rPr>
                <w:b/>
                <w:sz w:val="18"/>
              </w:rPr>
              <w:t>Diagnosis</w:t>
            </w:r>
          </w:p>
        </w:tc>
        <w:tc>
          <w:tcPr>
            <w:tcW w:type="dxa" w:w="1728"/>
            <w:shd w:val="clear" w:color="auto" w:fill="F4F7FA"/>
          </w:tcPr>
          <w:p>
            <w:r>
              <w:rPr>
                <w:b/>
                <w:sz w:val="18"/>
              </w:rPr>
              <w:t>Approximate n</w:t>
            </w:r>
          </w:p>
        </w:tc>
        <w:tc>
          <w:tcPr>
            <w:tcW w:type="dxa" w:w="5904"/>
            <w:shd w:val="clear" w:color="auto" w:fill="F4F7FA"/>
          </w:tcPr>
          <w:p>
            <w:r>
              <w:rPr>
                <w:b/>
                <w:sz w:val="18"/>
              </w:rPr>
              <w:t>Comments (e.g. years covered, active vs historical)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PV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590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ET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590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pMF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5904"/>
          </w:tcPr>
          <w:p>
            <w:r>
              <w:rPr>
                <w:sz w:val="18"/>
              </w:rPr>
            </w:r>
          </w:p>
        </w:tc>
      </w:tr>
    </w:tbl>
    <w:p>
      <w:pPr>
        <w:pStyle w:val="Heading2"/>
      </w:pPr>
      <w:r>
        <w:t>1.3 Completeness and consistency</w:t>
      </w:r>
    </w:p>
    <w:p>
      <w:pPr>
        <w:pStyle w:val="ListBullet"/>
      </w:pPr>
      <w:r>
        <w:rPr>
          <w:b/>
          <w:sz w:val="20"/>
        </w:rPr>
        <w:t>Are serial CBC</w:t>
      </w:r>
      <w:r>
        <w:rPr>
          <w:sz w:val="20"/>
        </w:rPr>
        <w:t xml:space="preserve"> and longitudinal follow-up reasonably consistent across patients, or do depth and duration vary widely?</w:t>
      </w:r>
    </w:p>
    <w:p>
      <w:pPr>
        <w:pStyle w:val="ListBullet"/>
      </w:pPr>
      <w:r>
        <w:rPr>
          <w:sz w:val="20"/>
        </w:rPr>
        <w:t>For molecular data (e.g. JAK2 allele burden):</w:t>
      </w:r>
    </w:p>
    <w:p>
      <w:pPr>
        <w:pStyle w:val="ListBullet"/>
      </w:pPr>
      <w:r>
        <w:rPr>
          <w:sz w:val="20"/>
        </w:rPr>
        <w:t>Is availability similar across treatment groups, or denser in some (for example, interferon-treated patients)?</w:t>
      </w:r>
    </w:p>
    <w:p>
      <w:pPr>
        <w:pStyle w:val="ListBullet"/>
      </w:pPr>
      <w:r>
        <w:rPr>
          <w:sz w:val="20"/>
        </w:rPr>
        <w:t>How often are molecular tests typically performed?</w:t>
      </w:r>
    </w:p>
    <w:p>
      <w:pPr>
        <w:pStyle w:val="Heading2"/>
      </w:pPr>
      <w:r>
        <w:t>1.4 Treatment patterns</w:t>
      </w:r>
    </w:p>
    <w:p>
      <w:r>
        <w:t>Are treatment patterns and related interventions captured in a structured way, for example:</w:t>
      </w:r>
    </w:p>
    <w:p>
      <w:pPr>
        <w:pStyle w:val="ListBullet"/>
      </w:pPr>
      <w:r>
        <w:rPr>
          <w:sz w:val="20"/>
        </w:rPr>
        <w:t>Cytoreductive sequences</w:t>
      </w:r>
    </w:p>
    <w:p>
      <w:pPr>
        <w:pStyle w:val="ListBullet"/>
      </w:pPr>
      <w:r>
        <w:rPr>
          <w:sz w:val="20"/>
        </w:rPr>
        <w:t>Phlebotomy / RBC support</w:t>
      </w:r>
    </w:p>
    <w:p>
      <w:pPr>
        <w:pStyle w:val="ListBullet"/>
      </w:pPr>
      <w:r>
        <w:rPr>
          <w:sz w:val="20"/>
        </w:rPr>
        <w:t>JAK inhibitors</w:t>
      </w:r>
    </w:p>
    <w:p>
      <w:pPr>
        <w:pStyle w:val="ListBullet"/>
      </w:pPr>
      <w:r>
        <w:rPr>
          <w:sz w:val="20"/>
        </w:rPr>
        <w:t>Transplantation</w:t>
      </w:r>
    </w:p>
    <w:p>
      <w:pPr>
        <w:pStyle w:val="Heading1"/>
      </w:pPr>
      <w:r>
        <w:t>2. Our research priorities (to test against the data)</w:t>
      </w:r>
    </w:p>
    <w:p>
      <w:r>
        <w:t>Please mark each item as feasible now, possible later, or not suitable — and say briefly why.</w:t>
      </w:r>
    </w:p>
    <w:p>
      <w:pPr>
        <w:pStyle w:val="Heading2"/>
      </w:pPr>
      <w:r>
        <w:t>2.1 Disease modification and outcomes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576"/>
            <w:shd w:val="clear" w:color="auto" w:fill="F4F7FA"/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4608"/>
            <w:shd w:val="clear" w:color="auto" w:fill="F4F7FA"/>
          </w:tcPr>
          <w:p>
            <w:r>
              <w:rPr>
                <w:b/>
                <w:sz w:val="18"/>
              </w:rPr>
              <w:t>Question</w:t>
            </w:r>
          </w:p>
        </w:tc>
        <w:tc>
          <w:tcPr>
            <w:tcW w:type="dxa" w:w="2016"/>
            <w:shd w:val="clear" w:color="auto" w:fill="F4F7FA"/>
          </w:tcPr>
          <w:p>
            <w:r>
              <w:rPr>
                <w:b/>
                <w:sz w:val="18"/>
              </w:rPr>
              <w:t>Feasible now / later / not suitable</w:t>
            </w:r>
          </w:p>
        </w:tc>
        <w:tc>
          <w:tcPr>
            <w:tcW w:type="dxa" w:w="1872"/>
            <w:shd w:val="clear" w:color="auto" w:fill="F4F7FA"/>
          </w:tcPr>
          <w:p>
            <w:r>
              <w:rPr>
                <w:b/>
                <w:sz w:val="18"/>
              </w:rPr>
              <w:t>Why</w:t>
            </w:r>
          </w:p>
        </w:tc>
      </w:tr>
      <w:tr>
        <w:tc>
          <w:tcPr>
            <w:tcW w:type="dxa" w:w="576"/>
          </w:tcPr>
          <w:p>
            <w:r>
              <w:rPr>
                <w:sz w:val="18"/>
              </w:rPr>
              <w:t>A1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Association between molecular response and long-term clinical outcomes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</w:r>
          </w:p>
        </w:tc>
        <w:tc>
          <w:tcPr>
            <w:tcW w:type="dxa" w:w="1872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8"/>
              </w:rPr>
              <w:t>A2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Relationship between CBC normalization, molecular response, and clinically meaningful endpoints (thrombosis, progression, transformation, survival)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</w:r>
          </w:p>
        </w:tc>
        <w:tc>
          <w:tcPr>
            <w:tcW w:type="dxa" w:w="1872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8"/>
              </w:rPr>
              <w:t>A3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Identification or exploration of surrogate endpoints that may predict long-term outcomes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</w:r>
          </w:p>
        </w:tc>
        <w:tc>
          <w:tcPr>
            <w:tcW w:type="dxa" w:w="1872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8"/>
              </w:rPr>
              <w:t>A4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Impact of HIDAT vs low dose on long-term clinical outcomes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</w:r>
          </w:p>
        </w:tc>
        <w:tc>
          <w:tcPr>
            <w:tcW w:type="dxa" w:w="1872"/>
          </w:tcPr>
          <w:p>
            <w:r>
              <w:rPr>
                <w:sz w:val="18"/>
              </w:rPr>
            </w:r>
          </w:p>
        </w:tc>
      </w:tr>
    </w:tbl>
    <w:p>
      <w:pPr>
        <w:pStyle w:val="Heading2"/>
      </w:pPr>
      <w:r>
        <w:t>2.2 Target populations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576"/>
            <w:shd w:val="clear" w:color="auto" w:fill="F4F7FA"/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4608"/>
            <w:shd w:val="clear" w:color="auto" w:fill="F4F7FA"/>
          </w:tcPr>
          <w:p>
            <w:r>
              <w:rPr>
                <w:b/>
                <w:sz w:val="18"/>
              </w:rPr>
              <w:t>Population / question</w:t>
            </w:r>
          </w:p>
        </w:tc>
        <w:tc>
          <w:tcPr>
            <w:tcW w:type="dxa" w:w="2016"/>
            <w:shd w:val="clear" w:color="auto" w:fill="F4F7FA"/>
          </w:tcPr>
          <w:p>
            <w:r>
              <w:rPr>
                <w:b/>
                <w:sz w:val="18"/>
              </w:rPr>
              <w:t>Feasible now / later / not suitable</w:t>
            </w:r>
          </w:p>
        </w:tc>
        <w:tc>
          <w:tcPr>
            <w:tcW w:type="dxa" w:w="1872"/>
            <w:shd w:val="clear" w:color="auto" w:fill="F4F7FA"/>
          </w:tcPr>
          <w:p>
            <w:r>
              <w:rPr>
                <w:b/>
                <w:sz w:val="18"/>
              </w:rPr>
              <w:t>Why</w:t>
            </w:r>
          </w:p>
        </w:tc>
      </w:tr>
      <w:tr>
        <w:tc>
          <w:tcPr>
            <w:tcW w:type="dxa" w:w="576"/>
          </w:tcPr>
          <w:p>
            <w:r>
              <w:rPr>
                <w:sz w:val="18"/>
              </w:rPr>
              <w:t>B1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Outcomes in molecularly defined higher-risk patients (high-risk mutations, multiple mutations, or adverse molecular profiles)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</w:r>
          </w:p>
        </w:tc>
        <w:tc>
          <w:tcPr>
            <w:tcW w:type="dxa" w:w="1872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8"/>
              </w:rPr>
              <w:t>B2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Early intervention versus delayed treatment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</w:r>
          </w:p>
        </w:tc>
        <w:tc>
          <w:tcPr>
            <w:tcW w:type="dxa" w:w="1872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8"/>
              </w:rPr>
              <w:t>B3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Younger patients (age &lt; 60)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</w:r>
          </w:p>
        </w:tc>
        <w:tc>
          <w:tcPr>
            <w:tcW w:type="dxa" w:w="1872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8"/>
              </w:rPr>
              <w:t>B4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Pregnancy, if data are available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</w:r>
          </w:p>
        </w:tc>
        <w:tc>
          <w:tcPr>
            <w:tcW w:type="dxa" w:w="1872"/>
          </w:tcPr>
          <w:p>
            <w:r>
              <w:rPr>
                <w:sz w:val="18"/>
              </w:rPr>
            </w:r>
          </w:p>
        </w:tc>
      </w:tr>
    </w:tbl>
    <w:p>
      <w:pPr>
        <w:pStyle w:val="Heading2"/>
      </w:pPr>
      <w:r>
        <w:t>2.3 Treatment patterns (including MF)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576"/>
            <w:shd w:val="clear" w:color="auto" w:fill="F4F7FA"/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4608"/>
            <w:shd w:val="clear" w:color="auto" w:fill="F4F7FA"/>
          </w:tcPr>
          <w:p>
            <w:r>
              <w:rPr>
                <w:b/>
                <w:sz w:val="18"/>
              </w:rPr>
              <w:t>Question</w:t>
            </w:r>
          </w:p>
        </w:tc>
        <w:tc>
          <w:tcPr>
            <w:tcW w:type="dxa" w:w="2016"/>
            <w:shd w:val="clear" w:color="auto" w:fill="F4F7FA"/>
          </w:tcPr>
          <w:p>
            <w:r>
              <w:rPr>
                <w:b/>
                <w:sz w:val="18"/>
              </w:rPr>
              <w:t>Feasible now / later / not suitable</w:t>
            </w:r>
          </w:p>
        </w:tc>
        <w:tc>
          <w:tcPr>
            <w:tcW w:type="dxa" w:w="1872"/>
            <w:shd w:val="clear" w:color="auto" w:fill="F4F7FA"/>
          </w:tcPr>
          <w:p>
            <w:r>
              <w:rPr>
                <w:b/>
                <w:sz w:val="18"/>
              </w:rPr>
              <w:t>Why</w:t>
            </w:r>
          </w:p>
        </w:tc>
      </w:tr>
      <w:tr>
        <w:tc>
          <w:tcPr>
            <w:tcW w:type="dxa" w:w="576"/>
          </w:tcPr>
          <w:p>
            <w:r>
              <w:rPr>
                <w:sz w:val="18"/>
              </w:rPr>
              <w:t>C1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Interferon and broader MPN treatment patterns in PV / ET / pMF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</w:r>
          </w:p>
        </w:tc>
        <w:tc>
          <w:tcPr>
            <w:tcW w:type="dxa" w:w="1872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8"/>
              </w:rPr>
              <w:t>C2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Pegasys vs Besremi comparison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</w:r>
          </w:p>
        </w:tc>
        <w:tc>
          <w:tcPr>
            <w:tcW w:type="dxa" w:w="1872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8"/>
              </w:rPr>
              <w:t>C3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HIDAT vs low dose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</w:r>
          </w:p>
        </w:tc>
        <w:tc>
          <w:tcPr>
            <w:tcW w:type="dxa" w:w="1872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8"/>
              </w:rPr>
              <w:t>C4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How multi-therapy pathways in pMF can be described and analysed in a clinically meaningful way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</w:r>
          </w:p>
        </w:tc>
        <w:tc>
          <w:tcPr>
            <w:tcW w:type="dxa" w:w="1872"/>
          </w:tcPr>
          <w:p>
            <w:r>
              <w:rPr>
                <w:sz w:val="18"/>
              </w:rPr>
            </w:r>
          </w:p>
        </w:tc>
      </w:tr>
    </w:tbl>
    <w:p>
      <w:r>
        <w:rPr>
          <w:i/>
        </w:rPr>
        <w:t>Note: A4 and C3 are the same dosing question seen from outcomes and treatment capture — we can discuss once.</w:t>
      </w:r>
    </w:p>
    <w:p>
      <w:pPr>
        <w:pStyle w:val="Heading1"/>
      </w:pPr>
      <w:r>
        <w:t>3. Support needed for the collaboration</w:t>
      </w:r>
    </w:p>
    <w:p>
      <w:r>
        <w:t>What support would you need from us to proceed?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168"/>
            <w:shd w:val="clear" w:color="auto" w:fill="F4F7FA"/>
          </w:tcPr>
          <w:p>
            <w:r>
              <w:rPr>
                <w:b/>
                <w:sz w:val="18"/>
              </w:rPr>
              <w:t>Possible support</w:t>
            </w:r>
          </w:p>
        </w:tc>
        <w:tc>
          <w:tcPr>
            <w:tcW w:type="dxa" w:w="1872"/>
            <w:shd w:val="clear" w:color="auto" w:fill="F4F7FA"/>
          </w:tcPr>
          <w:p>
            <w:r>
              <w:rPr>
                <w:b/>
                <w:sz w:val="18"/>
              </w:rPr>
              <w:t>Needed? (Y / N / later)</w:t>
            </w:r>
          </w:p>
        </w:tc>
        <w:tc>
          <w:tcPr>
            <w:tcW w:type="dxa" w:w="4320"/>
            <w:shd w:val="clear" w:color="auto" w:fill="F4F7FA"/>
          </w:tcPr>
          <w:p>
            <w:r>
              <w:rPr>
                <w:b/>
                <w:sz w:val="18"/>
              </w:rPr>
              <w:t>What “enough” would look like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Research funding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Biostatistical input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Protocol / statistical analysis plan drafting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Ethics / data-governance support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Other (please specify)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</w:p>
        </w:tc>
      </w:tr>
    </w:tbl>
    <w:p>
      <w:pPr>
        <w:pStyle w:val="Heading1"/>
      </w:pPr>
      <w:r>
        <w:t>Close — proposed next steps (to fill in together)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5040"/>
            <w:shd w:val="clear" w:color="auto" w:fill="F4F7FA"/>
          </w:tcPr>
          <w:p>
            <w:r>
              <w:rPr>
                <w:b/>
                <w:sz w:val="18"/>
              </w:rPr>
              <w:t>Action</w:t>
            </w:r>
          </w:p>
        </w:tc>
        <w:tc>
          <w:tcPr>
            <w:tcW w:type="dxa" w:w="2160"/>
            <w:shd w:val="clear" w:color="auto" w:fill="F4F7FA"/>
          </w:tcPr>
          <w:p>
            <w:r>
              <w:rPr>
                <w:b/>
                <w:sz w:val="18"/>
              </w:rPr>
              <w:t>Owner</w:t>
            </w:r>
          </w:p>
        </w:tc>
        <w:tc>
          <w:tcPr>
            <w:tcW w:type="dxa" w:w="2160"/>
            <w:shd w:val="clear" w:color="auto" w:fill="F4F7FA"/>
          </w:tcPr>
          <w:p>
            <w:r>
              <w:rPr>
                <w:b/>
                <w:sz w:val="18"/>
              </w:rPr>
              <w:t>Timing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</w:tbl>
    <w:p>
      <w:r>
        <w:rPr>
          <w:i/>
        </w:rPr>
        <w:t>Thank you for your time. Please add anything you would like on the agenda.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