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1:1 meeting script — Prof. Liang (26 Aug 2026)</w:t>
      </w:r>
      <w:r/>
      <w:r/>
    </w:p>
    <w:p>
      <w:r/>
      <w:r>
        <w:rPr>
          <w:b/>
        </w:rPr>
        <w:t>Assumption (confirm in the first 30 seconds):</w:t>
      </w:r>
      <w:r>
        <w:t xml:space="preserve"> Dr </w:t>
      </w:r>
      <w:r>
        <w:rPr>
          <w:b/>
        </w:rPr>
        <w:t>Raymond Liang Hin-Suen</w:t>
      </w:r>
      <w:r>
        <w:t xml:space="preserve"> (梁憲孫醫生), Head of Medicine / Director, Haematology and Cellular Therapy Centre, </w:t>
      </w:r>
      <w:r>
        <w:rPr>
          <w:b/>
        </w:rPr>
        <w:t>Hong Kong Sanatorium &amp; Hospital</w:t>
      </w:r>
      <w:r>
        <w:t>; Honorary Clinical Professor, HKU / CUHK. Public profile only. If this is a different Liang, stop and retarget.</w:t>
        <w:br/>
      </w:r>
      <w:r/>
      <w:r>
        <w:rPr>
          <w:b/>
        </w:rPr>
        <w:t>Channel:</w:t>
      </w:r>
      <w:r>
        <w:t xml:space="preserve"> 1:1 scientific exchange + approved leave-behind. </w:t>
      </w:r>
      <w:r>
        <w:rPr>
          <w:b/>
        </w:rPr>
        <w:t>Style: Consult, not lecture.</w:t>
      </w:r>
      <w:r>
        <w:t xml:space="preserve"> He does not need WHO 2016.</w:t>
        <w:br/>
      </w:r>
      <w:r/>
      <w:r>
        <w:rPr>
          <w:b/>
        </w:rPr>
        <w:t>Sensitivity:</w:t>
      </w:r>
      <w:r>
        <w:t xml:space="preserve"> Mid — HK PI + approved brochure + published RCT. No patient names. No unpublished ad-board quotes.</w:t>
        <w:br/>
      </w:r>
      <w:r/>
      <w:r>
        <w:rPr>
          <w:b/>
        </w:rPr>
        <w:t>Status:</w:t>
      </w:r>
      <w:r>
        <w:t xml:space="preserve"> DRAFT until you confirm Medical has cleared this brochure as the live HCP leave-behind.</w:t>
        <w:br/>
      </w:r>
      <w:r/>
      <w:r>
        <w:rPr>
          <w:b/>
        </w:rPr>
        <w:t>PSP (private / HKSH):</w:t>
      </w:r>
      <w:r>
        <w:t xml:space="preserve"> Private Sector — buy 2 get 1, private only, first year, </w:t>
      </w:r>
      <w:r>
        <w:rPr>
          <w:b/>
        </w:rPr>
        <w:t>expires end 2026</w:t>
      </w:r>
      <w:r>
        <w:t xml:space="preserve">. Re-confirm with market access </w:t>
      </w:r>
      <w:r>
        <w:rPr>
          <w:b/>
        </w:rPr>
        <w:t>before</w:t>
      </w:r>
      <w:r>
        <w:t xml:space="preserve"> you quote terms. Do not volunteer list price (planning figure HK$36,000/injection stays internal unless he asks).</w:t>
      </w:r>
      <w:r/>
      <w:r/>
    </w:p>
    <w:p>
      <w:pPr>
        <w:pStyle w:val="Heading2"/>
      </w:pPr>
      <w:r>
        <w:t>Recommendation (what this meeting is for)</w:t>
      </w:r>
      <w:r/>
    </w:p>
    <w:p>
      <w:r/>
      <w:r>
        <w:rPr>
          <w:b/>
        </w:rPr>
        <w:t>Do</w:t>
      </w:r>
      <w:r>
        <w:t xml:space="preserve"> walk the physician brochure in page order, name every analysis out loud, and leave with </w:t>
      </w:r>
      <w:r>
        <w:rPr>
          <w:b/>
        </w:rPr>
        <w:t>one</w:t>
      </w:r>
      <w:r>
        <w:t xml:space="preserve"> next step: a suitable adult PV patient </w:t>
      </w:r>
      <w:r>
        <w:rPr>
          <w:b/>
        </w:rPr>
        <w:t>without symptomatic splenomegaly</w:t>
      </w:r>
      <w:r>
        <w:t xml:space="preserve">, or a reason he will not start. </w:t>
      </w:r>
      <w:r>
        <w:rPr>
          <w:b/>
        </w:rPr>
        <w:t>Do not</w:t>
      </w:r>
      <w:r>
        <w:t xml:space="preserve"> teach NCCN, AMWG, or HIDAT; </w:t>
      </w:r>
      <w:r>
        <w:rPr>
          <w:b/>
        </w:rPr>
        <w:t>do not</w:t>
      </w:r>
      <w:r>
        <w:t xml:space="preserve"> claim IFN-to-IFN superiority; </w:t>
      </w:r>
      <w:r>
        <w:rPr>
          <w:b/>
        </w:rPr>
        <w:t>do not</w:t>
      </w:r>
      <w:r>
        <w:t xml:space="preserve"> promise HA listing; </w:t>
      </w:r>
      <w:r>
        <w:rPr>
          <w:b/>
        </w:rPr>
        <w:t>do not</w:t>
      </w:r>
      <w:r>
        <w:t xml:space="preserve"> discuss ET/MF unless he raises it.</w:t>
      </w:r>
      <w:r/>
    </w:p>
    <w:p>
      <w:r/>
      <w:r>
        <w:rPr>
          <w:b/>
        </w:rPr>
        <w:t>Remember / feel / do</w:t>
        <w:br/>
      </w:r>
      <w:r>
        <w:t xml:space="preserve">- </w:t>
      </w:r>
      <w:r>
        <w:rPr>
          <w:b/>
        </w:rPr>
        <w:t>Remember:</w:t>
      </w:r>
      <w:r>
        <w:t xml:space="preserve"> Ropeg is slower at year 1; the 5-year CHR curve and JAK2 rebound vs HU are why the conversation is long-term; HK start is </w:t>
      </w:r>
      <w:r>
        <w:rPr>
          <w:b/>
        </w:rPr>
        <w:t>100/50 µg</w:t>
      </w:r>
      <w:r>
        <w:t>.</w:t>
        <w:br/>
      </w:r>
      <w:r>
        <w:t xml:space="preserve">- </w:t>
      </w:r>
      <w:r>
        <w:rPr>
          <w:b/>
        </w:rPr>
        <w:t>Feel:</w:t>
      </w:r>
      <w:r>
        <w:t xml:space="preserve"> You are scientifically honest and will not over-claim 84.3%.</w:t>
        <w:br/>
      </w:r>
      <w:r>
        <w:t xml:space="preserve">- </w:t>
      </w:r>
      <w:r>
        <w:rPr>
          <w:b/>
        </w:rPr>
        <w:t>Do:</w:t>
      </w:r>
      <w:r>
        <w:t xml:space="preserve"> Identify whether he has a first private-pay patient who fits the HK indication, and whether PSP paperwork is useful.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Cue card (one glance)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Minute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Must-say</w:t>
            </w:r>
          </w:p>
        </w:tc>
      </w:tr>
      <w:tr>
        <w:tc>
          <w:tcPr>
            <w:tcW w:type="dxa" w:w="3216"/>
          </w:tcPr>
          <w:p>
            <w:r>
              <w:t>0–2</w:t>
            </w:r>
          </w:p>
        </w:tc>
        <w:tc>
          <w:tcPr>
            <w:tcW w:type="dxa" w:w="3216"/>
          </w:tcPr>
          <w:p>
            <w:r>
              <w:t>Confirm centre; ask how he treats PV now</w:t>
            </w:r>
          </w:p>
        </w:tc>
        <w:tc>
          <w:tcPr>
            <w:tcW w:type="dxa" w:w="3216"/>
          </w:tcPr>
          <w:p>
            <w:r>
              <w:t>Listen. Do not open the brochure yet.</w:t>
            </w:r>
          </w:p>
        </w:tc>
      </w:tr>
      <w:tr>
        <w:tc>
          <w:tcPr>
            <w:tcW w:type="dxa" w:w="3216"/>
          </w:tcPr>
          <w:p>
            <w:r>
              <w:t>2–3</w:t>
            </w:r>
          </w:p>
        </w:tc>
        <w:tc>
          <w:tcPr>
            <w:tcW w:type="dxa" w:w="3216"/>
          </w:tcPr>
          <w:p>
            <w:r>
              <w:t>Indication</w:t>
            </w:r>
          </w:p>
        </w:tc>
        <w:tc>
          <w:tcPr>
            <w:tcW w:type="dxa" w:w="3216"/>
          </w:tcPr>
          <w:p>
            <w:r>
              <w:t xml:space="preserve">Adult monotherapy, PV </w:t>
            </w:r>
            <w:r>
              <w:rPr>
                <w:b/>
              </w:rPr>
              <w:t>without symptomatic splenomegaly</w:t>
            </w:r>
            <w:r>
              <w:t xml:space="preserve"> .</w:t>
            </w:r>
          </w:p>
        </w:tc>
      </w:tr>
      <w:tr>
        <w:tc>
          <w:tcPr>
            <w:tcW w:type="dxa" w:w="3216"/>
          </w:tcPr>
          <w:p>
            <w:r>
              <w:t>3–8</w:t>
            </w:r>
          </w:p>
        </w:tc>
        <w:tc>
          <w:tcPr>
            <w:tcW w:type="dxa" w:w="3216"/>
          </w:tcPr>
          <w:p>
            <w:r>
              <w:t>CHR page</w:t>
            </w:r>
          </w:p>
        </w:tc>
        <w:tc>
          <w:tcPr>
            <w:tcW w:type="dxa" w:w="3216"/>
          </w:tcPr>
          <w:p>
            <w:r>
              <w:t xml:space="preserve">Graph: HU ahead at 12 mo (~75 vs ~62), crossover by 24, ~73% at 60. </w:t>
            </w:r>
            <w:r>
              <w:rPr>
                <w:b/>
              </w:rPr>
              <w:t>84.3% = ever-CHR</w:t>
            </w:r>
            <w:r>
              <w:t xml:space="preserve"> , not snapshot. PI 12-mo </w:t>
            </w:r>
            <w:r>
              <w:rPr>
                <w:b/>
              </w:rPr>
              <w:t>43.1 vs 46, p=0.63</w:t>
            </w:r>
            <w:r>
              <w:t xml:space="preserve"> . Late primary </w:t>
            </w:r>
            <w:r>
              <w:rPr>
                <w:b/>
              </w:rPr>
              <w:t>54.5 vs 34.9, p=0.02</w:t>
            </w:r>
            <w:r>
              <w:t xml:space="preserve"> . TE </w:t>
            </w:r>
            <w:r>
              <w:rPr>
                <w:b/>
              </w:rPr>
              <w:t>4/127</w:t>
            </w:r>
            <w:r>
              <w:t xml:space="preserve"> ≠ EFS </w:t>
            </w:r>
            <w:r>
              <w:rPr>
                <w:b/>
              </w:rPr>
              <w:t>5/95</w:t>
            </w:r>
            <w:r>
              <w:t xml:space="preserve"> .</w:t>
            </w:r>
          </w:p>
        </w:tc>
      </w:tr>
      <w:tr>
        <w:tc>
          <w:tcPr>
            <w:tcW w:type="dxa" w:w="3216"/>
          </w:tcPr>
          <w:p>
            <w:r>
              <w:t>8–11</w:t>
            </w:r>
          </w:p>
        </w:tc>
        <w:tc>
          <w:tcPr>
            <w:tcW w:type="dxa" w:w="3216"/>
          </w:tcPr>
          <w:p>
            <w:r>
              <w:t>JAK2 page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37% → 8%</w:t>
            </w:r>
            <w:r>
              <w:t xml:space="preserve"> vs </w:t>
            </w:r>
            <w:r>
              <w:rPr>
                <w:b/>
              </w:rPr>
              <w:t>38% → 44%</w:t>
            </w:r>
            <w:r>
              <w:t xml:space="preserve"> . No TFR.</w:t>
            </w:r>
          </w:p>
        </w:tc>
      </w:tr>
      <w:tr>
        <w:tc>
          <w:tcPr>
            <w:tcW w:type="dxa" w:w="3216"/>
          </w:tcPr>
          <w:p>
            <w:r>
              <w:t>11–14</w:t>
            </w:r>
          </w:p>
        </w:tc>
        <w:tc>
          <w:tcPr>
            <w:tcW w:type="dxa" w:w="3216"/>
          </w:tcPr>
          <w:p>
            <w:r>
              <w:t>EFS KM</w:t>
            </w:r>
          </w:p>
        </w:tc>
        <w:tc>
          <w:tcPr>
            <w:tcW w:type="dxa" w:w="3216"/>
          </w:tcPr>
          <w:p>
            <w:r>
              <w:rPr>
                <w:b/>
              </w:rPr>
              <w:t>5/95 vs 12/74, p=0.04</w:t>
            </w:r>
            <w:r>
              <w:t xml:space="preserve"> . EFS ≠ OS. No “prevents leukemia.”</w:t>
            </w:r>
          </w:p>
        </w:tc>
      </w:tr>
      <w:tr>
        <w:tc>
          <w:tcPr>
            <w:tcW w:type="dxa" w:w="3216"/>
          </w:tcPr>
          <w:p>
            <w:r>
              <w:t>14–17</w:t>
            </w:r>
          </w:p>
        </w:tc>
        <w:tc>
          <w:tcPr>
            <w:tcW w:type="dxa" w:w="3216"/>
          </w:tcPr>
          <w:p>
            <w:r>
              <w:t>Safety p.9</w:t>
            </w:r>
          </w:p>
        </w:tc>
        <w:tc>
          <w:tcPr>
            <w:tcW w:type="dxa" w:w="3216"/>
          </w:tcPr>
          <w:p>
            <w:r>
              <w:t xml:space="preserve">Counts not worse than HU. </w:t>
            </w:r>
            <w:r>
              <w:rPr>
                <w:b/>
              </w:rPr>
              <w:t>GGT 16% vs 2%</w:t>
            </w:r>
            <w:r>
              <w:t xml:space="preserve"> (G≥3 8% vs 2%). D/C ~11% vs 2–3%.</w:t>
            </w:r>
          </w:p>
        </w:tc>
      </w:tr>
      <w:tr>
        <w:tc>
          <w:tcPr>
            <w:tcW w:type="dxa" w:w="3216"/>
          </w:tcPr>
          <w:p>
            <w:r>
              <w:t>17–20</w:t>
            </w:r>
          </w:p>
        </w:tc>
        <w:tc>
          <w:tcPr>
            <w:tcW w:type="dxa" w:w="3216"/>
          </w:tcPr>
          <w:p>
            <w:r>
              <w:t>PI + start</w:t>
            </w:r>
          </w:p>
        </w:tc>
        <w:tc>
          <w:tcPr>
            <w:tcW w:type="dxa" w:w="3216"/>
          </w:tcPr>
          <w:p>
            <w:r>
              <w:rPr>
                <w:b/>
              </w:rPr>
              <w:t>100 µg</w:t>
            </w:r>
            <w:r>
              <w:t xml:space="preserve"> (50 if already cytoreductive). Not 250–350–500. Thyroid CI; LFT monitor.</w:t>
            </w:r>
          </w:p>
        </w:tc>
      </w:tr>
      <w:tr>
        <w:tc>
          <w:tcPr>
            <w:tcW w:type="dxa" w:w="3216"/>
          </w:tcPr>
          <w:p>
            <w:r>
              <w:t>20–25</w:t>
            </w:r>
          </w:p>
        </w:tc>
        <w:tc>
          <w:tcPr>
            <w:tcW w:type="dxa" w:w="3216"/>
          </w:tcPr>
          <w:p>
            <w:r>
              <w:t>Access + close</w:t>
            </w:r>
          </w:p>
        </w:tc>
        <w:tc>
          <w:tcPr>
            <w:tcW w:type="dxa" w:w="3216"/>
          </w:tcPr>
          <w:p>
            <w:r>
              <w:t xml:space="preserve">Private Sector PSP if eligible. No HA date. </w:t>
            </w:r>
            <w:r>
              <w:rPr>
                <w:b/>
              </w:rPr>
              <w:t>One</w:t>
            </w:r>
            <w:r>
              <w:t xml:space="preserve"> next step.</w:t>
            </w:r>
          </w:p>
        </w:tc>
      </w:tr>
    </w:tbl>
    <w:p>
      <w:r/>
    </w:p>
    <w:p>
      <w:r/>
      <w:r>
        <w:rPr>
          <w:b/>
        </w:rPr>
        <w:t>Leave on the table:</w:t>
      </w:r>
      <w:r>
        <w:t xml:space="preserve"> brochure with abbreviated PI (indication, dose, CI, ADRs, </w:t>
      </w:r>
      <w:r>
        <w:rPr>
          <w:b/>
        </w:rPr>
        <w:t>PI date</w:t>
      </w:r>
      <w:r>
        <w:t>). No branded giveaway.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Before you sit down</w:t>
      </w:r>
      <w:r/>
      <w:r/>
    </w:p>
    <w:p>
      <w:pPr>
        <w:pStyle w:val="ListBullet"/>
        <w:spacing w:line="240" w:lineRule="auto"/>
        <w:ind w:left="720"/>
      </w:pPr>
      <w:r/>
      <w:r>
        <w:t xml:space="preserve">[ ] Brochure is the </w:t>
      </w:r>
      <w:r>
        <w:rPr>
          <w:b/>
        </w:rPr>
        <w:t>cleared</w:t>
      </w:r>
      <w:r>
        <w:t xml:space="preserve"> leave-behind (not a draft screenshot).</w:t>
      </w:r>
      <w:r/>
    </w:p>
    <w:p>
      <w:pPr>
        <w:pStyle w:val="ListBullet"/>
        <w:spacing w:line="240" w:lineRule="auto"/>
        <w:ind w:left="720"/>
      </w:pPr>
      <w:r/>
      <w:r>
        <w:t>[ ] Abbreviated PI + current PI date on the piece or a PI slip.</w:t>
      </w:r>
      <w:r/>
    </w:p>
    <w:p>
      <w:pPr>
        <w:pStyle w:val="ListBullet"/>
        <w:spacing w:line="240" w:lineRule="auto"/>
        <w:ind w:left="720"/>
      </w:pPr>
      <w:r/>
      <w:r>
        <w:t>[ ] PSP terms confirmed today with market access.</w:t>
      </w:r>
      <w:r/>
    </w:p>
    <w:p>
      <w:pPr>
        <w:pStyle w:val="ListBullet"/>
        <w:spacing w:line="240" w:lineRule="auto"/>
        <w:ind w:left="720"/>
      </w:pPr>
      <w:r/>
      <w:r>
        <w:t>[ ] If a meal: ≤ HK$400 lunch / ≤ HK$800 dinner; science is the meeting, not the food.</w:t>
      </w:r>
      <w:r/>
    </w:p>
    <w:p>
      <w:pPr>
        <w:pStyle w:val="ListBullet"/>
        <w:spacing w:line="240" w:lineRule="auto"/>
        <w:ind w:left="720"/>
      </w:pPr>
      <w:r/>
      <w:r>
        <w:t>[ ] No product-branded items.</w:t>
      </w:r>
      <w:r/>
    </w:p>
    <w:p>
      <w:pPr>
        <w:pStyle w:val="ListBullet"/>
        <w:spacing w:line="240" w:lineRule="auto"/>
        <w:ind w:left="720"/>
      </w:pPr>
      <w:r/>
      <w:r>
        <w:t>[ ] Phone on silent; brochure pages pre-ordered: CHR → JAK2 → EFS → Safety → PI.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Opening (90 seconds) — consult</w:t>
      </w:r>
      <w:r/>
    </w:p>
    <w:p>
      <w:r/>
      <w:r>
        <w:t>“Professor Liang, thank you for the time. I have you at the Haematology Centre at Sanatorium — Happy Valley or Island East today?</w:t>
      </w:r>
      <w:r/>
    </w:p>
    <w:p>
      <w:r/>
      <w:r>
        <w:t xml:space="preserve">I am not here to recap PV diagnosis. I would like to hear </w:t>
      </w:r>
      <w:r>
        <w:rPr>
          <w:b/>
        </w:rPr>
        <w:t>how you currently cytoreduce adult PV in private practice</w:t>
      </w:r>
      <w:r>
        <w:t xml:space="preserve">, then walk the </w:t>
      </w:r>
      <w:r>
        <w:rPr>
          <w:b/>
        </w:rPr>
        <w:t>Hong Kong BESREMi leave-behind</w:t>
      </w:r>
      <w:r>
        <w:t xml:space="preserve"> — including the year-1 result that did not meet non-inferiority — and see whether there is a </w:t>
      </w:r>
      <w:r>
        <w:rPr>
          <w:b/>
        </w:rPr>
        <w:t>first patient</w:t>
      </w:r>
      <w:r>
        <w:t xml:space="preserve"> who fits the local indication.</w:t>
      </w:r>
      <w:r/>
    </w:p>
    <w:p>
      <w:r/>
      <w:r>
        <w:t xml:space="preserve">The HK indication is monotherapy in </w:t>
      </w:r>
      <w:r>
        <w:rPr>
          <w:b/>
        </w:rPr>
        <w:t>adults with polycythaemia vera without symptomatic splenomegaly</w:t>
      </w:r>
      <w:r>
        <w:t>.”</w:t>
      </w:r>
      <w:r/>
    </w:p>
    <w:p>
      <w:r/>
      <w:r>
        <w:rPr>
          <w:b/>
        </w:rPr>
        <w:t>Then stop talking.</w:t>
      </w:r>
      <w:r>
        <w:t xml:space="preserve"> Notes to capture:</w:t>
      </w:r>
      <w:r/>
      <w:r/>
    </w:p>
    <w:p>
      <w:pPr>
        <w:pStyle w:val="ListBullet"/>
        <w:spacing w:line="240" w:lineRule="auto"/>
        <w:ind w:left="720"/>
      </w:pPr>
      <w:r/>
      <w:r>
        <w:t>HU vs interferon vs ruxolitinib vs phlebotomy-only — who gets what</w:t>
      </w:r>
      <w:r/>
    </w:p>
    <w:p>
      <w:pPr>
        <w:pStyle w:val="ListBullet"/>
        <w:spacing w:line="240" w:lineRule="auto"/>
        <w:ind w:left="720"/>
      </w:pPr>
      <w:r/>
      <w:r>
        <w:t xml:space="preserve">Any current IFN (do </w:t>
      </w:r>
      <w:r>
        <w:rPr>
          <w:b/>
        </w:rPr>
        <w:t>not</w:t>
      </w:r>
      <w:r>
        <w:t xml:space="preserve"> rank vs Pegasys)</w:t>
      </w:r>
      <w:r/>
    </w:p>
    <w:p>
      <w:pPr>
        <w:pStyle w:val="ListBullet"/>
        <w:spacing w:line="240" w:lineRule="auto"/>
        <w:ind w:left="720"/>
      </w:pPr>
      <w:r/>
      <w:r>
        <w:t>Symptomatic splenomegaly as a filter</w:t>
      </w:r>
      <w:r/>
    </w:p>
    <w:p>
      <w:pPr>
        <w:pStyle w:val="ListBullet"/>
        <w:spacing w:line="240" w:lineRule="auto"/>
        <w:ind w:left="720"/>
      </w:pPr>
      <w:r/>
      <w:r>
        <w:t>What would make him try ropeg (younger, HU toxicity, phlebotomy burden, JAK2 VAF, q2w/q4w)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Page-by-page script (exact lines)</w:t>
      </w:r>
      <w:r/>
    </w:p>
    <w:p>
      <w:pPr>
        <w:pStyle w:val="Heading3"/>
      </w:pPr>
      <w:r>
        <w:t>CHR — “significant and sustained hematologic control”</w:t>
      </w:r>
      <w:r/>
    </w:p>
    <w:p>
      <w:r/>
      <w:r>
        <w:rPr>
          <w:b/>
        </w:rPr>
        <w:t>CHR on this page:</w:t>
      </w:r>
      <w:r>
        <w:t xml:space="preserve"> no phlebotomy in 3 months; Hct &lt;45%; WBC &lt;10; Plt &lt;400.</w:t>
      </w:r>
      <w:r/>
    </w:p>
    <w:p>
      <w:r/>
      <w:r>
        <w:rPr>
          <w:b/>
        </w:rPr>
        <w:t>Point at the graph, do not skip month 12:</w:t>
      </w:r>
      <w:r/>
    </w:p>
    <w:p>
      <w:r/>
      <w:r>
        <w:t xml:space="preserve">“On </w:t>
      </w:r>
      <w:r>
        <w:rPr>
          <w:b/>
        </w:rPr>
        <w:t>this curve</w:t>
      </w:r>
      <w:r>
        <w:t xml:space="preserve">, hydroxyurea is ahead at 12 months — about </w:t>
      </w:r>
      <w:r>
        <w:rPr>
          <w:b/>
        </w:rPr>
        <w:t>75% vs 62%</w:t>
      </w:r>
      <w:r>
        <w:t xml:space="preserve">. That is the pharmacology: HU is faster. Mean titration in the PI is about </w:t>
      </w:r>
      <w:r>
        <w:rPr>
          <w:b/>
        </w:rPr>
        <w:t>2.6 vs 3.7 months</w:t>
      </w:r>
      <w:r>
        <w:t>. If you need counts down this month to stop thrombosis or bleeding, HU may still be the first tool.</w:t>
      </w:r>
      <w:r/>
    </w:p>
    <w:p>
      <w:r/>
      <w:r>
        <w:t xml:space="preserve">The lines </w:t>
      </w:r>
      <w:r>
        <w:rPr>
          <w:b/>
        </w:rPr>
        <w:t>cross by 24 months</w:t>
      </w:r>
      <w:r>
        <w:t xml:space="preserve">. At 60 months the ropeg curve is about </w:t>
      </w:r>
      <w:r>
        <w:rPr>
          <w:b/>
        </w:rPr>
        <w:t>73%</w:t>
      </w:r>
      <w:r>
        <w:t xml:space="preserve"> vs about </w:t>
      </w:r>
      <w:r>
        <w:rPr>
          <w:b/>
        </w:rPr>
        <w:t>53%</w:t>
      </w:r>
      <w:r>
        <w:t xml:space="preserve"> on HU/BAT. That is the long-term CHR story </w:t>
      </w:r>
      <w:r>
        <w:rPr>
          <w:b/>
        </w:rPr>
        <w:t>on this page</w:t>
      </w:r>
      <w:r>
        <w:t>.”</w:t>
      </w:r>
      <w:r/>
    </w:p>
    <w:p>
      <w:r/>
      <w:r>
        <w:rPr>
          <w:b/>
        </w:rPr>
        <w:t>Point at 84.3% (107/127):</w:t>
      </w:r>
      <w:r/>
    </w:p>
    <w:p>
      <w:r/>
      <w:r>
        <w:t xml:space="preserve">“This </w:t>
      </w:r>
      <w:r>
        <w:rPr>
          <w:b/>
        </w:rPr>
        <w:t>84.3%</w:t>
      </w:r>
      <w:r>
        <w:t xml:space="preserve"> is </w:t>
      </w:r>
      <w:r>
        <w:rPr>
          <w:b/>
        </w:rPr>
        <w:t>not</w:t>
      </w:r>
      <w:r>
        <w:t xml:space="preserve"> that graph. The footnote is ‘criteria met </w:t>
      </w:r>
      <w:r>
        <w:rPr>
          <w:b/>
        </w:rPr>
        <w:t>at any time</w:t>
      </w:r>
      <w:r>
        <w:t xml:space="preserve">’ by 36 months — </w:t>
      </w:r>
      <w:r>
        <w:rPr>
          <w:b/>
        </w:rPr>
        <w:t>ever-response</w:t>
      </w:r>
      <w:r>
        <w:t>, 107 of 127. I will not tell you 84% are still in CHR at three years.”</w:t>
      </w:r>
      <w:r/>
    </w:p>
    <w:p>
      <w:r/>
      <w:r>
        <w:rPr>
          <w:b/>
        </w:rPr>
        <w:t>Then the PI, because he will know PROUD-PV:</w:t>
      </w:r>
      <w:r/>
    </w:p>
    <w:p>
      <w:r/>
      <w:r>
        <w:t xml:space="preserve">“The </w:t>
      </w:r>
      <w:r>
        <w:rPr>
          <w:b/>
        </w:rPr>
        <w:t>registered 12-month primary</w:t>
      </w:r>
      <w:r>
        <w:t xml:space="preserve"> in the Hong Kong PI is </w:t>
      </w:r>
      <w:r>
        <w:rPr>
          <w:b/>
        </w:rPr>
        <w:t>43.1% vs 46.0%, p=0.63</w:t>
      </w:r>
      <w:r>
        <w:t xml:space="preserve">. Non-inferiority was </w:t>
      </w:r>
      <w:r>
        <w:rPr>
          <w:b/>
        </w:rPr>
        <w:t>not met</w:t>
      </w:r>
      <w:r>
        <w:t>. That analysis counts discontinuations as failures. Both numbers can be true: the graph is the leave-behind curve; 43% is the ITT primary.</w:t>
      </w:r>
      <w:r/>
    </w:p>
    <w:p>
      <w:r/>
      <w:r>
        <w:t xml:space="preserve">The PI-aligned late primary from Gisslinger 2023 is </w:t>
      </w:r>
      <w:r>
        <w:rPr>
          <w:b/>
        </w:rPr>
        <w:t>54.5% vs 34.9% at 72 months, p=0.02</w:t>
      </w:r>
      <w:r>
        <w:t>. LOCF 72.6% vs 47.3% is the published analogue of this ~70% visual.”</w:t>
      </w:r>
      <w:r/>
    </w:p>
    <w:p>
      <w:r/>
      <w:r>
        <w:rPr>
          <w:b/>
        </w:rPr>
        <w:t>4/127 box:</w:t>
      </w:r>
      <w:r/>
    </w:p>
    <w:p>
      <w:r/>
      <w:r>
        <w:t xml:space="preserve">“Major thromboembolic events </w:t>
      </w:r>
      <w:r>
        <w:rPr>
          <w:b/>
        </w:rPr>
        <w:t>3% (4/127)</w:t>
      </w:r>
      <w:r>
        <w:t xml:space="preserve"> at 36 months on this page. That is </w:t>
      </w:r>
      <w:r>
        <w:rPr>
          <w:b/>
        </w:rPr>
        <w:t>not</w:t>
      </w:r>
      <w:r>
        <w:t xml:space="preserve"> the six-year EFS count of 5/95 — different set, different time, different composite.”</w:t>
      </w:r>
      <w:r/>
    </w:p>
    <w:p>
      <w:pPr>
        <w:pStyle w:val="Heading3"/>
      </w:pPr>
      <w:r>
        <w:t>JAK2 — “allele burden”</w:t>
      </w:r>
      <w:r/>
    </w:p>
    <w:p>
      <w:r/>
      <w:r>
        <w:t xml:space="preserve">“Median VAF </w:t>
      </w:r>
      <w:r>
        <w:rPr>
          <w:b/>
        </w:rPr>
        <w:t>37% down to 8%</w:t>
      </w:r>
      <w:r>
        <w:t xml:space="preserve"> on ropeg at 60 months. HU/BAT </w:t>
      </w:r>
      <w:r>
        <w:rPr>
          <w:b/>
        </w:rPr>
        <w:t>38% to 44%</w:t>
      </w:r>
      <w:r>
        <w:t xml:space="preserve"> — it rebounds. Higher mutant burden is associated with thrombosis, hemorrhage, and fibrotic progression. I am </w:t>
      </w:r>
      <w:r>
        <w:rPr>
          <w:b/>
        </w:rPr>
        <w:t>not</w:t>
      </w:r>
      <w:r>
        <w:t xml:space="preserve"> saying you can stop the drug at 8%, and I am not claiming treatment-free remission.”</w:t>
      </w:r>
      <w:r/>
    </w:p>
    <w:p>
      <w:r/>
      <w:r>
        <w:t>If he says “selectively depletes HSCs”: stay on the page; do not expand to “eradicates the clone.”</w:t>
      </w:r>
      <w:r/>
    </w:p>
    <w:p>
      <w:pPr>
        <w:pStyle w:val="Heading3"/>
      </w:pPr>
      <w:r>
        <w:t>EFS KM</w:t>
      </w:r>
      <w:r/>
    </w:p>
    <w:p>
      <w:r/>
      <w:r>
        <w:t xml:space="preserve">“Event-free survival over at least six years: first risk events </w:t>
      </w:r>
      <w:r>
        <w:rPr>
          <w:b/>
        </w:rPr>
        <w:t>5 in 95 vs 12 in 74, p=0.04</w:t>
      </w:r>
      <w:r>
        <w:t xml:space="preserve">. Events on this page are </w:t>
      </w:r>
      <w:r>
        <w:rPr>
          <w:b/>
        </w:rPr>
        <w:t>progression, death, and thromboembolic events</w:t>
      </w:r>
      <w:r>
        <w:t xml:space="preserve">. This is </w:t>
      </w:r>
      <w:r>
        <w:rPr>
          <w:b/>
        </w:rPr>
        <w:t>not</w:t>
      </w:r>
      <w:r>
        <w:t xml:space="preserve"> overall survival. I will not say it prevents leukemia — the AML cases in this analysis sat in the control arm and the numbers are small.”</w:t>
      </w:r>
      <w:r/>
    </w:p>
    <w:p>
      <w:r/>
      <w:r>
        <w:t xml:space="preserve">If he wants the KM number: probability </w:t>
      </w:r>
      <w:r>
        <w:rPr>
          <w:b/>
        </w:rPr>
        <w:t>0.94 vs 0.82</w:t>
      </w:r>
      <w:r>
        <w:t xml:space="preserve">, HR </w:t>
      </w:r>
      <w:r>
        <w:rPr>
          <w:b/>
        </w:rPr>
        <w:t>0.34</w:t>
      </w:r>
      <w:r>
        <w:t>.</w:t>
      </w:r>
      <w:r/>
    </w:p>
    <w:p>
      <w:pPr>
        <w:pStyle w:val="Heading3"/>
      </w:pPr>
      <w:r>
        <w:t>Safety page 9</w:t>
      </w:r>
      <w:r/>
    </w:p>
    <w:p>
      <w:r/>
      <w:r>
        <w:t xml:space="preserve">“This table is </w:t>
      </w:r>
      <w:r>
        <w:rPr>
          <w:b/>
        </w:rPr>
        <w:t>all-causality</w:t>
      </w:r>
      <w:r>
        <w:t>, 36 months, 127 vs 127.</w:t>
      </w:r>
      <w:r/>
    </w:p>
    <w:p>
      <w:r/>
      <w:r>
        <w:t xml:space="preserve">Cytopenias are </w:t>
      </w:r>
      <w:r>
        <w:rPr>
          <w:b/>
        </w:rPr>
        <w:t>not</w:t>
      </w:r>
      <w:r>
        <w:t xml:space="preserve"> worse than control — thrombocytopenia 21% vs 28%, leukopenia 18% vs 22%, anaemia 13% vs 24%. Fatigue 13% both.</w:t>
      </w:r>
      <w:r/>
    </w:p>
    <w:p>
      <w:r/>
      <w:r>
        <w:t xml:space="preserve">The IFN signature is </w:t>
      </w:r>
      <w:r>
        <w:rPr>
          <w:b/>
        </w:rPr>
        <w:t>liver enzymes</w:t>
      </w:r>
      <w:r>
        <w:t xml:space="preserve">: GGT </w:t>
      </w:r>
      <w:r>
        <w:rPr>
          <w:b/>
        </w:rPr>
        <w:t>16% vs 2%</w:t>
      </w:r>
      <w:r>
        <w:t xml:space="preserve">, grade ≥3 </w:t>
      </w:r>
      <w:r>
        <w:rPr>
          <w:b/>
        </w:rPr>
        <w:t>8% vs 2%</w:t>
      </w:r>
      <w:r>
        <w:t>; ALT 13% vs 2%; AST 10% vs 2%; arthralgia 12% vs 4%.</w:t>
      </w:r>
      <w:r/>
    </w:p>
    <w:p>
      <w:r/>
      <w:r>
        <w:t xml:space="preserve">Separately, </w:t>
      </w:r>
      <w:r>
        <w:rPr>
          <w:b/>
        </w:rPr>
        <w:t>drug-related discontinuation</w:t>
      </w:r>
      <w:r>
        <w:t xml:space="preserve"> is about </w:t>
      </w:r>
      <w:r>
        <w:rPr>
          <w:b/>
        </w:rPr>
        <w:t>11% vs 2–3%</w:t>
      </w:r>
      <w:r>
        <w:t>. That is why we titrate by the PI and monitor LFTs and mood — not because grade ≥3 treatment-related events were higher (~16% both arms).”</w:t>
      </w:r>
      <w:r/>
    </w:p>
    <w:p>
      <w:r/>
      <w:r>
        <w:t xml:space="preserve">Do </w:t>
      </w:r>
      <w:r>
        <w:rPr>
          <w:b/>
        </w:rPr>
        <w:t>not</w:t>
      </w:r>
      <w:r>
        <w:t xml:space="preserve"> quote Japan Ph2 alopecia 55.2% unless he asks about Asian hair loss; PI lists alopecia around 6–7%.</w:t>
      </w:r>
      <w:r/>
    </w:p>
    <w:p>
      <w:pPr>
        <w:pStyle w:val="Heading3"/>
      </w:pPr>
      <w:r>
        <w:t>PI page</w:t>
      </w:r>
      <w:r/>
    </w:p>
    <w:p>
      <w:r/>
      <w:r>
        <w:t xml:space="preserve">“Start </w:t>
      </w:r>
      <w:r>
        <w:rPr>
          <w:b/>
        </w:rPr>
        <w:t>100 micrograms every two weeks</w:t>
      </w:r>
      <w:r>
        <w:t xml:space="preserve">, or </w:t>
      </w:r>
      <w:r>
        <w:rPr>
          <w:b/>
        </w:rPr>
        <w:t>50</w:t>
      </w:r>
      <w:r>
        <w:t xml:space="preserve"> if already on another cytoreductive, or if GFR is 15–29. Up by 50 every two weeks to Hct &lt;45%, platelets &lt;400, WBC &lt;10. Max 500 every two weeks. After at least 1.5 years stable, the interval </w:t>
      </w:r>
      <w:r>
        <w:rPr>
          <w:b/>
        </w:rPr>
        <w:t>may</w:t>
      </w:r>
      <w:r>
        <w:t xml:space="preserve"> go to every four weeks.</w:t>
      </w:r>
      <w:r/>
    </w:p>
    <w:p>
      <w:r/>
      <w:r>
        <w:rPr>
          <w:b/>
        </w:rPr>
        <w:t>Not</w:t>
      </w:r>
      <w:r>
        <w:t xml:space="preserve"> the 250–350–500 HIDAT schedule — that is not the Hong Kong label.</w:t>
      </w:r>
      <w:r/>
    </w:p>
    <w:p>
      <w:r/>
      <w:r>
        <w:t xml:space="preserve">Contraindications on this page include </w:t>
      </w:r>
      <w:r>
        <w:rPr>
          <w:b/>
        </w:rPr>
        <w:t>thyroid disease unless controlled</w:t>
      </w:r>
      <w:r>
        <w:t>, decompensated cirrhosis, ESRD, severe psychiatric disease, severe uncontrolled CV disease, autoimmune disease, transplant immunosuppression, telbivudine.”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Likely pushbacks (two sentences each)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He says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You say</w:t>
            </w:r>
          </w:p>
        </w:tc>
      </w:tr>
      <w:tr>
        <w:tc>
          <w:tcPr>
            <w:tcW w:type="dxa" w:w="4824"/>
          </w:tcPr>
          <w:p>
            <w:r>
              <w:t>“It failed at one year.”</w:t>
            </w:r>
          </w:p>
        </w:tc>
        <w:tc>
          <w:tcPr>
            <w:tcW w:type="dxa" w:w="4824"/>
          </w:tcPr>
          <w:p>
            <w:r>
              <w:t xml:space="preserve">Agree: </w:t>
            </w:r>
            <w:r>
              <w:rPr>
                <w:b/>
              </w:rPr>
              <w:t>43.1% vs 46%, p=0.63</w:t>
            </w:r>
            <w:r>
              <w:t xml:space="preserve"> . HU is faster. The reason to consider ropeg is the </w:t>
            </w:r>
            <w:r>
              <w:rPr>
                <w:b/>
              </w:rPr>
              <w:t>crossing CHR curve</w:t>
            </w:r>
            <w:r>
              <w:t xml:space="preserve"> , </w:t>
            </w:r>
            <w:r>
              <w:rPr>
                <w:b/>
              </w:rPr>
              <w:t>JAK2 rebound on HU</w:t>
            </w:r>
            <w:r>
              <w:t xml:space="preserve"> , and </w:t>
            </w:r>
            <w:r>
              <w:rPr>
                <w:b/>
              </w:rPr>
              <w:t>EFS 5/95 vs 12/74, p=0.04</w:t>
            </w:r>
            <w:r>
              <w:t xml:space="preserve"> — not a 12-month snapshot.</w:t>
            </w:r>
          </w:p>
        </w:tc>
      </w:tr>
      <w:tr>
        <w:tc>
          <w:tcPr>
            <w:tcW w:type="dxa" w:w="4824"/>
          </w:tcPr>
          <w:p>
            <w:r>
              <w:t>“This 84% is promotional.”</w:t>
            </w:r>
          </w:p>
        </w:tc>
        <w:tc>
          <w:tcPr>
            <w:tcW w:type="dxa" w:w="4824"/>
          </w:tcPr>
          <w:p>
            <w:r>
              <w:t xml:space="preserve">It is </w:t>
            </w:r>
            <w:r>
              <w:rPr>
                <w:b/>
              </w:rPr>
              <w:t>ever-CHR</w:t>
            </w:r>
            <w:r>
              <w:t xml:space="preserve"> with a footnote. The snapshot/LOCF curve is ~73% at 5 years. The conservative late primary is </w:t>
            </w:r>
            <w:r>
              <w:rPr>
                <w:b/>
              </w:rPr>
              <w:t>54.5% vs 34.9%, p=0.02</w:t>
            </w:r>
            <w:r>
              <w:t xml:space="preserve"> . I will use whichever analysis we are pointing at.</w:t>
            </w:r>
          </w:p>
        </w:tc>
      </w:tr>
      <w:tr>
        <w:tc>
          <w:tcPr>
            <w:tcW w:type="dxa" w:w="4824"/>
          </w:tcPr>
          <w:p>
            <w:r>
              <w:t>“I already use Pegasys / China ropeg.”</w:t>
            </w:r>
          </w:p>
        </w:tc>
        <w:tc>
          <w:tcPr>
            <w:tcW w:type="dxa" w:w="4824"/>
          </w:tcPr>
          <w:p>
            <w:r>
              <w:t xml:space="preserve">No head-to-head. The PI forbids potency comparisons across the IFN class. I can stay on </w:t>
            </w:r>
            <w:r>
              <w:rPr>
                <w:b/>
              </w:rPr>
              <w:t>PV vs HU/phlebotomy</w:t>
            </w:r>
            <w:r>
              <w:t xml:space="preserve"> , </w:t>
            </w:r>
            <w:r>
              <w:rPr>
                <w:b/>
              </w:rPr>
              <w:t>q2w/q4w</w:t>
            </w:r>
            <w:r>
              <w:t xml:space="preserve"> , and </w:t>
            </w:r>
            <w:r>
              <w:rPr>
                <w:b/>
              </w:rPr>
              <w:t>local PI start</w:t>
            </w:r>
            <w:r>
              <w:t xml:space="preserve"> . Log the exchange.</w:t>
            </w:r>
          </w:p>
        </w:tc>
      </w:tr>
      <w:tr>
        <w:tc>
          <w:tcPr>
            <w:tcW w:type="dxa" w:w="4824"/>
          </w:tcPr>
          <w:p>
            <w:r>
              <w:t>“HU is cheaper and enough.”</w:t>
            </w:r>
          </w:p>
        </w:tc>
        <w:tc>
          <w:tcPr>
            <w:tcW w:type="dxa" w:w="4824"/>
          </w:tcPr>
          <w:p>
            <w:r>
              <w:t>For rapid cytoreduction, often yes. For patients who will be on therapy for years, CHR at 72 months and EFS are the named long-term data. Match the drug to the time horizon.</w:t>
            </w:r>
          </w:p>
        </w:tc>
      </w:tr>
      <w:tr>
        <w:tc>
          <w:tcPr>
            <w:tcW w:type="dxa" w:w="4824"/>
          </w:tcPr>
          <w:p>
            <w:r>
              <w:t>“Will HA list it?”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 listed.</w:t>
            </w:r>
            <w:r>
              <w:t xml:space="preserve"> Private + PSP is the current bridge. I will not give a listing date.</w:t>
            </w:r>
          </w:p>
        </w:tc>
      </w:tr>
      <w:tr>
        <w:tc>
          <w:tcPr>
            <w:tcW w:type="dxa" w:w="4824"/>
          </w:tcPr>
          <w:p>
            <w:r>
              <w:t>“Start 250–350–500.”</w:t>
            </w:r>
          </w:p>
        </w:tc>
        <w:tc>
          <w:tcPr>
            <w:tcW w:type="dxa" w:w="4824"/>
          </w:tcPr>
          <w:p>
            <w:r>
              <w:t xml:space="preserve">Hong Kong PI start is </w:t>
            </w:r>
            <w:r>
              <w:rPr>
                <w:b/>
              </w:rPr>
              <w:t>100/50 µg</w:t>
            </w:r>
            <w:r>
              <w:t xml:space="preserve"> .</w:t>
            </w:r>
          </w:p>
        </w:tc>
      </w:tr>
      <w:tr>
        <w:tc>
          <w:tcPr>
            <w:tcW w:type="dxa" w:w="4824"/>
          </w:tcPr>
          <w:p>
            <w:r>
              <w:t>“ET / MF / spleen.”</w:t>
            </w:r>
          </w:p>
        </w:tc>
        <w:tc>
          <w:tcPr>
            <w:tcW w:type="dxa" w:w="4824"/>
          </w:tcPr>
          <w:p>
            <w:r>
              <w:t xml:space="preserve">Not in the HK indication. If he asks, </w:t>
            </w:r>
            <w:r>
              <w:rPr>
                <w:b/>
              </w:rPr>
              <w:t>reactive only</w:t>
            </w:r>
            <w:r>
              <w:t xml:space="preserve"> : cite PI, no leave-behind on ET/MF, document in Veeva. Symptomatic splenomegaly = </w:t>
            </w:r>
            <w:r>
              <w:rPr>
                <w:b/>
              </w:rPr>
              <w:t>do not</w:t>
            </w:r>
            <w:r>
              <w:t xml:space="preserve"> position BESREMi.</w:t>
            </w:r>
          </w:p>
        </w:tc>
      </w:tr>
      <w:tr>
        <w:tc>
          <w:tcPr>
            <w:tcW w:type="dxa" w:w="4824"/>
          </w:tcPr>
          <w:p>
            <w:r>
              <w:t>“Can I stop when VAF is 8%?”</w:t>
            </w:r>
          </w:p>
        </w:tc>
        <w:tc>
          <w:tcPr>
            <w:tcW w:type="dxa" w:w="4824"/>
          </w:tcPr>
          <w:p>
            <w:r>
              <w:t>No. Not a stopping rule; no TFR claim.</w:t>
            </w:r>
          </w:p>
        </w:tc>
      </w:tr>
      <w:tr>
        <w:tc>
          <w:tcPr>
            <w:tcW w:type="dxa" w:w="4824"/>
          </w:tcPr>
          <w:p>
            <w:r>
              <w:t>“Too expensive for my patient.”</w:t>
            </w:r>
          </w:p>
        </w:tc>
        <w:tc>
          <w:tcPr>
            <w:tcW w:type="dxa" w:w="4824"/>
          </w:tcPr>
          <w:p>
            <w:r>
              <w:t xml:space="preserve">If </w:t>
            </w:r>
            <w:r>
              <w:rPr>
                <w:b/>
              </w:rPr>
              <w:t>private</w:t>
            </w:r>
            <w:r>
              <w:t xml:space="preserve"> and eligible: Private Sector PSP </w:t>
            </w:r>
            <w:r>
              <w:rPr>
                <w:b/>
              </w:rPr>
              <w:t>buy 2 get 1</w:t>
            </w:r>
            <w:r>
              <w:t xml:space="preserve"> , first year, </w:t>
            </w:r>
            <w:r>
              <w:rPr>
                <w:b/>
              </w:rPr>
              <w:t>ends 2026</w:t>
            </w:r>
            <w:r>
              <w:t xml:space="preserve"> — confirm live terms. Do not invent a discount. Base Case (buy 5 get 1) if that is the live programme for this setting.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Close (2 minutes)</w:t>
      </w:r>
      <w:r/>
    </w:p>
    <w:p>
      <w:r/>
      <w:r>
        <w:t xml:space="preserve">“If you were to try one patient, the label fit is an </w:t>
      </w:r>
      <w:r>
        <w:rPr>
          <w:b/>
        </w:rPr>
        <w:t>adult with PV, no symptomatic splenomegaly</w:t>
      </w:r>
      <w:r>
        <w:t xml:space="preserve">, where you want disease-directed cytoreduction rather than a one-year hematocrit snapshot — often </w:t>
      </w:r>
      <w:r>
        <w:rPr>
          <w:b/>
        </w:rPr>
        <w:t>HU-intolerant, phlebotomy-burdened, or a longer time horizon</w:t>
      </w:r>
      <w:r>
        <w:t>.</w:t>
      </w:r>
      <w:r/>
    </w:p>
    <w:p>
      <w:r/>
      <w:r>
        <w:t>What would you need from us — nurse injection training, PSP paperwork, or a Medical follow-up on a specific protocol question?</w:t>
      </w:r>
      <w:r/>
    </w:p>
    <w:p>
      <w:r/>
      <w:r>
        <w:t>I will log any off-label scientific question through Medical and will not leave ET/MF materials.”</w:t>
      </w:r>
      <w:r/>
    </w:p>
    <w:p>
      <w:r/>
      <w:r>
        <w:rPr>
          <w:b/>
        </w:rPr>
        <w:t>Capture before you leave (internal only):</w:t>
      </w:r>
      <w:r/>
      <w:r/>
    </w:p>
    <w:p>
      <w:pPr>
        <w:pStyle w:val="ListNumber"/>
        <w:spacing w:line="240" w:lineRule="auto"/>
        <w:ind w:left="720"/>
      </w:pPr>
      <w:r/>
      <w:r>
        <w:t xml:space="preserve">Will he identify a first patient? Y / N / later </w:t>
      </w:r>
      <w:r/>
    </w:p>
    <w:p>
      <w:pPr>
        <w:pStyle w:val="ListNumber"/>
        <w:spacing w:line="240" w:lineRule="auto"/>
        <w:ind w:left="720"/>
      </w:pPr>
      <w:r/>
      <w:r>
        <w:t xml:space="preserve">Barrier: efficacy / safety / cost / spleen / habit / other </w:t>
      </w:r>
      <w:r/>
    </w:p>
    <w:p>
      <w:pPr>
        <w:pStyle w:val="ListNumber"/>
        <w:spacing w:line="240" w:lineRule="auto"/>
        <w:ind w:left="720"/>
      </w:pPr>
      <w:r/>
      <w:r>
        <w:t xml:space="preserve">PSP of interest: Private Sector / Base Case / neither </w:t>
      </w:r>
      <w:r/>
    </w:p>
    <w:p>
      <w:pPr>
        <w:pStyle w:val="ListNumber"/>
        <w:spacing w:line="240" w:lineRule="auto"/>
        <w:ind w:left="720"/>
      </w:pPr>
      <w:r/>
      <w:r>
        <w:t xml:space="preserve">Off-label question asked? Y/N — Veeva </w:t>
      </w:r>
      <w:r/>
    </w:p>
    <w:p>
      <w:pPr>
        <w:pStyle w:val="ListNumber"/>
        <w:spacing w:line="240" w:lineRule="auto"/>
        <w:ind w:left="720"/>
      </w:pPr>
      <w:r/>
      <w:r>
        <w:t xml:space="preserve">Follow-up owner + date 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Explicitly out of scope today</w:t>
      </w:r>
      <w:r/>
      <w:r/>
    </w:p>
    <w:p>
      <w:pPr>
        <w:pStyle w:val="ListBullet"/>
        <w:spacing w:line="240" w:lineRule="auto"/>
        <w:ind w:left="720"/>
      </w:pPr>
      <w:r/>
      <w:r>
        <w:t xml:space="preserve">HA dossier numbers, unpublished lexicon, advisory-board quotes </w:t>
      </w:r>
      <w:r/>
    </w:p>
    <w:p>
      <w:pPr>
        <w:pStyle w:val="ListBullet"/>
        <w:spacing w:line="240" w:lineRule="auto"/>
        <w:ind w:left="720"/>
      </w:pPr>
      <w:r/>
      <w:r>
        <w:t xml:space="preserve">Pregnancy case reports </w:t>
      </w:r>
      <w:r/>
    </w:p>
    <w:p>
      <w:pPr>
        <w:pStyle w:val="ListBullet"/>
        <w:spacing w:line="240" w:lineRule="auto"/>
        <w:ind w:left="720"/>
      </w:pPr>
      <w:r/>
      <w:r>
        <w:t xml:space="preserve">SURPASS-ET, HIDAT as HK start, Novartis early-MF education </w:t>
      </w:r>
      <w:r/>
    </w:p>
    <w:p>
      <w:pPr>
        <w:pStyle w:val="ListBullet"/>
        <w:spacing w:line="240" w:lineRule="auto"/>
        <w:ind w:left="720"/>
      </w:pPr>
      <w:r/>
      <w:r>
        <w:t xml:space="preserve">Low-PV </w:t>
      </w:r>
      <w:r>
        <w:rPr>
          <w:b/>
        </w:rPr>
        <w:t>fixed 100 µg vs PI titration</w:t>
      </w:r>
      <w:r>
        <w:t xml:space="preserve"> unless Medical has gated it </w:t>
      </w:r>
      <w:r>
        <w:rPr>
          <w:b/>
        </w:rPr>
        <w:t>in</w:t>
      </w:r>
      <w:r>
        <w:t xml:space="preserve"> for this call (different regimen) </w:t>
      </w:r>
      <w:r/>
    </w:p>
    <w:p>
      <w:pPr>
        <w:pStyle w:val="ListBullet"/>
        <w:spacing w:line="240" w:lineRule="auto"/>
        <w:ind w:left="720"/>
      </w:pPr>
      <w:r/>
      <w:r>
        <w:t xml:space="preserve">Named patients </w:t>
      </w:r>
      <w:r/>
      <w:r/>
    </w:p>
    <w:p>
      <w:pPr>
        <w:pStyle w:val="Heading2"/>
      </w:pPr>
      <w:r>
        <w:t>HA formulary line</w:t>
      </w:r>
      <w:r/>
    </w:p>
    <w:p>
      <w:r/>
      <w:r>
        <w:t xml:space="preserve">A credible 1:1 at HKSH that </w:t>
      </w:r>
      <w:r>
        <w:rPr>
          <w:b/>
        </w:rPr>
        <w:t>does not over-claim 84.3%</w:t>
      </w:r>
      <w:r>
        <w:t xml:space="preserve"> is the same honesty Medical will need at HA. Over-claiming the graph in private practice becomes a formulary credibility problem later.</w:t>
      </w:r>
      <w:r/>
    </w:p>
    <w:p>
      <w:pPr>
        <w:pStyle w:val="Heading2"/>
      </w:pPr>
      <w:r>
        <w:t>PSP reminder</w:t>
      </w:r>
      <w:r/>
    </w:p>
    <w:p>
      <w:r/>
      <w:r>
        <w:t xml:space="preserve">Quote only live terms after market-access confirm. Private Sector </w:t>
      </w:r>
      <w:r>
        <w:rPr>
          <w:b/>
        </w:rPr>
        <w:t>ends 2026</w:t>
      </w:r>
      <w:r>
        <w:t>. Do not extend terms informally for a KOL.</w:t>
      </w:r>
      <w:r/>
    </w:p>
    <w:p>
      <w:pPr>
        <w:pStyle w:val="Heading2"/>
      </w:pPr>
      <w:r>
        <w:t>Risks</w:t>
      </w:r>
      <w:r/>
      <w:r/>
    </w:p>
    <w:p>
      <w:pPr>
        <w:pStyle w:val="ListNumber"/>
        <w:spacing w:line="240" w:lineRule="auto"/>
        <w:ind w:left="720"/>
      </w:pPr>
      <w:r/>
      <w:r>
        <w:t xml:space="preserve">He treats 84.3% as snapshot CHR — you look promotional. Mitigant: footnote first. </w:t>
      </w:r>
      <w:r/>
    </w:p>
    <w:p>
      <w:pPr>
        <w:pStyle w:val="ListNumber"/>
        <w:spacing w:line="240" w:lineRule="auto"/>
        <w:ind w:left="720"/>
      </w:pPr>
      <w:r/>
      <w:r>
        <w:t>He asks Pegasys H2H — any ranking is a PI/HKAPI breach. Mitigant: class-potency line + log.</w:t>
      </w:r>
      <w:r/>
      <w:r/>
    </w:p>
    <w:p>
      <w:pPr>
        <w:pStyle w:val="Heading2"/>
      </w:pPr>
      <w:r>
        <w:t>After the meeting</w:t>
      </w:r>
      <w:r/>
      <w:r/>
    </w:p>
    <w:p>
      <w:pPr>
        <w:pStyle w:val="ListBullet"/>
        <w:spacing w:line="240" w:lineRule="auto"/>
        <w:ind w:left="720"/>
      </w:pPr>
      <w:r/>
      <w:r>
        <w:t xml:space="preserve">Log in Veeva (including reactive ET/MF if any). </w:t>
      </w:r>
      <w:r/>
    </w:p>
    <w:p>
      <w:pPr>
        <w:pStyle w:val="ListBullet"/>
        <w:spacing w:line="240" w:lineRule="auto"/>
        <w:ind w:left="720"/>
      </w:pPr>
      <w:r/>
      <w:r>
        <w:t xml:space="preserve">Email Medical a three-line debrief (no patient identifiers). </w:t>
      </w:r>
      <w:r/>
    </w:p>
    <w:p>
      <w:pPr>
        <w:pStyle w:val="ListBullet"/>
        <w:spacing w:line="240" w:lineRule="auto"/>
        <w:ind w:left="720"/>
      </w:pPr>
      <w:r/>
      <w:r>
        <w:t xml:space="preserve">If he wants a patient start: PSP eligibility + injection training + current PI. </w:t>
      </w:r>
      <w:r/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PharmaEssentia Asia (Hong Kong) Limited  ·  Mid sensitivity  ·  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E07A2F"/>
        <w:sz w:val="18"/>
      </w:rPr>
      <w:t>DRAFT  |  1:1 script — Prof. Liang  |  26 Aug 2026  |  Consult, not lecture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