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BESREMi physician product training (HK) — v2 (meeting-ready)</w:t>
      </w:r>
      <w:r/>
      <w:r/>
    </w:p>
    <w:p>
      <w:r/>
      <w:r>
        <w:rPr>
          <w:b/>
        </w:rPr>
        <w:t>Status:</w:t>
      </w:r>
      <w:r>
        <w:t xml:space="preserve"> DRAFT pending local Medical / Regulatory / Compliance clearance. Not for field use until approved.</w:t>
        <w:br/>
      </w:r>
      <w:r/>
      <w:r>
        <w:rPr>
          <w:b/>
        </w:rPr>
        <w:t>Audience:</w:t>
      </w:r>
      <w:r>
        <w:t xml:space="preserve"> Internal field, MSL, and PM certification to detail Hong Kong hematologists.</w:t>
        <w:br/>
      </w:r>
      <w:r/>
      <w:r>
        <w:rPr>
          <w:b/>
        </w:rPr>
        <w:t>Sensitivity:</w:t>
      </w:r>
      <w:r>
        <w:t xml:space="preserve"> Mid — approved-piece localization + published evidence + HK PI. No patient-level data.</w:t>
        <w:br/>
      </w:r>
      <w:r/>
      <w:r>
        <w:rPr>
          <w:b/>
        </w:rPr>
        <w:t>Revision date:</w:t>
      </w:r>
      <w:r>
        <w:t xml:space="preserve"> 2026-08-25 (v2)</w:t>
        <w:br/>
      </w:r>
      <w:r/>
      <w:r>
        <w:rPr>
          <w:b/>
        </w:rPr>
        <w:t>Meeting:</w:t>
      </w:r>
      <w:r>
        <w:t xml:space="preserve"> Wednesday 26 Aug 2026 — use </w:t>
      </w:r>
      <w:hyperlink r:id="rId11">
        <w:r>
          <w:rPr>
            <w:color w:val="0000EE"/>
            <w:u w:val="single"/>
          </w:rPr>
          <w:t>physician-product-training-meeting-brief.md</w:t>
        </w:r>
      </w:hyperlink>
      <w:r>
        <w:t xml:space="preserve"> as the run-of-show.</w:t>
        <w:br/>
      </w:r>
      <w:r/>
      <w:r>
        <w:rPr>
          <w:b/>
        </w:rPr>
        <w:t>What changed in v2:</w:t>
      </w:r>
      <w:r>
        <w:t xml:space="preserve"> Closed library gaps — year-1 PROUD-PV honesty, trial safety, EFS ≠ OS, AMWG overlay, gated Low-PV, HIDAT/do-not-use certification. Still no ET/MF/pregnancy promo.</w:t>
        <w:br/>
      </w:r>
      <w:r/>
      <w:r>
        <w:rPr>
          <w:b/>
        </w:rPr>
        <w:t>What changed after the full brochure:</w:t>
      </w:r>
      <w:r>
        <w:t xml:space="preserve"> Training now maps the leave-behind’s 5-year CHR graph, </w:t>
      </w:r>
      <w:r>
        <w:rPr>
          <w:b/>
        </w:rPr>
        <w:t>84.3% ever-CHR</w:t>
      </w:r>
      <w:r>
        <w:t xml:space="preserve">, JAK2 </w:t>
      </w:r>
      <w:r>
        <w:rPr>
          <w:b/>
        </w:rPr>
        <w:t>8% vs 44%</w:t>
      </w:r>
      <w:r>
        <w:t>, 36-month AE table, and PI page so field does not contradict the handout.</w:t>
      </w:r>
      <w:r/>
      <w:r/>
    </w:p>
    <w:p>
      <w:pPr>
        <w:pStyle w:val="Heading2"/>
      </w:pPr>
      <w:r>
        <w:t>Source pieces incorporated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Code / title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Role in this module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 — Disease education</w:t>
            </w:r>
          </w:p>
        </w:tc>
        <w:tc>
          <w:tcPr>
            <w:tcW w:type="dxa" w:w="3216"/>
          </w:tcPr>
          <w:p>
            <w:r>
              <w:t>PharmaEssentia MPN / PV clinical reference (classification, JAK2, WHO 2016, risk, treatment goals)</w:t>
            </w:r>
          </w:p>
        </w:tc>
        <w:tc>
          <w:tcPr>
            <w:tcW w:type="dxa" w:w="3216"/>
          </w:tcPr>
          <w:p>
            <w:r>
              <w:t>Opens the call: diagnose and stage PV before product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B — Treatment &amp; evidence</w:t>
            </w:r>
          </w:p>
        </w:tc>
        <w:tc>
          <w:tcPr>
            <w:tcW w:type="dxa" w:w="3216"/>
          </w:tcPr>
          <w:p>
            <w:r>
              <w:rPr>
                <w:i/>
              </w:rPr>
              <w:t>Rediscovering Polycythemia Vera</w:t>
            </w:r>
            <w:r>
              <w:t xml:space="preserve"> · </w:t>
            </w:r>
            <w:r>
              <w:rPr>
                <w:rFonts w:ascii="Courier" w:hAnsi="Courier"/>
              </w:rPr>
              <w:t>PEC-BES-HK020126</w:t>
            </w:r>
            <w:r>
              <w:t xml:space="preserve"> · PharmaEssentia Asia (Hong Kong) Limited</w:t>
            </w:r>
          </w:p>
        </w:tc>
        <w:tc>
          <w:tcPr>
            <w:tcW w:type="dxa" w:w="3216"/>
          </w:tcPr>
          <w:p>
            <w:r>
              <w:t>NCCN pathway, hydroxyurea (HU) long-term risk, BESREMi CHR and event-free survival (EFS)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C — Local label</w:t>
            </w:r>
          </w:p>
        </w:tc>
        <w:tc>
          <w:tcPr>
            <w:tcW w:type="dxa" w:w="3216"/>
          </w:tcPr>
          <w:p>
            <w:r>
              <w:t xml:space="preserve">HK PI ( </w:t>
            </w:r>
            <w:r>
              <w:rPr>
                <w:rFonts w:ascii="Courier" w:hAnsi="Courier"/>
              </w:rPr>
              <w:t>besremi-hk-pi-summary.md</w:t>
            </w:r>
            <w:r>
              <w:t xml:space="preserve"> )</w:t>
            </w:r>
          </w:p>
        </w:tc>
        <w:tc>
          <w:tcPr>
            <w:tcW w:type="dxa" w:w="3216"/>
          </w:tcPr>
          <w:p>
            <w:r>
              <w:t>Binding on-label boundary for every proactive claim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 — Evidence vault</w:t>
            </w:r>
          </w:p>
        </w:tc>
        <w:tc>
          <w:tcPr>
            <w:tcW w:type="dxa" w:w="3216"/>
          </w:tcPr>
          <w:p>
            <w:r>
              <w:rPr>
                <w:rFonts w:ascii="Courier" w:hAnsi="Courier"/>
              </w:rPr>
              <w:t>pv-clinical-evidence.md</w:t>
            </w:r>
            <w:r>
              <w:t xml:space="preserve"> · Gisslinger et al., </w:t>
            </w:r>
            <w:r>
              <w:rPr>
                <w:i/>
              </w:rPr>
              <w:t>Leukemia</w:t>
            </w:r>
            <w:r>
              <w:t xml:space="preserve"> 2023</w:t>
            </w:r>
          </w:p>
        </w:tc>
        <w:tc>
          <w:tcPr>
            <w:tcW w:type="dxa" w:w="3216"/>
          </w:tcPr>
          <w:p>
            <w:r>
              <w:t>Named RCT numbers for comparative claims vs HU / BAT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E — Physician brochure (this leave-behind)</w:t>
            </w:r>
          </w:p>
        </w:tc>
        <w:tc>
          <w:tcPr>
            <w:tcW w:type="dxa" w:w="3216"/>
          </w:tcPr>
          <w:p>
            <w:r>
              <w:t>EFFICACY / SAFETY / OTHER INFO tabbed piece (CHR 5-year graph, JAK2 VAF, EFS KM, 36-month AE table, PI)</w:t>
            </w:r>
          </w:p>
        </w:tc>
        <w:tc>
          <w:tcPr>
            <w:tcW w:type="dxa" w:w="3216"/>
          </w:tcPr>
          <w:p>
            <w:r>
              <w:t xml:space="preserve">HCP handout — training is the </w:t>
            </w:r>
            <w:r>
              <w:rPr>
                <w:b/>
              </w:rPr>
              <w:t>translation layer</w:t>
            </w:r>
            <w:r>
              <w:t xml:space="preserve"> ; see brochure map</w:t>
            </w:r>
          </w:p>
        </w:tc>
      </w:tr>
    </w:tbl>
    <w:p>
      <w:r/>
    </w:p>
    <w:p>
      <w:r/>
      <w:r>
        <w:rPr>
          <w:b/>
        </w:rPr>
        <w:t>Deliverables in this revision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824"/>
          </w:tcPr>
          <w:p>
            <w:r>
              <w:t>Facilitator / talk-track</w:t>
            </w:r>
          </w:p>
        </w:tc>
        <w:tc>
          <w:tcPr>
            <w:tcW w:type="dxa" w:w="4824"/>
          </w:tcPr>
          <w:p>
            <w:hyperlink r:id="rId12">
              <w:r>
                <w:rPr>
                  <w:color w:val="0000EE"/>
                  <w:u w:val="single"/>
                </w:rPr>
                <w:t>physician-product-training.md</w:t>
              </w:r>
            </w:hyperlink>
            <w:r>
              <w:t xml:space="preserve"> (this file) · Word: </w:t>
            </w:r>
            <w:hyperlink r:id="rId13">
              <w:r>
                <w:rPr>
                  <w:color w:val="0000EE"/>
                  <w:u w:val="single"/>
                </w:rPr>
                <w:t>physician-product-training.docx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Today’s 1-pager</w:t>
            </w:r>
          </w:p>
        </w:tc>
        <w:tc>
          <w:tcPr>
            <w:tcW w:type="dxa" w:w="4824"/>
          </w:tcPr>
          <w:p>
            <w:hyperlink r:id="rId11">
              <w:r>
                <w:rPr>
                  <w:color w:val="0000EE"/>
                  <w:u w:val="single"/>
                </w:rPr>
                <w:t>physician-product-training-meeting-brief.md</w:t>
              </w:r>
            </w:hyperlink>
          </w:p>
        </w:tc>
      </w:tr>
      <w:tr>
        <w:tc>
          <w:tcPr>
            <w:tcW w:type="dxa" w:w="4824"/>
          </w:tcPr>
          <w:p>
            <w:r>
              <w:t>Compliance pre-flight</w:t>
            </w:r>
          </w:p>
        </w:tc>
        <w:tc>
          <w:tcPr>
            <w:tcW w:type="dxa" w:w="4824"/>
          </w:tcPr>
          <w:p>
            <w:hyperlink r:id="rId14">
              <w:r>
                <w:rPr>
                  <w:color w:val="0000EE"/>
                  <w:u w:val="single"/>
                </w:rPr>
                <w:t>physician-product-training-compliance.md</w:t>
              </w:r>
            </w:hyperlink>
          </w:p>
        </w:tc>
      </w:tr>
      <w:tr>
        <w:tc>
          <w:tcPr>
            <w:tcW w:type="dxa" w:w="4824"/>
          </w:tcPr>
          <w:p>
            <w:r>
              <w:t>HTML slide deck (keyboard ← →)</w:t>
            </w:r>
          </w:p>
        </w:tc>
        <w:tc>
          <w:tcPr>
            <w:tcW w:type="dxa" w:w="4824"/>
          </w:tcPr>
          <w:p>
            <w:hyperlink r:id="rId15">
              <w:r>
                <w:rPr>
                  <w:color w:val="0000EE"/>
                  <w:u w:val="single"/>
                </w:rPr>
                <w:t>physician-product-training-slides.html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Brochure vs training map</w:t>
            </w:r>
          </w:p>
        </w:tc>
        <w:tc>
          <w:tcPr>
            <w:tcW w:type="dxa" w:w="4824"/>
          </w:tcPr>
          <w:p>
            <w:hyperlink r:id="rId16">
              <w:r>
                <w:rPr>
                  <w:color w:val="0000EE"/>
                  <w:u w:val="single"/>
                </w:rPr>
                <w:t>physician-product-training-brochure-map.md</w:t>
              </w:r>
            </w:hyperlink>
            <w:r>
              <w:t xml:space="preserve"> — why 84.3% / the 5-year graph / JAK2 8% vs 44% are not the same as PI 43.1% and 54.5%</w:t>
            </w:r>
          </w:p>
        </w:tc>
      </w:tr>
      <w:tr>
        <w:tc>
          <w:tcPr>
            <w:tcW w:type="dxa" w:w="4824"/>
          </w:tcPr>
          <w:p>
            <w:r>
              <w:t>Library gaps (why v2 exists)</w:t>
            </w:r>
          </w:p>
        </w:tc>
        <w:tc>
          <w:tcPr>
            <w:tcW w:type="dxa" w:w="4824"/>
          </w:tcPr>
          <w:p>
            <w:hyperlink r:id="rId17">
              <w:r>
                <w:rPr>
                  <w:color w:val="0000EE"/>
                  <w:u w:val="single"/>
                </w:rPr>
                <w:t>physician-product-training-gaps.md</w:t>
              </w:r>
            </w:hyperlink>
          </w:p>
        </w:tc>
      </w:tr>
      <w:tr>
        <w:tc>
          <w:tcPr>
            <w:tcW w:type="dxa" w:w="4824"/>
          </w:tcPr>
          <w:p>
            <w:r>
              <w:t>Canva 12-slide deck (v1 visual; use HTML for v2)</w:t>
            </w:r>
          </w:p>
        </w:tc>
        <w:tc>
          <w:tcPr>
            <w:tcW w:type="dxa" w:w="4824"/>
          </w:tcPr>
          <w:p>
            <w:hyperlink r:id="rId18">
              <w:r>
                <w:rPr>
                  <w:color w:val="0000EE"/>
                  <w:u w:val="single"/>
                </w:rPr>
                <w:t>Open in Canva</w:t>
              </w:r>
            </w:hyperlink>
            <w:r>
              <w:t xml:space="preserve"> (design </w:t>
            </w:r>
            <w:r>
              <w:rPr>
                <w:rFonts w:ascii="Courier" w:hAnsi="Courier"/>
              </w:rPr>
              <w:t>DAHTRbuo6kQ</w:t>
            </w:r>
            <w:r>
              <w:t xml:space="preserve"> )</w:t>
            </w:r>
          </w:p>
        </w:tc>
      </w:tr>
    </w:tbl>
    <w:p>
      <w:r/>
    </w:p>
    <w:p>
      <w:r/>
      <w:r>
        <w:rPr>
          <w:b/>
        </w:rPr>
        <w:t>Do not</w:t>
      </w:r>
      <w:r>
        <w:t xml:space="preserve"> treat Piece A/B/E as a substitute for HK PI. NCCN is a </w:t>
      </w:r>
      <w:r>
        <w:rPr>
          <w:b/>
        </w:rPr>
        <w:t>US</w:t>
      </w:r>
      <w:r>
        <w:t xml:space="preserve"> guideline. Hong Kong prescribing follows the local indication, not NCCN category ranking.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Recommendation for how to run the session</w:t>
      </w:r>
      <w:r/>
    </w:p>
    <w:p>
      <w:r/>
      <w:r>
        <w:rPr>
          <w:b/>
        </w:rPr>
        <w:t>Do</w:t>
      </w:r>
      <w:r>
        <w:t xml:space="preserve"> run disease-first, then </w:t>
      </w:r>
      <w:r>
        <w:rPr>
          <w:b/>
        </w:rPr>
        <w:t>say the year-1 miss before the 6-year win</w:t>
      </w:r>
      <w:r>
        <w:t xml:space="preserve">, then safety, then HK PI. If you are </w:t>
      </w:r>
      <w:r>
        <w:rPr>
          <w:b/>
        </w:rPr>
        <w:t>handing the full physician brochure</w:t>
      </w:r>
      <w:r>
        <w:t xml:space="preserve"> (EFFICACY / SAFETY / OTHER INFO tabs), walk those pages and use </w:t>
      </w:r>
      <w:hyperlink r:id="rId16">
        <w:r>
          <w:rPr>
            <w:color w:val="0000EE"/>
            <w:u w:val="single"/>
          </w:rPr>
          <w:t>physician-product-training-brochure-map.md</w:t>
        </w:r>
      </w:hyperlink>
      <w:r>
        <w:t xml:space="preserve"> as the translation layer. </w:t>
      </w:r>
      <w:r>
        <w:rPr>
          <w:b/>
        </w:rPr>
        <w:t>Do not</w:t>
      </w:r>
      <w:r>
        <w:t xml:space="preserve"> import HIDAT, Pegasys superiority, ET/MF, pregnancy, or the Novartis early-MF PDF (</w:t>
      </w:r>
      <w:r>
        <w:rPr>
          <w:rFonts w:ascii="Courier" w:hAnsi="Courier"/>
        </w:rPr>
        <w:t>20230508162013_1_slideshow.pdf</w:t>
      </w:r>
      <w:r>
        <w:t>).</w:t>
      </w:r>
      <w:r/>
    </w:p>
    <w:p>
      <w:r/>
      <w:r>
        <w:rPr>
          <w:b/>
        </w:rPr>
        <w:t>The brochure and this training are the same trials, different analyses.</w:t>
      </w:r>
      <w:r>
        <w:t xml:space="preserve"> The leave-behind graph (~62% vs ~75% at month 12; ~73% at month 60) and </w:t>
      </w:r>
      <w:r>
        <w:rPr>
          <w:b/>
        </w:rPr>
        <w:t>84.3% (107/127) ever-CHR</w:t>
      </w:r>
      <w:r>
        <w:t xml:space="preserve"> will contradict the PI primary (</w:t>
      </w:r>
      <w:r>
        <w:rPr>
          <w:b/>
        </w:rPr>
        <w:t>43.1% vs 46%</w:t>
      </w:r>
      <w:r>
        <w:t xml:space="preserve"> at 12 months; </w:t>
      </w:r>
      <w:r>
        <w:rPr>
          <w:b/>
        </w:rPr>
        <w:t>54.5% vs 34.9%</w:t>
      </w:r>
      <w:r>
        <w:t xml:space="preserve"> at 72 months) unless you </w:t>
      </w:r>
      <w:r>
        <w:rPr>
          <w:b/>
        </w:rPr>
        <w:t>name the analysis out loud</w:t>
      </w:r>
      <w:r>
        <w:t>.</w:t>
      </w:r>
      <w:r/>
    </w:p>
    <w:p>
      <w:r/>
      <w:r>
        <w:rPr>
          <w:b/>
        </w:rPr>
        <w:t>Session length:</w:t>
      </w:r>
      <w:r>
        <w:t xml:space="preserve"> Facilitator section times below are for </w:t>
      </w:r>
      <w:r>
        <w:rPr>
          <w:b/>
        </w:rPr>
        <w:t>full certification</w:t>
      </w:r>
      <w:r>
        <w:t xml:space="preserve">. Today compresses to </w:t>
      </w:r>
      <w:r>
        <w:rPr>
          <w:b/>
        </w:rPr>
        <w:t>60 minutes</w:t>
      </w:r>
      <w:r>
        <w:t xml:space="preserve"> — use the meeting brief, not every minute mark in this file. Low-PV is </w:t>
      </w:r>
      <w:r>
        <w:rPr>
          <w:b/>
        </w:rPr>
        <w:t>gated</w:t>
      </w:r>
      <w:r>
        <w:t xml:space="preserve"> — core slide only if Medical says yes in the room.</w:t>
        <w:br/>
      </w:r>
      <w:r/>
      <w:r>
        <w:rPr>
          <w:b/>
        </w:rPr>
        <w:t>HKAPI:</w:t>
      </w:r>
      <w:r>
        <w:t xml:space="preserve"> If an HCP is present, ≥ two-thirds genuine scientific content; hospitality within Code caps; abbreviated PI on every leave-behind.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Module objectives (field must be able to…)</w:t>
      </w:r>
      <w:r/>
      <w:r/>
    </w:p>
    <w:p>
      <w:pPr>
        <w:pStyle w:val="ListNumber"/>
        <w:spacing w:line="240" w:lineRule="auto"/>
        <w:ind w:left="720"/>
      </w:pPr>
      <w:r/>
      <w:r>
        <w:t>Place polycythemia vera (PV) inside myeloproliferative neoplasms (MPNs) without promoting essential thrombocythemia (ET) or primary myelofibrosis (PMF).</w:t>
      </w:r>
      <w:r/>
    </w:p>
    <w:p>
      <w:pPr>
        <w:pStyle w:val="ListNumber"/>
        <w:spacing w:line="240" w:lineRule="auto"/>
        <w:ind w:left="720"/>
      </w:pPr>
      <w:r/>
      <w:r>
        <w:t>Walk a hematologist through WHO 2016 PV criteria, JAK2 biology, risk (age / thrombosis), and treatment goals using Piece A.</w:t>
      </w:r>
      <w:r/>
    </w:p>
    <w:p>
      <w:pPr>
        <w:pStyle w:val="ListNumber"/>
        <w:spacing w:line="240" w:lineRule="auto"/>
        <w:ind w:left="720"/>
      </w:pPr>
      <w:r/>
      <w:r>
        <w:t xml:space="preserve">Place </w:t>
      </w:r>
      <w:r>
        <w:rPr>
          <w:b/>
        </w:rPr>
        <w:t>NCCN (US)</w:t>
      </w:r>
      <w:r>
        <w:t xml:space="preserve"> and </w:t>
      </w:r>
      <w:r>
        <w:rPr>
          <w:b/>
        </w:rPr>
        <w:t>AMWG 2023 (Asia)</w:t>
      </w:r>
      <w:r>
        <w:t xml:space="preserve"> as scientific context, then restate the </w:t>
      </w:r>
      <w:r>
        <w:rPr>
          <w:b/>
        </w:rPr>
        <w:t>HK indication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Quote year-1 PROUD-PV </w:t>
      </w:r>
      <w:r>
        <w:rPr>
          <w:b/>
        </w:rPr>
        <w:t>honestly</w:t>
      </w:r>
      <w:r>
        <w:t xml:space="preserve"> (43% vs 46%, NS) </w:t>
      </w:r>
      <w:r>
        <w:rPr>
          <w:b/>
        </w:rPr>
        <w:t>then</w:t>
      </w:r>
      <w:r>
        <w:t xml:space="preserve"> 72-month CHR and EFS from named studies.</w:t>
      </w:r>
      <w:r/>
    </w:p>
    <w:p>
      <w:pPr>
        <w:pStyle w:val="ListNumber"/>
        <w:spacing w:line="240" w:lineRule="auto"/>
        <w:ind w:left="720"/>
      </w:pPr>
      <w:r/>
      <w:r>
        <w:t>Counsel trial safety (grade ≥3 similar to HU; more IFN-class discontinuations) without attacking HU.</w:t>
      </w:r>
      <w:r/>
    </w:p>
    <w:p>
      <w:pPr>
        <w:pStyle w:val="ListNumber"/>
        <w:spacing w:line="240" w:lineRule="auto"/>
        <w:ind w:left="720"/>
      </w:pPr>
      <w:r/>
      <w:r>
        <w:t>Handle Pegasys / China ropeg / HIDAT / “it failed at one year” without IFN-to-IFN superiority or off-label dosing.</w:t>
      </w:r>
      <w:r/>
    </w:p>
    <w:p>
      <w:pPr>
        <w:pStyle w:val="ListNumber"/>
        <w:spacing w:line="240" w:lineRule="auto"/>
        <w:ind w:left="720"/>
      </w:pPr>
      <w:r/>
      <w:r>
        <w:t xml:space="preserve">Start, titrate, and stop per HK PI (100/50 µg — </w:t>
      </w:r>
      <w:r>
        <w:rPr>
          <w:b/>
        </w:rPr>
        <w:t>not</w:t>
      </w:r>
      <w:r>
        <w:t xml:space="preserve"> 250–350–500); report ADRs; describe PSP only as currently approved.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Compliance banner (say this before any HCP delivery)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On-label (HK):</w:t>
      </w:r>
      <w:r>
        <w:t xml:space="preserve"> monotherapy in </w:t>
      </w:r>
      <w:r>
        <w:rPr>
          <w:b/>
        </w:rPr>
        <w:t>adults</w:t>
      </w:r>
      <w:r>
        <w:t xml:space="preserve"> for </w:t>
      </w:r>
      <w:r>
        <w:rPr>
          <w:b/>
        </w:rPr>
        <w:t>polycythaemia vera without symptomatic splenomegaly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ET / MF:</w:t>
      </w:r>
      <w:r>
        <w:t xml:space="preserve"> disease-classification context only. No efficacy, dosing, or access discussion unless the physician asks — then reactive, documented, PI-cited.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No IFN-class superiority.</w:t>
      </w:r>
      <w:r>
        <w:t xml:space="preserve"> PI: potency of this product must not be compared with another pegylated or non-pegylated protein of the same class.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Comparative claims</w:t>
      </w:r>
      <w:r>
        <w:t xml:space="preserve"> vs HU or phlebotomy: named RCT + statistically significant result only (HKAPI §3.5).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NCCN ≠ HA Drug Formulary.</w:t>
      </w:r>
      <w:r>
        <w:t xml:space="preserve"> Do not imply Hospital Authority listing or local guideline adoption.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Every promotional leave-behind:</w:t>
      </w:r>
      <w:r>
        <w:t xml:space="preserve"> abbreviated PI (indication, dosage, contraindications, side effects, approval date).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Talk-track (use this order)</w:t>
      </w:r>
      <w:r/>
    </w:p>
    <w:p>
      <w:pPr>
        <w:pStyle w:val="Heading3"/>
      </w:pPr>
      <w:r>
        <w:t>1. Open — why PV still needs rediscovering (2 min)</w:t>
      </w:r>
      <w:r/>
    </w:p>
    <w:p>
      <w:r/>
      <w:r>
        <w:rPr>
          <w:b/>
        </w:rPr>
        <w:t>Say:</w:t>
      </w:r>
      <w:r>
        <w:t xml:space="preserve"> PV is a chronic JAK2-driven MPN. Control of hematocrit is necessary but not sufficient: goals are prevent thrombosis, prevent myelofibrotic transformation, prevent acute leukemia, and improve symptoms.</w:t>
      </w:r>
      <w:r/>
    </w:p>
    <w:p>
      <w:r/>
      <w:r>
        <w:rPr>
          <w:b/>
        </w:rPr>
        <w:t>Show:</w:t>
      </w:r>
      <w:r>
        <w:t xml:space="preserve"> Piece A treatment-goal panel (thrombosis / myelofibrosis / acute leukemia).</w:t>
        <w:br/>
      </w:r>
      <w:r/>
      <w:r>
        <w:rPr>
          <w:b/>
        </w:rPr>
        <w:t>Do not say:</w:t>
      </w:r>
      <w:r>
        <w:t xml:space="preserve"> “BESREMi is proven to prevent leukemia” — EFS includes rare progression events; do not convert a composite into a leukemia-prevention claim.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2. Piece A — MPN classification (5 min)</w:t>
      </w:r>
      <w:r/>
    </w:p>
    <w:p>
      <w:r/>
      <w:r>
        <w:t>PV is overproduction of erythrocytes, sometimes with high leukocytes and platelets, from neoplastic JAK2-driven proliferation.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b/>
              </w:rPr>
              <w:t>PV</w:t>
            </w:r>
          </w:p>
        </w:tc>
        <w:tc>
          <w:tcPr>
            <w:tcW w:type="dxa" w:w="2412"/>
          </w:tcPr>
          <w:p>
            <w:r>
              <w:rPr>
                <w:b/>
              </w:rPr>
              <w:t>ET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PMF</w:t>
            </w:r>
          </w:p>
        </w:tc>
      </w:tr>
      <w:tr>
        <w:tc>
          <w:tcPr>
            <w:tcW w:type="dxa" w:w="2412"/>
          </w:tcPr>
          <w:p>
            <w:r>
              <w:t>Driver mutations (Piece A)</w:t>
            </w:r>
          </w:p>
        </w:tc>
        <w:tc>
          <w:tcPr>
            <w:tcW w:type="dxa" w:w="2412"/>
          </w:tcPr>
          <w:p>
            <w:r>
              <w:t>97% JAK2 V617F; 1% JAK2 exon 12; 2% unknown / triple-negative</w:t>
            </w:r>
          </w:p>
        </w:tc>
        <w:tc>
          <w:tcPr>
            <w:tcW w:type="dxa" w:w="2412"/>
          </w:tcPr>
          <w:p>
            <w:r>
              <w:t>55% JAK2 V617F; 25% CALR exon 9; 5% MPL exon 10; 15% unknown</w:t>
            </w:r>
          </w:p>
        </w:tc>
        <w:tc>
          <w:tcPr>
            <w:tcW w:type="dxa" w:w="2412"/>
          </w:tcPr>
          <w:p>
            <w:r>
              <w:t>55% JAK2 V617F; 30% CALR; 8% MPL; 7% unknown</w:t>
            </w:r>
          </w:p>
        </w:tc>
      </w:tr>
      <w:tr>
        <w:tc>
          <w:tcPr>
            <w:tcW w:type="dxa" w:w="2412"/>
          </w:tcPr>
          <w:p>
            <w:r>
              <w:t>Most common symptoms</w:t>
            </w:r>
          </w:p>
        </w:tc>
        <w:tc>
          <w:tcPr>
            <w:tcW w:type="dxa" w:w="2412"/>
          </w:tcPr>
          <w:p>
            <w:r>
              <w:t>Fatigue 74%; itching 57%; sleep difficulty 55%</w:t>
            </w:r>
          </w:p>
        </w:tc>
        <w:tc>
          <w:tcPr>
            <w:tcW w:type="dxa" w:w="2412"/>
          </w:tcPr>
          <w:p>
            <w:r>
              <w:t>Fatigue 71%; bruising 52%; numbness/tingling 50%</w:t>
            </w:r>
          </w:p>
        </w:tc>
        <w:tc>
          <w:tcPr>
            <w:tcW w:type="dxa" w:w="2412"/>
          </w:tcPr>
          <w:p>
            <w:r>
              <w:t>Fatigue 81%; abdominal discomfort 58%; night sweats 55%; sleep difficulty 53%</w:t>
            </w:r>
          </w:p>
        </w:tc>
      </w:tr>
      <w:tr>
        <w:tc>
          <w:tcPr>
            <w:tcW w:type="dxa" w:w="2412"/>
          </w:tcPr>
          <w:p>
            <w:r>
              <w:t>Most severe (checked on piece)</w:t>
            </w:r>
          </w:p>
        </w:tc>
        <w:tc>
          <w:tcPr>
            <w:tcW w:type="dxa" w:w="2412"/>
          </w:tcPr>
          <w:p>
            <w:r>
              <w:t>Fatigue, inactivity, sleep difficulty</w:t>
            </w:r>
          </w:p>
        </w:tc>
        <w:tc>
          <w:tcPr>
            <w:tcW w:type="dxa" w:w="2412"/>
          </w:tcPr>
          <w:p>
            <w:r>
              <w:t>Fatigue, inactivity, numbness/tingling, muscle aches</w:t>
            </w:r>
          </w:p>
        </w:tc>
        <w:tc>
          <w:tcPr>
            <w:tcW w:type="dxa" w:w="2412"/>
          </w:tcPr>
          <w:p>
            <w:r>
              <w:t>Fatigue, inactivity, concentrating problems, sleep difficulty</w:t>
            </w:r>
          </w:p>
        </w:tc>
      </w:tr>
    </w:tbl>
    <w:p>
      <w:r/>
    </w:p>
    <w:p>
      <w:r/>
      <w:r>
        <w:rPr>
          <w:b/>
        </w:rPr>
        <w:t>Field rule:</w:t>
      </w:r>
      <w:r>
        <w:t xml:space="preserve"> Spend ~80% of this table on the </w:t>
      </w:r>
      <w:r>
        <w:rPr>
          <w:b/>
        </w:rPr>
        <w:t>PV column</w:t>
      </w:r>
      <w:r>
        <w:t xml:space="preserve">. ET/PMF columns answer “how is this different from the other MPNs?” — they are </w:t>
      </w:r>
      <w:r>
        <w:rPr>
          <w:b/>
        </w:rPr>
        <w:t>not</w:t>
      </w:r>
      <w:r>
        <w:t xml:space="preserve"> a prompt to discuss BESREMi in ET or MF.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3. Piece A — JAK2 pathophysiology (3 min)</w:t>
      </w:r>
      <w:r/>
    </w:p>
    <w:p>
      <w:r/>
      <w:r>
        <w:rPr>
          <w:b/>
        </w:rPr>
        <w:t>Normal:</w:t>
      </w:r>
      <w:r>
        <w:t xml:space="preserve"> erythropoietin (EPO) binds EPO receptor → receptor homodimerization → JAK2 autophosphorylation.</w:t>
        <w:br/>
      </w:r>
      <w:r/>
      <w:r>
        <w:rPr>
          <w:b/>
        </w:rPr>
        <w:t>PV:</w:t>
      </w:r>
      <w:r>
        <w:t xml:space="preserve"> JAK2 mutation → constitutive signaling </w:t>
      </w:r>
      <w:r>
        <w:rPr>
          <w:b/>
        </w:rPr>
        <w:t>without</w:t>
      </w:r>
      <w:r>
        <w:t xml:space="preserve"> EPO.</w:t>
      </w:r>
      <w:r/>
    </w:p>
    <w:p>
      <w:r/>
      <w:r>
        <w:rPr>
          <w:b/>
        </w:rPr>
        <w:t>Bridge:</w:t>
      </w:r>
      <w:r>
        <w:t xml:space="preserve"> This is why hematocrit control plus disease-directed cytoreduction is the clinical conversation — not phlebotomy as a stand-alone long-term plan in patients who meet cytoreduction criteria.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4. Piece A — WHO 2016 diagnostic criteria for PV (4 min)</w:t>
      </w:r>
      <w:r/>
    </w:p>
    <w:p>
      <w:r/>
      <w:r>
        <w:rPr>
          <w:b/>
        </w:rPr>
        <w:t>Major</w:t>
      </w:r>
      <w:r/>
      <w:r/>
    </w:p>
    <w:p>
      <w:pPr>
        <w:pStyle w:val="ListNumber"/>
        <w:spacing w:line="240" w:lineRule="auto"/>
        <w:ind w:left="720"/>
      </w:pPr>
      <w:r/>
      <w:r>
        <w:t xml:space="preserve">Hemoglobin &gt;16.5 g/dL (male) / &gt;16.0 g/dL (female) </w:t>
      </w:r>
      <w:r>
        <w:rPr>
          <w:b/>
        </w:rPr>
        <w:t>or</w:t>
      </w:r>
      <w:r>
        <w:t xml:space="preserve"> hematocrit &gt;49% (male) / &gt;48% (female) </w:t>
      </w:r>
      <w:r>
        <w:rPr>
          <w:b/>
        </w:rPr>
        <w:t>or</w:t>
      </w:r>
      <w:r>
        <w:t xml:space="preserve"> red-cell mass &gt;25% above mean predicted.</w:t>
      </w:r>
      <w:r/>
    </w:p>
    <w:p>
      <w:pPr>
        <w:pStyle w:val="ListNumber"/>
        <w:spacing w:line="240" w:lineRule="auto"/>
        <w:ind w:left="720"/>
      </w:pPr>
      <w:r/>
      <w:r>
        <w:t>Bone-marrow biopsy: prominent erythroid, granulocytic, and megakaryocytic proliferation.</w:t>
      </w:r>
      <w:r/>
    </w:p>
    <w:p>
      <w:pPr>
        <w:pStyle w:val="ListNumber"/>
        <w:spacing w:line="240" w:lineRule="auto"/>
        <w:ind w:left="720"/>
      </w:pPr>
      <w:r/>
      <w:r>
        <w:t>JAK2 V617F or JAK2 exon 12 mutation.</w:t>
      </w:r>
      <w:r/>
      <w:r/>
    </w:p>
    <w:p>
      <w:r/>
      <w:r>
        <w:rPr>
          <w:b/>
        </w:rPr>
        <w:t>Minor:</w:t>
      </w:r>
      <w:r>
        <w:t xml:space="preserve"> subnormal serum EPO.</w:t>
      </w:r>
      <w:r/>
    </w:p>
    <w:p>
      <w:r/>
      <w:r>
        <w:rPr>
          <w:b/>
        </w:rPr>
        <w:t>Diagnosis:</w:t>
      </w:r>
      <w:r>
        <w:t xml:space="preserve"> all 3 major, </w:t>
      </w:r>
      <w:r>
        <w:rPr>
          <w:b/>
        </w:rPr>
        <w:t>or</w:t>
      </w:r>
      <w:r>
        <w:t xml:space="preserve"> first 2 major + the minor criterion.</w:t>
      </w:r>
      <w:r/>
    </w:p>
    <w:p>
      <w:r/>
      <w:r>
        <w:rPr>
          <w:b/>
        </w:rPr>
        <w:t>Local note:</w:t>
      </w:r>
      <w:r>
        <w:t xml:space="preserve"> If a physician uses newer WHO/ICC language, do not argue version numbers. Stay on the diagnostic logic; do not invent updated cut-offs.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5. Piece A — PV risk stratification (2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/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no</w:t>
            </w:r>
          </w:p>
        </w:tc>
      </w:tr>
      <w:tr>
        <w:tc>
          <w:tcPr>
            <w:tcW w:type="dxa" w:w="3216"/>
          </w:tcPr>
          <w:p>
            <w:r>
              <w:t>Age ≥60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</w:tr>
      <w:tr>
        <w:tc>
          <w:tcPr>
            <w:tcW w:type="dxa" w:w="3216"/>
          </w:tcPr>
          <w:p>
            <w:r>
              <w:t>Age &lt;60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Low-risk</w:t>
            </w:r>
          </w:p>
        </w:tc>
      </w:tr>
    </w:tbl>
    <w:p>
      <w:r/>
    </w:p>
    <w:p>
      <w:r/>
      <w:r>
        <w:t xml:space="preserve">Only </w:t>
      </w:r>
      <w:r>
        <w:rPr>
          <w:b/>
        </w:rPr>
        <w:t>age &lt;60 and no prior thrombosis</w:t>
      </w:r>
      <w:r>
        <w:t xml:space="preserve"> is low-risk on this piece. Everyone else is high-risk.</w:t>
      </w:r>
      <w:r/>
    </w:p>
    <w:p>
      <w:r/>
      <w:r>
        <w:rPr>
          <w:b/>
        </w:rPr>
        <w:t>Treatment goals (Piece A, say before NCCN):</w:t>
      </w:r>
      <w:r>
        <w:t xml:space="preserve"> ELN 2013: (1) prevent first thrombosis; (2) prevent recurrence; (3) prevent progression to MF/AML; (4) manage systemic symptoms. ELN 2021 adds </w:t>
      </w:r>
      <w:r>
        <w:rPr>
          <w:b/>
        </w:rPr>
        <w:t>avoid iatrogenic toxicity</w:t>
      </w:r>
      <w:r>
        <w:t xml:space="preserve"> and </w:t>
      </w:r>
      <w:r>
        <w:rPr>
          <w:b/>
        </w:rPr>
        <w:t>improve HRQoL</w:t>
      </w:r>
      <w:r>
        <w:t xml:space="preserve">. These are the </w:t>
      </w:r>
      <w:r>
        <w:rPr>
          <w:b/>
        </w:rPr>
        <w:t>disease-management bar</w:t>
      </w:r>
      <w:r>
        <w:t>, not BESREMi-specific claims.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5a. Hong Kong / Asia overlay — AMWG 2023 (4 min)</w:t>
      </w:r>
      <w:r/>
    </w:p>
    <w:p>
      <w:r/>
      <w:r>
        <w:rPr>
          <w:b/>
        </w:rPr>
        <w:t>Why this is in tomorrow’s core deck:</w:t>
      </w:r>
      <w:r>
        <w:t xml:space="preserve"> NCCN is US art. A HK haematologist will ask what </w:t>
      </w:r>
      <w:r>
        <w:rPr>
          <w:b/>
        </w:rPr>
        <w:t>Asia</w:t>
      </w:r>
      <w:r>
        <w:t xml:space="preserve"> says. AMWG 2023 (Gill H, Leung GMK, Lopes D, </w:t>
      </w:r>
      <w:r>
        <w:rPr>
          <w:b/>
        </w:rPr>
        <w:t>Kwong YL</w:t>
      </w:r>
      <w:r>
        <w:t xml:space="preserve">, HKU) in </w:t>
      </w:r>
      <w:r>
        <w:rPr>
          <w:i/>
        </w:rPr>
        <w:t>Curr Hematol Malig Rep</w:t>
      </w:r>
      <w:r>
        <w:t xml:space="preserve"> is the local-expert overlay. It is </w:t>
      </w:r>
      <w:r>
        <w:rPr>
          <w:b/>
        </w:rPr>
        <w:t>not HA</w:t>
      </w:r>
      <w:r>
        <w:t xml:space="preserve">, </w:t>
      </w:r>
      <w:r>
        <w:rPr>
          <w:b/>
        </w:rPr>
        <w:t>not a BESREMi label</w:t>
      </w:r>
      <w:r>
        <w:t xml:space="preserve">, and </w:t>
      </w:r>
      <w:r>
        <w:rPr>
          <w:b/>
        </w:rPr>
        <w:t>does not rank</w:t>
      </w:r>
      <w:r>
        <w:t xml:space="preserve"> peg-IFN-α-2a vs ropeg.</w:t>
      </w:r>
      <w:r/>
    </w:p>
    <w:p>
      <w:r/>
      <w:r>
        <w:rPr>
          <w:b/>
        </w:rPr>
        <w:t>Must-say:</w:t>
      </w:r>
      <w:r/>
      <w:r/>
    </w:p>
    <w:p>
      <w:pPr>
        <w:pStyle w:val="ListBullet"/>
        <w:spacing w:line="240" w:lineRule="auto"/>
        <w:ind w:left="720"/>
      </w:pPr>
      <w:r/>
      <w:r>
        <w:t xml:space="preserve">PV is </w:t>
      </w:r>
      <w:r>
        <w:rPr>
          <w:b/>
        </w:rPr>
        <w:t>not a uniform disease</w:t>
      </w:r>
      <w:r>
        <w:t xml:space="preserve">. </w:t>
      </w:r>
      <w:r>
        <w:rPr>
          <w:b/>
        </w:rPr>
        <w:t>JAK2 V617F allele burden</w:t>
      </w:r>
      <w:r>
        <w:t xml:space="preserve"> and </w:t>
      </w:r>
      <w:r>
        <w:rPr>
          <w:b/>
        </w:rPr>
        <w:t>leukocytosis</w:t>
      </w:r>
      <w:r>
        <w:t xml:space="preserve"> are associated with </w:t>
      </w:r>
      <w:r>
        <w:rPr>
          <w:b/>
        </w:rPr>
        <w:t>thrombosis</w:t>
      </w:r>
      <w:r>
        <w:t xml:space="preserve"> and </w:t>
      </w:r>
      <w:r>
        <w:rPr>
          <w:b/>
        </w:rPr>
        <w:t>transformation</w:t>
      </w:r>
      <w:r>
        <w:t xml:space="preserve"> (AMWG narrative; concordant with ELN 2021).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Phlebotomy-only</w:t>
      </w:r>
      <w:r>
        <w:t xml:space="preserve"> is </w:t>
      </w:r>
      <w:r>
        <w:rPr>
          <w:b/>
        </w:rPr>
        <w:t>not</w:t>
      </w:r>
      <w:r>
        <w:t xml:space="preserve"> recommended as </w:t>
      </w:r>
      <w:r>
        <w:rPr>
          <w:b/>
        </w:rPr>
        <w:t>long-term</w:t>
      </w:r>
      <w:r>
        <w:t xml:space="preserve"> care in </w:t>
      </w:r>
      <w:r>
        <w:rPr>
          <w:b/>
        </w:rPr>
        <w:t>younger</w:t>
      </w:r>
      <w:r>
        <w:t xml:space="preserve"> patients — </w:t>
      </w:r>
      <w:r>
        <w:rPr>
          <w:b/>
        </w:rPr>
        <w:t>cytoreduction</w:t>
      </w:r>
      <w:r>
        <w:t xml:space="preserve"> is </w:t>
      </w:r>
      <w:r>
        <w:rPr>
          <w:b/>
        </w:rPr>
        <w:t>standard of care</w:t>
      </w:r>
      <w:r>
        <w:t xml:space="preserve"> in the </w:t>
      </w:r>
      <w:r>
        <w:rPr>
          <w:b/>
        </w:rPr>
        <w:t>majority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HU at 2 g/day</w:t>
      </w:r>
      <w:r>
        <w:t xml:space="preserve"> as an ELN resistance criterion </w:t>
      </w:r>
      <w:r>
        <w:rPr>
          <w:b/>
        </w:rPr>
        <w:t>may not apply</w:t>
      </w:r>
      <w:r>
        <w:t xml:space="preserve"> in Asia: </w:t>
      </w:r>
      <w:r>
        <w:rPr>
          <w:b/>
        </w:rPr>
        <w:t>dose-limiting cytopenia and toxicities</w:t>
      </w:r>
      <w:r>
        <w:t xml:space="preserve"> often occur </w:t>
      </w:r>
      <w:r>
        <w:rPr>
          <w:b/>
        </w:rPr>
        <w:t>earlier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Pegylated IFN-α-2a or ropeginterferon-α-2b</w:t>
      </w:r>
      <w:r>
        <w:t xml:space="preserve"> are listed as </w:t>
      </w:r>
      <w:r>
        <w:rPr>
          <w:b/>
        </w:rPr>
        <w:t>disease-modifying</w:t>
      </w:r>
      <w:r>
        <w:t xml:space="preserve"> options in </w:t>
      </w:r>
      <w:r>
        <w:rPr>
          <w:b/>
        </w:rPr>
        <w:t>younger</w:t>
      </w:r>
      <w:r>
        <w:t xml:space="preserve"> patients and in </w:t>
      </w:r>
      <w:r>
        <w:rPr>
          <w:b/>
        </w:rPr>
        <w:t>HU-resistant/intolerant</w:t>
      </w:r>
      <w:r>
        <w:t xml:space="preserve"> disease. </w:t>
      </w:r>
      <w:r>
        <w:rPr>
          <w:b/>
        </w:rPr>
        <w:t>No ranking.</w:t>
      </w:r>
      <w:r>
        <w:t xml:space="preserve"> If asked “which IFN?”: </w:t>
      </w:r>
      <w:r>
        <w:rPr>
          <w:b/>
        </w:rPr>
        <w:t>both named; HK PI is BESREMi; Pegasys is not this product.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Do not mix count targets:</w:t>
      </w:r>
      <w:r>
        <w:t xml:space="preserve"> AMWG cites </w:t>
      </w:r>
      <w:r>
        <w:rPr>
          <w:b/>
        </w:rPr>
        <w:t>WBC ≤15 × 10⁹/L</w:t>
      </w:r>
      <w:r>
        <w:t xml:space="preserve"> as a thrombosis-risk threshold in its review; </w:t>
      </w:r>
      <w:r>
        <w:rPr>
          <w:b/>
        </w:rPr>
        <w:t>HK PI CHR</w:t>
      </w:r>
      <w:r>
        <w:t xml:space="preserve"> uses </w:t>
      </w:r>
      <w:r>
        <w:rPr>
          <w:b/>
        </w:rPr>
        <w:t>WBC &lt;10</w:t>
      </w:r>
      <w:r>
        <w:t>. Say which source you are using.</w:t>
      </w:r>
      <w:r/>
      <w:r/>
    </w:p>
    <w:p>
      <w:r/>
      <w:r>
        <w:rPr>
          <w:b/>
        </w:rPr>
        <w:t>Do not say:</w:t>
      </w:r>
      <w:r>
        <w:t xml:space="preserve"> “AMWG prefers BESREMi” or “this is the Hong Kong guideline.”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6. Piece B — NCCN treatment pathways (6 min)</w:t>
      </w:r>
      <w:r/>
    </w:p>
    <w:p>
      <w:r/>
      <w:r>
        <w:rPr>
          <w:b/>
        </w:rPr>
        <w:t>Label the slide verbally:</w:t>
      </w:r>
      <w:r>
        <w:t xml:space="preserve"> “This is </w:t>
      </w:r>
      <w:r>
        <w:rPr>
          <w:b/>
        </w:rPr>
        <w:t>NCCN (US)</w:t>
      </w:r>
      <w:r>
        <w:t xml:space="preserve"> as shown on </w:t>
      </w:r>
      <w:r>
        <w:rPr>
          <w:rFonts w:ascii="Courier" w:hAnsi="Courier"/>
        </w:rPr>
        <w:t>PEC-BES-HK020126</w:t>
      </w:r>
      <w:r>
        <w:t>. It is scientific context. Hong Kong prescribing is the local PI.”</w:t>
      </w:r>
      <w:r/>
    </w:p>
    <w:p>
      <w:pPr>
        <w:pStyle w:val="Heading4"/>
      </w:pPr>
      <w:r>
        <w:t>Low-risk PV (NCCN as on Piece B)</w:t>
      </w:r>
      <w:r/>
    </w:p>
    <w:p>
      <w:r/>
      <w:r>
        <w:rPr>
          <w:b/>
        </w:rPr>
        <w:t>Initial management (all patients):</w:t>
      </w:r>
      <w:r>
        <w:t xml:space="preserve"> manage cardiovascular risk; aspirin 81–100 mg/day; phlebotomy to hematocrit &lt;45%.</w:t>
      </w:r>
      <w:r/>
    </w:p>
    <w:p>
      <w:r/>
      <w:r>
        <w:rPr>
          <w:b/>
        </w:rPr>
        <w:t>Monitor</w:t>
      </w:r>
      <w:r>
        <w:t xml:space="preserve"> for new thrombosis/bleeding and for cytoreduction indications.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If…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Then…</w:t>
            </w:r>
          </w:p>
        </w:tc>
      </w:tr>
      <w:tr>
        <w:tc>
          <w:tcPr>
            <w:tcW w:type="dxa" w:w="4824"/>
          </w:tcPr>
          <w:p>
            <w:r>
              <w:t>Asymptomatic, no cytoreduction indications</w:t>
            </w:r>
          </w:p>
        </w:tc>
        <w:tc>
          <w:tcPr>
            <w:tcW w:type="dxa" w:w="4824"/>
          </w:tcPr>
          <w:p>
            <w:r>
              <w:t>Continue monitoring</w:t>
            </w:r>
          </w:p>
        </w:tc>
      </w:tr>
      <w:tr>
        <w:tc>
          <w:tcPr>
            <w:tcW w:type="dxa" w:w="4824"/>
          </w:tcPr>
          <w:p>
            <w:r>
              <w:t>Symptomatic / indications present</w:t>
            </w:r>
          </w:p>
        </w:tc>
        <w:tc>
          <w:tcPr>
            <w:tcW w:type="dxa" w:w="4824"/>
          </w:tcPr>
          <w:p>
            <w:r>
              <w:t>Initiate cytoreductive therapy</w:t>
            </w:r>
          </w:p>
        </w:tc>
      </w:tr>
    </w:tbl>
    <w:p>
      <w:r/>
    </w:p>
    <w:p>
      <w:r/>
      <w:r>
        <w:rPr>
          <w:b/>
        </w:rPr>
        <w:t>Potential indications for cytoreduction (Piece B):</w:t>
      </w:r>
      <w:r>
        <w:t xml:space="preserve"> new thrombosis or bleeding; frequent or poorly tolerated phlebotomy; progressive thrombocytosis or leukocytosis; splenomegaly; disease-related symptoms (pruritus, night sweats, fatigue).</w:t>
      </w:r>
      <w:r/>
    </w:p>
    <w:p>
      <w:r/>
      <w:r>
        <w:rPr>
          <w:b/>
        </w:rPr>
        <w:t>Initiate cytoreduction (NCCN language on piece):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Preferred:</w:t>
      </w:r>
      <w:r>
        <w:t xml:space="preserve"> clinical trial </w:t>
      </w:r>
      <w:r>
        <w:rPr>
          <w:b/>
        </w:rPr>
        <w:t>or</w:t>
      </w:r>
      <w:r>
        <w:t xml:space="preserve"> ropeginterferon alfa-2b-njft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Other recommended:</w:t>
      </w:r>
      <w:r>
        <w:t xml:space="preserve"> hydroxyurea </w:t>
      </w:r>
      <w:r>
        <w:rPr>
          <w:b/>
        </w:rPr>
        <w:t>or</w:t>
      </w:r>
      <w:r>
        <w:t xml:space="preserve"> peginterferon alfa-2a</w:t>
      </w:r>
      <w:r/>
      <w:r/>
    </w:p>
    <w:p>
      <w:r/>
      <w:r>
        <w:rPr>
          <w:b/>
        </w:rPr>
        <w:t>HK overlay (must say):</w:t>
      </w:r>
      <w:r>
        <w:t xml:space="preserve"> BESREMi is indicated as </w:t>
      </w:r>
      <w:r>
        <w:rPr>
          <w:b/>
        </w:rPr>
        <w:t>monotherapy in adults with PV without symptomatic splenomegaly</w:t>
      </w:r>
      <w:r>
        <w:t xml:space="preserve">. NCCN “preferred” does </w:t>
      </w:r>
      <w:r>
        <w:rPr>
          <w:b/>
        </w:rPr>
        <w:t>not</w:t>
      </w:r>
      <w:r>
        <w:t xml:space="preserve"> equal HA listing and does </w:t>
      </w:r>
      <w:r>
        <w:rPr>
          <w:b/>
        </w:rPr>
        <w:t>not</w:t>
      </w:r>
      <w:r>
        <w:t xml:space="preserve"> authorize off-label use. If the patient has </w:t>
      </w:r>
      <w:r>
        <w:rPr>
          <w:b/>
        </w:rPr>
        <w:t>symptomatic splenomegaly</w:t>
      </w:r>
      <w:r>
        <w:t>, do not proactively position BESREMi.</w:t>
      </w:r>
      <w:r/>
    </w:p>
    <w:p>
      <w:pPr>
        <w:pStyle w:val="Heading4"/>
      </w:pPr>
      <w:r>
        <w:t>High-risk PV (NCCN as on Piece B)</w:t>
      </w:r>
      <w:r/>
    </w:p>
    <w:p>
      <w:r/>
      <w:r>
        <w:t xml:space="preserve">Same backbone (CV risk, aspirin, phlebotomy to Hct &lt;45%) </w:t>
      </w:r>
      <w:r>
        <w:rPr>
          <w:b/>
        </w:rPr>
        <w:t>plus</w:t>
      </w:r>
      <w:r>
        <w:t xml:space="preserve"> cytoreduction: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Preferred:</w:t>
      </w:r>
      <w:r>
        <w:t xml:space="preserve"> hydroxyurea </w:t>
      </w:r>
      <w:r>
        <w:rPr>
          <w:b/>
        </w:rPr>
        <w:t>or</w:t>
      </w:r>
      <w:r>
        <w:t xml:space="preserve"> ropeginterferon alfa-2b-njft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Other recommended:</w:t>
      </w:r>
      <w:r>
        <w:t xml:space="preserve"> peginterferon alfa-2a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Useful in certain circumstances:</w:t>
      </w:r>
      <w:r>
        <w:t xml:space="preserve"> ruxolitinib</w:t>
      </w:r>
      <w:r/>
      <w:r/>
    </w:p>
    <w:p>
      <w:r/>
      <w:r>
        <w:rPr>
          <w:b/>
        </w:rPr>
        <w:t>If inadequate response or loss of response — preferred change (NCCN on piece):</w:t>
      </w:r>
      <w:r/>
      <w:r/>
    </w:p>
    <w:p>
      <w:pPr>
        <w:pStyle w:val="ListNumber"/>
        <w:spacing w:line="240" w:lineRule="auto"/>
        <w:ind w:left="720"/>
      </w:pPr>
      <w:r/>
      <w:r>
        <w:t xml:space="preserve">Clinical trial </w:t>
      </w:r>
      <w:r>
        <w:rPr>
          <w:b/>
        </w:rPr>
        <w:t>or</w:t>
      </w:r>
      <w:r>
        <w:t xml:space="preserve"> ruxolitinib (NCCN category 1 in high-risk PV after HU resistance/intolerance)</w:t>
      </w:r>
      <w:r/>
    </w:p>
    <w:p>
      <w:pPr>
        <w:pStyle w:val="ListNumber"/>
        <w:spacing w:line="240" w:lineRule="auto"/>
        <w:ind w:left="720"/>
      </w:pPr>
      <w:r/>
      <w:r>
        <w:t>Other recommended if not previously used: ropeginterferon alfa-2b-njft, hydroxyurea, or peginterferon alfa-2a</w:t>
      </w:r>
      <w:r/>
      <w:r/>
    </w:p>
    <w:p>
      <w:r/>
      <w:r>
        <w:rPr>
          <w:b/>
        </w:rPr>
        <w:t>HK overlay:</w:t>
      </w:r>
      <w:r>
        <w:t xml:space="preserve"> Ruxolitinib sequencing is a </w:t>
      </w:r>
      <w:r>
        <w:rPr>
          <w:b/>
        </w:rPr>
        <w:t>guideline</w:t>
      </w:r>
      <w:r>
        <w:t xml:space="preserve"> statement, not a BESREMi comparative claim. Do not claim BESREMi is “better than ruxolitinib.” Do not claim BESREMi is indicated after HU failure unless that use is within the HK PI and Medical-cleared lexicon.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7. Piece B — long-term risk under hydroxyurea (4 min)</w:t>
      </w:r>
      <w:r/>
    </w:p>
    <w:p>
      <w:r/>
      <w:r>
        <w:t xml:space="preserve">As shown on </w:t>
      </w:r>
      <w:r>
        <w:rPr>
          <w:rFonts w:ascii="Courier" w:hAnsi="Courier"/>
        </w:rPr>
        <w:t>PEC-BES-HK020126</w:t>
      </w:r>
      <w:r>
        <w:t xml:space="preserve"> (piece cites Spivak, Mehta, Gisslinger and NCCN in the footer — Medical to keep the exact footnote locked to the approved artwork):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Time on HU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Myelofibrotic transformation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Mortality</w:t>
            </w:r>
          </w:p>
        </w:tc>
      </w:tr>
      <w:tr>
        <w:tc>
          <w:tcPr>
            <w:tcW w:type="dxa" w:w="3216"/>
          </w:tcPr>
          <w:p>
            <w:r>
              <w:t>1 year</w:t>
            </w:r>
          </w:p>
        </w:tc>
        <w:tc>
          <w:tcPr>
            <w:tcW w:type="dxa" w:w="3216"/>
          </w:tcPr>
          <w:p>
            <w:r>
              <w:t>0.9%</w:t>
            </w:r>
          </w:p>
        </w:tc>
        <w:tc>
          <w:tcPr>
            <w:tcW w:type="dxa" w:w="3216"/>
          </w:tcPr>
          <w:p>
            <w:r>
              <w:t>2.4%</w:t>
            </w:r>
          </w:p>
        </w:tc>
      </w:tr>
      <w:tr>
        <w:tc>
          <w:tcPr>
            <w:tcW w:type="dxa" w:w="3216"/>
          </w:tcPr>
          <w:p>
            <w:r>
              <w:t>5 years</w:t>
            </w:r>
          </w:p>
        </w:tc>
        <w:tc>
          <w:tcPr>
            <w:tcW w:type="dxa" w:w="3216"/>
          </w:tcPr>
          <w:p>
            <w:r>
              <w:t>5.0%</w:t>
            </w:r>
          </w:p>
        </w:tc>
        <w:tc>
          <w:tcPr>
            <w:tcW w:type="dxa" w:w="3216"/>
          </w:tcPr>
          <w:p>
            <w:r>
              <w:t>12.6%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10 years</w:t>
            </w:r>
          </w:p>
        </w:tc>
        <w:tc>
          <w:tcPr>
            <w:tcW w:type="dxa" w:w="3216"/>
          </w:tcPr>
          <w:p>
            <w:r>
              <w:rPr>
                <w:b/>
              </w:rPr>
              <w:t>33.7%</w:t>
            </w:r>
          </w:p>
        </w:tc>
        <w:tc>
          <w:tcPr>
            <w:tcW w:type="dxa" w:w="3216"/>
          </w:tcPr>
          <w:p>
            <w:r>
              <w:rPr>
                <w:b/>
              </w:rPr>
              <w:t>56.2%</w:t>
            </w:r>
          </w:p>
        </w:tc>
      </w:tr>
    </w:tbl>
    <w:p>
      <w:r/>
    </w:p>
    <w:p>
      <w:r/>
      <w:r>
        <w:rPr>
          <w:b/>
        </w:rPr>
        <w:t>How to say it:</w:t>
      </w:r>
      <w:r>
        <w:t xml:space="preserve"> “PV is not static. In this referenced HU-treated experience, transformation and mortality rise substantially by year 10. That is why treatment goals include more than a one-year hematocrit snapshot.”</w:t>
      </w:r>
      <w:r/>
    </w:p>
    <w:p>
      <w:r/>
      <w:r>
        <w:rPr>
          <w:b/>
        </w:rPr>
        <w:t>How not to say it:</w:t>
      </w:r>
      <w:r>
        <w:t xml:space="preserve"> “HU causes a one-in-three chance of myelofibrosis” or “HU is unsafe.” These are </w:t>
      </w:r>
      <w:r>
        <w:rPr>
          <w:b/>
        </w:rPr>
        <w:t>risk estimates in a cited cohort</w:t>
      </w:r>
      <w:r>
        <w:t>, not a head-to-head BESREMi safety claim. Do not imply BESREMi has been proven to cut 10-year mortality to a specific number.</w:t>
      </w:r>
      <w:r/>
    </w:p>
    <w:p>
      <w:r/>
      <w:r>
        <w:rPr>
          <w:b/>
        </w:rPr>
        <w:t>Facilitator close:</w:t>
      </w:r>
      <w:r>
        <w:t xml:space="preserve"> “The 6-year RCT is the product story. The HU MF/death numbers on the poster are </w:t>
      </w:r>
      <w:r>
        <w:rPr>
          <w:b/>
        </w:rPr>
        <w:t>why the field cares</w:t>
      </w:r>
      <w:r>
        <w:t>. Do not let the room collapse those two datasets into one sentence.”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 xml:space="preserve">7a. Year-1 honesty — teach this </w:t>
      </w:r>
      <w:r>
        <w:rPr>
          <w:i/>
        </w:rPr>
        <w:t>before</w:t>
      </w:r>
      <w:r>
        <w:t xml:space="preserve"> the 6-year win (6 min)</w:t>
      </w:r>
      <w:r/>
    </w:p>
    <w:p>
      <w:r/>
      <w:r>
        <w:t>A haematologist who saw the original PROUD-PV readout will say “it lost to HU at one year.” If you only show month 72, you look like you cherry-picked.</w:t>
      </w:r>
      <w:r/>
    </w:p>
    <w:p>
      <w:r/>
      <w:r>
        <w:rPr>
          <w:b/>
        </w:rPr>
        <w:t>Must-say, in this order: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PROUD-PV, 12 months:</w:t>
      </w:r>
      <w:r>
        <w:t xml:space="preserve"> </w:t>
      </w:r>
      <w:r>
        <w:rPr>
          <w:b/>
        </w:rPr>
        <w:t>non-inferiority of CHR was not met.</w:t>
      </w:r>
      <w:r>
        <w:t xml:space="preserve"> Ropeg </w:t>
      </w:r>
      <w:r>
        <w:rPr>
          <w:b/>
        </w:rPr>
        <w:t>43.1%</w:t>
      </w:r>
      <w:r>
        <w:t xml:space="preserve"> (48/127) vs HU </w:t>
      </w:r>
      <w:r>
        <w:rPr>
          <w:b/>
        </w:rPr>
        <w:t>46.0%</w:t>
      </w:r>
      <w:r>
        <w:t xml:space="preserve"> (62/127); </w:t>
      </w:r>
      <w:r>
        <w:rPr>
          <w:b/>
        </w:rPr>
        <w:t>p = 0.63</w:t>
      </w:r>
      <w:r>
        <w:t xml:space="preserve">. Same numbers appear in the </w:t>
      </w:r>
      <w:r>
        <w:rPr>
          <w:b/>
        </w:rPr>
        <w:t>HK PI Clinical Studies</w:t>
      </w:r>
      <w:r>
        <w:t xml:space="preserve"> section. Kiladjian </w:t>
      </w:r>
      <w:r>
        <w:rPr>
          <w:i/>
        </w:rPr>
        <w:t>Lancet Haematol</w:t>
      </w:r>
      <w:r>
        <w:t xml:space="preserve"> 2020 / follow-on papers: </w:t>
      </w:r>
      <w:r>
        <w:rPr>
          <w:b/>
        </w:rPr>
        <w:t>43% vs 46%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Why it failed the primary:</w:t>
      </w:r>
      <w:r>
        <w:t xml:space="preserve"> HU is a </w:t>
      </w:r>
      <w:r>
        <w:rPr>
          <w:b/>
        </w:rPr>
        <w:t>fast cytoreductor</w:t>
      </w:r>
      <w:r>
        <w:t xml:space="preserve">. Ropeg at the </w:t>
      </w:r>
      <w:r>
        <w:rPr>
          <w:b/>
        </w:rPr>
        <w:t>PI start of 100 µg q2w</w:t>
      </w:r>
      <w:r>
        <w:t xml:space="preserve"> needs </w:t>
      </w:r>
      <w:r>
        <w:rPr>
          <w:b/>
        </w:rPr>
        <w:t>titration time</w:t>
      </w:r>
      <w:r>
        <w:t xml:space="preserve">. Do </w:t>
      </w:r>
      <w:r>
        <w:rPr>
          <w:b/>
        </w:rPr>
        <w:t>not</w:t>
      </w:r>
      <w:r>
        <w:t xml:space="preserve"> invent a “the study was unfair” story in promo; </w:t>
      </w:r>
      <w:r>
        <w:rPr>
          <w:b/>
        </w:rPr>
        <w:t>do</w:t>
      </w:r>
      <w:r>
        <w:t xml:space="preserve"> explain </w:t>
      </w:r>
      <w:r>
        <w:rPr>
          <w:b/>
        </w:rPr>
        <w:t>pharmacology vs HU kinetics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HIDAT is not the HK start.</w:t>
      </w:r>
      <w:r>
        <w:t xml:space="preserve"> Some </w:t>
      </w:r>
      <w:r>
        <w:rPr>
          <w:b/>
        </w:rPr>
        <w:t>ex-HK / later analyses</w:t>
      </w:r>
      <w:r>
        <w:t xml:space="preserve"> used </w:t>
      </w:r>
      <w:r>
        <w:rPr>
          <w:b/>
        </w:rPr>
        <w:t>250–350–500 µg</w:t>
      </w:r>
      <w:r>
        <w:t xml:space="preserve">. </w:t>
      </w:r>
      <w:r>
        <w:rPr>
          <w:b/>
        </w:rPr>
        <w:t>HK PI = 100 µg</w:t>
      </w:r>
      <w:r>
        <w:t xml:space="preserve"> (50 if already on cytoreductive). Teaching HIDAT as the local start is a </w:t>
      </w:r>
      <w:r>
        <w:rPr>
          <w:b/>
        </w:rPr>
        <w:t>label violation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Then</w:t>
      </w:r>
      <w:r>
        <w:t xml:space="preserve"> show month 36 / 72. Sequence protects you when a senior haematologist says “your Phase 3 missed.”</w:t>
      </w:r>
      <w:r/>
      <w:r/>
    </w:p>
    <w:p>
      <w:r/>
      <w:r>
        <w:rPr>
          <w:b/>
        </w:rPr>
        <w:t>Later timepoints (Gisslinger 2023 Table 1, response-evaluable):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Timepoint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Ropeg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Stats</w:t>
            </w:r>
          </w:p>
        </w:tc>
      </w:tr>
      <w:tr>
        <w:tc>
          <w:tcPr>
            <w:tcW w:type="dxa" w:w="2412"/>
          </w:tcPr>
          <w:p>
            <w:r>
              <w:t>Month 12 CHR (PROUD-PV / PI)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43.1%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46.0%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0.63</w:t>
            </w:r>
            <w:r>
              <w:t xml:space="preserve"> — NS; non-inferiority not met</w:t>
            </w:r>
          </w:p>
        </w:tc>
      </w:tr>
      <w:tr>
        <w:tc>
          <w:tcPr>
            <w:tcW w:type="dxa" w:w="2412"/>
          </w:tcPr>
          <w:p>
            <w:r>
              <w:t>Month 36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57.0%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37.8%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0.03</w:t>
            </w:r>
          </w:p>
        </w:tc>
      </w:tr>
      <w:tr>
        <w:tc>
          <w:tcPr>
            <w:tcW w:type="dxa" w:w="2412"/>
          </w:tcPr>
          <w:p>
            <w:r>
              <w:t>Month 60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55.8%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44.0%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0.097 — not significant</w:t>
            </w:r>
          </w:p>
        </w:tc>
      </w:tr>
      <w:tr>
        <w:tc>
          <w:tcPr>
            <w:tcW w:type="dxa" w:w="2412"/>
          </w:tcPr>
          <w:p>
            <w:r>
              <w:t>Month 72 CHR (primary; discontinued = non-responders)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54.5%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34.9%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0.02</w:t>
            </w:r>
          </w:p>
        </w:tc>
      </w:tr>
    </w:tbl>
    <w:p>
      <w:r/>
    </w:p>
    <w:p>
      <w:r/>
      <w:r>
        <w:rPr>
          <w:b/>
        </w:rPr>
        <w:t>Do not</w:t>
      </w:r>
      <w:r>
        <w:t xml:space="preserve"> say “CHR stays significant at 5 years.” The </w:t>
      </w:r>
      <w:r>
        <w:rPr>
          <w:b/>
        </w:rPr>
        <w:t>72-month</w:t>
      </w:r>
      <w:r>
        <w:t xml:space="preserve"> CHR is the significant late timepoint in this paper.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8. Piece B — BESREMi complete hematologic response (6 min)</w:t>
      </w:r>
      <w:r/>
    </w:p>
    <w:p>
      <w:r/>
      <w:r>
        <w:rPr>
          <w:b/>
        </w:rPr>
        <w:t>CHR definition (Piece B):</w:t>
      </w:r>
      <w:r>
        <w:t xml:space="preserve"> no phlebotomy in the past 3 months; hematocrit &lt;45%; leukocytes &lt;10 × 10⁹/L; platelets &lt;400 × 10⁹/L.</w:t>
      </w:r>
      <w:r/>
    </w:p>
    <w:p>
      <w:r/>
      <w:r>
        <w:rPr>
          <w:b/>
        </w:rPr>
        <w:t>Poster claim:</w:t>
      </w:r>
      <w:r>
        <w:t xml:space="preserve"> greater CHR vs control (HU/BAT) at 24 months, </w:t>
      </w:r>
      <w:r>
        <w:rPr>
          <w:b/>
        </w:rPr>
        <w:t>sustained through 60 months</w:t>
      </w:r>
      <w:r>
        <w:t>.</w:t>
      </w:r>
      <w:r/>
    </w:p>
    <w:p>
      <w:r/>
      <w:r>
        <w:rPr>
          <w:b/>
        </w:rPr>
        <w:t xml:space="preserve">Numbers to use in HK (named study — Gisslinger et al., </w:t>
      </w:r>
      <w:r>
        <w:rPr>
          <w:b/>
          <w:i/>
        </w:rPr>
        <w:t>Leukemia</w:t>
      </w:r>
      <w:r>
        <w:rPr>
          <w:b/>
        </w:rPr>
        <w:t xml:space="preserve"> 2023; PROUD-PV / CONTINUATION-PV):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Analysis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BESREMi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 (HU → BAT)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Stats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CHR at 72 months (primary; discontinued = non-responders)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54.5%</w:t>
            </w:r>
            <w:r>
              <w:t xml:space="preserve"> (48/88)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34.9%</w:t>
            </w:r>
            <w:r>
              <w:t xml:space="preserve"> (22/63)</w:t>
            </w:r>
          </w:p>
        </w:tc>
        <w:tc>
          <w:tcPr>
            <w:tcW w:type="dxa" w:w="2412"/>
          </w:tcPr>
          <w:p>
            <w:r>
              <w:t xml:space="preserve">RR 1.55; 95% CI 1.07–2.26; </w:t>
            </w:r>
            <w:r>
              <w:rPr>
                <w:b/>
              </w:rPr>
              <w:t>p=0.02</w:t>
            </w:r>
          </w:p>
        </w:tc>
      </w:tr>
      <w:tr>
        <w:tc>
          <w:tcPr>
            <w:tcW w:type="dxa" w:w="2412"/>
          </w:tcPr>
          <w:p>
            <w:r>
              <w:t>LOCF sensitivity (explains the poster’s ~70% visual)</w:t>
            </w:r>
          </w:p>
        </w:tc>
        <w:tc>
          <w:tcPr>
            <w:tcW w:type="dxa" w:w="2412"/>
          </w:tcPr>
          <w:p>
            <w:r>
              <w:t>72.6% (69/95)</w:t>
            </w:r>
          </w:p>
        </w:tc>
        <w:tc>
          <w:tcPr>
            <w:tcW w:type="dxa" w:w="2412"/>
          </w:tcPr>
          <w:p>
            <w:r>
              <w:t>47.3% (35/74)</w:t>
            </w:r>
          </w:p>
        </w:tc>
        <w:tc>
          <w:tcPr>
            <w:tcW w:type="dxa" w:w="2412"/>
          </w:tcPr>
          <w:p>
            <w:r>
              <w:t>RR 1.54; 95% CI 1.18–2.00; p=0.001</w:t>
            </w:r>
          </w:p>
        </w:tc>
      </w:tr>
      <w:tr>
        <w:tc>
          <w:tcPr>
            <w:tcW w:type="dxa" w:w="2412"/>
          </w:tcPr>
          <w:p>
            <w:r>
              <w:t>Mean time in CHR</w:t>
            </w:r>
          </w:p>
        </w:tc>
        <w:tc>
          <w:tcPr>
            <w:tcW w:type="dxa" w:w="2412"/>
          </w:tcPr>
          <w:p>
            <w:r>
              <w:t>60.9%</w:t>
            </w:r>
          </w:p>
        </w:tc>
        <w:tc>
          <w:tcPr>
            <w:tcW w:type="dxa" w:w="2412"/>
          </w:tcPr>
          <w:p>
            <w:r>
              <w:t>41.2%</w:t>
            </w:r>
          </w:p>
        </w:tc>
        <w:tc>
          <w:tcPr>
            <w:tcW w:type="dxa" w:w="2412"/>
          </w:tcPr>
          <w:p>
            <w:r>
              <w:t>p=0.04</w:t>
            </w:r>
          </w:p>
        </w:tc>
      </w:tr>
    </w:tbl>
    <w:p>
      <w:r/>
    </w:p>
    <w:p>
      <w:r/>
      <w:r>
        <w:rPr>
          <w:b/>
        </w:rPr>
        <w:t>Field rule — three CHR numbers, say which one is on the page: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If they are looking at…</w:t>
            </w:r>
          </w:p>
        </w:tc>
        <w:tc>
          <w:tcPr>
            <w:tcW w:type="dxa" w:w="4824"/>
          </w:tcPr>
          <w:p>
            <w:r>
              <w:rPr>
                <w:b/>
              </w:rPr>
              <w:t>You say</w:t>
            </w:r>
          </w:p>
        </w:tc>
      </w:tr>
      <w:tr>
        <w:tc>
          <w:tcPr>
            <w:tcW w:type="dxa" w:w="4824"/>
          </w:tcPr>
          <w:p>
            <w:r>
              <w:t xml:space="preserve">Brochure </w:t>
            </w:r>
            <w:r>
              <w:rPr>
                <w:b/>
              </w:rPr>
              <w:t>5-year graph</w:t>
            </w:r>
            <w:r>
              <w:t xml:space="preserve"> (~62% vs ~75% at M12; crossover by M24; ~73% vs ~53% at M60)</w:t>
            </w:r>
          </w:p>
        </w:tc>
        <w:tc>
          <w:tcPr>
            <w:tcW w:type="dxa" w:w="4824"/>
          </w:tcPr>
          <w:p>
            <w:r>
              <w:t xml:space="preserve">“This is the long-term CHR </w:t>
            </w:r>
            <w:r>
              <w:rPr>
                <w:b/>
              </w:rPr>
              <w:t>curve on this leave-behind</w:t>
            </w:r>
            <w:r>
              <w:t xml:space="preserve"> . HU is ahead at 1 year; ropeg crosses and holds.”</w:t>
            </w:r>
          </w:p>
        </w:tc>
      </w:tr>
      <w:tr>
        <w:tc>
          <w:tcPr>
            <w:tcW w:type="dxa" w:w="4824"/>
          </w:tcPr>
          <w:p>
            <w:r>
              <w:t xml:space="preserve">Brochure </w:t>
            </w:r>
            <w:r>
              <w:rPr>
                <w:b/>
              </w:rPr>
              <w:t>84.3% (107/127)</w:t>
            </w:r>
          </w:p>
        </w:tc>
        <w:tc>
          <w:tcPr>
            <w:tcW w:type="dxa" w:w="4824"/>
          </w:tcPr>
          <w:p>
            <w:r>
              <w:t xml:space="preserve">“ </w:t>
            </w:r>
            <w:r>
              <w:rPr>
                <w:b/>
              </w:rPr>
              <w:t>Ever</w:t>
            </w:r>
            <w:r>
              <w:t xml:space="preserve"> achieved CHR by 36 months — criteria met </w:t>
            </w:r>
            <w:r>
              <w:rPr>
                <w:b/>
              </w:rPr>
              <w:t>at any time</w:t>
            </w:r>
            <w:r>
              <w:t xml:space="preserve"> . Not the snapshot on the graph.”</w:t>
            </w:r>
          </w:p>
        </w:tc>
      </w:tr>
      <w:tr>
        <w:tc>
          <w:tcPr>
            <w:tcW w:type="dxa" w:w="4824"/>
          </w:tcPr>
          <w:p>
            <w:r>
              <w:t>HK PI / haematologist who remembers PROUD-PV</w:t>
            </w:r>
          </w:p>
        </w:tc>
        <w:tc>
          <w:tcPr>
            <w:tcW w:type="dxa" w:w="4824"/>
          </w:tcPr>
          <w:p>
            <w:r>
              <w:t xml:space="preserve">“12-month primary </w:t>
            </w:r>
            <w:r>
              <w:rPr>
                <w:b/>
              </w:rPr>
              <w:t>43.1% vs 46.0%, p=0.63</w:t>
            </w:r>
            <w:r>
              <w:t xml:space="preserve"> — discontinued counted as failures; non-inferiority not met.”</w:t>
            </w:r>
          </w:p>
        </w:tc>
      </w:tr>
      <w:tr>
        <w:tc>
          <w:tcPr>
            <w:tcW w:type="dxa" w:w="4824"/>
          </w:tcPr>
          <w:p>
            <w:r>
              <w:t>“What is the PI-aligned late number?”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54.5% vs 34.9% at 72 months, p=0.02</w:t>
            </w:r>
            <w:r>
              <w:t xml:space="preserve"> (Gisslinger 2023 primary). LOCF 72.6% vs 47.3% is the published analogue of the ~70% graph.</w:t>
            </w:r>
          </w:p>
        </w:tc>
      </w:tr>
    </w:tbl>
    <w:p>
      <w:r/>
    </w:p>
    <w:p>
      <w:r/>
      <w:r>
        <w:rPr>
          <w:b/>
        </w:rPr>
        <w:t>Do not</w:t>
      </w:r>
      <w:r>
        <w:t xml:space="preserve"> collapse those four rows into “about 80% respond.” The brochure may print 84.3% </w:t>
      </w:r>
      <w:r>
        <w:rPr>
          <w:b/>
        </w:rPr>
        <w:t>with its footnote</w:t>
      </w:r>
      <w:r>
        <w:t>; you must say the footnote.</w:t>
      </w:r>
      <w:r/>
    </w:p>
    <w:p>
      <w:r/>
      <w:r>
        <w:rPr>
          <w:b/>
        </w:rPr>
        <w:t>Brochure callout, do not mix with EFS:</w:t>
      </w:r>
      <w:r>
        <w:t xml:space="preserve"> major thromboembolic events </w:t>
      </w:r>
      <w:r>
        <w:rPr>
          <w:b/>
        </w:rPr>
        <w:t>3% (4/127)</w:t>
      </w:r>
      <w:r>
        <w:t xml:space="preserve"> at 36 months. That is </w:t>
      </w:r>
      <w:r>
        <w:rPr>
          <w:b/>
        </w:rPr>
        <w:t>not</w:t>
      </w:r>
      <w:r>
        <w:t xml:space="preserve"> the EFS first-event count of 5/95.</w:t>
      </w:r>
      <w:r/>
    </w:p>
    <w:p>
      <w:r/>
      <w:r>
        <w:rPr>
          <w:b/>
        </w:rPr>
        <w:t>Titration honesty (HK PI):</w:t>
      </w:r>
      <w:r>
        <w:t xml:space="preserve"> mean titration ~3.7 months (ropeg) vs ~2.6 months (hydroxycarbamide). HU may be preferred when </w:t>
      </w:r>
      <w:r>
        <w:rPr>
          <w:b/>
        </w:rPr>
        <w:t>early</w:t>
      </w:r>
      <w:r>
        <w:t xml:space="preserve"> count reduction is needed to prevent thrombosis/bleeding. This is a clinical nuance, not an anti-product line. It is also why the graph’s month-12 dots sit </w:t>
      </w:r>
      <w:r>
        <w:rPr>
          <w:b/>
        </w:rPr>
        <w:t>above</w:t>
      </w:r>
      <w:r>
        <w:t xml:space="preserve"> HU and </w:t>
      </w:r>
      <w:r>
        <w:rPr>
          <w:b/>
        </w:rPr>
        <w:t>below</w:t>
      </w:r>
      <w:r>
        <w:t xml:space="preserve"> the PI 43.1% story at the same calendar time — different analysis, same pharmacology.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8b. Brochure — JAK2 V617F allele burden (if this page is in the room)</w:t>
      </w:r>
      <w:r/>
    </w:p>
    <w:p>
      <w:r/>
      <w:r>
        <w:t xml:space="preserve">The leave-behind shows median JAK2 V617F </w:t>
      </w:r>
      <w:r>
        <w:rPr>
          <w:b/>
        </w:rPr>
        <w:t>37% → 8%</w:t>
      </w:r>
      <w:r>
        <w:t xml:space="preserve"> on BESREMi vs </w:t>
      </w:r>
      <w:r>
        <w:rPr>
          <w:b/>
        </w:rPr>
        <w:t>38% → 44%</w:t>
      </w:r>
      <w:r>
        <w:t xml:space="preserve"> on HU/BAT at </w:t>
      </w:r>
      <w:r>
        <w:rPr>
          <w:b/>
        </w:rPr>
        <w:t>60 months</w:t>
      </w:r>
      <w:r>
        <w:t xml:space="preserve"> (HU </w:t>
      </w:r>
      <w:r>
        <w:rPr>
          <w:b/>
        </w:rPr>
        <w:t>rebounds</w:t>
      </w:r>
      <w:r>
        <w:t xml:space="preserve">). Gisslinger 2023 at ~6 years is the same direction: median </w:t>
      </w:r>
      <w:r>
        <w:rPr>
          <w:b/>
        </w:rPr>
        <w:t>8.5% vs 50.4%</w:t>
      </w:r>
      <w:r>
        <w:t xml:space="preserve">; molecular response </w:t>
      </w:r>
      <w:r>
        <w:rPr>
          <w:b/>
        </w:rPr>
        <w:t>66.0% vs 19.4%</w:t>
      </w:r>
      <w:r>
        <w:t xml:space="preserve"> (p&lt;0.0001).</w:t>
      </w:r>
      <w:r/>
    </w:p>
    <w:p>
      <w:r/>
      <w:r>
        <w:rPr>
          <w:b/>
        </w:rPr>
        <w:t>How to say it:</w:t>
      </w:r>
      <w:r>
        <w:t xml:space="preserve"> “Higher mutant allele burden is associated with thrombosis, hemorrhage, and fibrotic progression. In this long-term analysis the ropeg curve keeps falling; the HU/BAT curve comes back up.”</w:t>
        <w:br/>
      </w:r>
      <w:r/>
      <w:r>
        <w:rPr>
          <w:b/>
        </w:rPr>
        <w:t>How not to say it:</w:t>
      </w:r>
      <w:r>
        <w:t xml:space="preserve"> “Selectively depletes HSCs” is </w:t>
      </w:r>
      <w:r>
        <w:rPr>
          <w:b/>
        </w:rPr>
        <w:t>brochure art</w:t>
      </w:r>
      <w:r>
        <w:t xml:space="preserve"> — do not expand to “eradicates the clone,” “cures PV,” or treatment-free remission. Do not use 8% as a stopping rule.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9. Piece B — event-free survival (5 min)</w:t>
      </w:r>
      <w:r/>
    </w:p>
    <w:p>
      <w:r/>
      <w:r>
        <w:rPr>
          <w:b/>
        </w:rPr>
        <w:t>Poster:</w:t>
      </w:r>
      <w:r>
        <w:t xml:space="preserve"> significantly higher probability of EFS over ≥6 years; </w:t>
      </w:r>
      <w:r>
        <w:rPr>
          <w:b/>
        </w:rPr>
        <w:t>p=0.04</w:t>
      </w:r>
      <w:r>
        <w:t>.</w:t>
      </w:r>
      <w:r/>
    </w:p>
    <w:p>
      <w:r/>
      <w:r>
        <w:rPr>
          <w:b/>
        </w:rPr>
        <w:t>Named data (same CONTINUATION-PV analysis):</w:t>
      </w:r>
      <w:r/>
      <w:r/>
    </w:p>
    <w:p>
      <w:pPr>
        <w:pStyle w:val="ListBullet"/>
        <w:spacing w:line="240" w:lineRule="auto"/>
        <w:ind w:left="720"/>
      </w:pPr>
      <w:r/>
      <w:r>
        <w:t xml:space="preserve">EFS probability: </w:t>
      </w:r>
      <w:r>
        <w:rPr>
          <w:b/>
        </w:rPr>
        <w:t>0.94 vs 0.82</w:t>
      </w:r>
      <w:r>
        <w:t xml:space="preserve"> (log-rank p=0.04)</w:t>
      </w:r>
      <w:r/>
    </w:p>
    <w:p>
      <w:pPr>
        <w:pStyle w:val="ListBullet"/>
        <w:spacing w:line="240" w:lineRule="auto"/>
        <w:ind w:left="720"/>
      </w:pPr>
      <w:r/>
      <w:r>
        <w:t xml:space="preserve">HR </w:t>
      </w:r>
      <w:r>
        <w:rPr>
          <w:b/>
        </w:rPr>
        <w:t>0.34</w:t>
      </w:r>
      <w:r>
        <w:t xml:space="preserve"> (95% CI 0.12–0.97)</w:t>
      </w:r>
      <w:r/>
    </w:p>
    <w:p>
      <w:pPr>
        <w:pStyle w:val="ListBullet"/>
        <w:spacing w:line="240" w:lineRule="auto"/>
        <w:ind w:left="720"/>
      </w:pPr>
      <w:r/>
      <w:r>
        <w:t xml:space="preserve">First risk events: </w:t>
      </w:r>
      <w:r>
        <w:rPr>
          <w:b/>
        </w:rPr>
        <w:t>5/95 (5.3%)</w:t>
      </w:r>
      <w:r>
        <w:t xml:space="preserve"> BESREMi vs </w:t>
      </w:r>
      <w:r>
        <w:rPr>
          <w:b/>
        </w:rPr>
        <w:t>12/74 (16.2%)</w:t>
      </w:r>
      <w:r>
        <w:t xml:space="preserve"> control</w:t>
      </w:r>
      <w:r/>
    </w:p>
    <w:p>
      <w:pPr>
        <w:pStyle w:val="ListBullet"/>
        <w:spacing w:line="240" w:lineRule="auto"/>
        <w:ind w:left="720"/>
      </w:pPr>
      <w:r/>
      <w:r>
        <w:t xml:space="preserve">Events on the piece: disease progression, death, thromboembolic events </w:t>
      </w:r>
      <w:r/>
    </w:p>
    <w:p>
      <w:pPr>
        <w:pStyle w:val="ListBullet"/>
        <w:spacing w:line="240" w:lineRule="auto"/>
        <w:ind w:left="720"/>
      </w:pPr>
      <w:r/>
      <w:r>
        <w:t>Published first-event mix (for Medical Q&amp;A, not a promotional bar chart unless lexicon-approved): BESREMi — thrombosis 2, myelofibrosis 1, death 2; control — thrombosis 5, myelofibrosis 2, acute leukemia 2, death 3</w:t>
      </w:r>
      <w:r/>
      <w:r/>
    </w:p>
    <w:p>
      <w:r/>
      <w:r>
        <w:rPr>
          <w:b/>
        </w:rPr>
        <w:t>Do not</w:t>
      </w:r>
      <w:r>
        <w:t xml:space="preserve"> say “prevents death” or “prevents leukemia.” Say: “In this randomized long-term analysis, fewer patients on ropeginterferon experienced a first risk event, and EFS was higher (p=0.04).”</w:t>
      </w:r>
      <w:r/>
    </w:p>
    <w:p>
      <w:r/>
      <w:r>
        <w:rPr>
          <w:b/>
        </w:rPr>
        <w:t>Completeness (Piece B is directionally correct and incomplete — add these lines):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Completeness 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EFS is not OS</w:t>
            </w:r>
          </w:p>
        </w:tc>
        <w:tc>
          <w:tcPr>
            <w:tcW w:type="dxa" w:w="4824"/>
          </w:tcPr>
          <w:p>
            <w:r>
              <w:t xml:space="preserve">Composite of </w:t>
            </w:r>
            <w:r>
              <w:rPr>
                <w:b/>
              </w:rPr>
              <w:t>thromboembolic events, disease progression, and death</w:t>
            </w:r>
            <w:r>
              <w:t xml:space="preserve"> . Median EFS not reached. OS was </w:t>
            </w:r>
            <w:r>
              <w:rPr>
                <w:b/>
              </w:rPr>
              <w:t>not</w:t>
            </w:r>
            <w:r>
              <w:t xml:space="preserve"> an endpoint. Do not say “patients live longer.”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Risk reduction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HR 0.34 (95% CI 0.12–0.97), p = 0.04</w:t>
            </w:r>
            <w:r>
              <w:t xml:space="preserve"> at ~7.3 / 7.2 years median (Gisslinger 2023).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Event mix</w:t>
            </w:r>
          </w:p>
        </w:tc>
        <w:tc>
          <w:tcPr>
            <w:tcW w:type="dxa" w:w="4824"/>
          </w:tcPr>
          <w:p>
            <w:r>
              <w:t xml:space="preserve">Ropeg </w:t>
            </w:r>
            <w:r>
              <w:rPr>
                <w:b/>
              </w:rPr>
              <w:t>n=95:</w:t>
            </w:r>
            <w:r>
              <w:t xml:space="preserve"> TE </w:t>
            </w:r>
            <w:r>
              <w:rPr>
                <w:b/>
              </w:rPr>
              <w:t>2</w:t>
            </w:r>
            <w:r>
              <w:t xml:space="preserve"> , MF </w:t>
            </w:r>
            <w:r>
              <w:rPr>
                <w:b/>
              </w:rPr>
              <w:t>1</w:t>
            </w:r>
            <w:r>
              <w:t xml:space="preserve"> , death </w:t>
            </w:r>
            <w:r>
              <w:rPr>
                <w:b/>
              </w:rPr>
              <w:t>2</w:t>
            </w:r>
            <w:r>
              <w:t xml:space="preserve"> . Control </w:t>
            </w:r>
            <w:r>
              <w:rPr>
                <w:b/>
              </w:rPr>
              <w:t>n=74:</w:t>
            </w:r>
            <w:r>
              <w:t xml:space="preserve"> TE </w:t>
            </w:r>
            <w:r>
              <w:rPr>
                <w:b/>
              </w:rPr>
              <w:t>5</w:t>
            </w:r>
            <w:r>
              <w:t xml:space="preserve"> , MF </w:t>
            </w:r>
            <w:r>
              <w:rPr>
                <w:b/>
              </w:rPr>
              <w:t>2</w:t>
            </w:r>
            <w:r>
              <w:t xml:space="preserve"> , AML </w:t>
            </w:r>
            <w:r>
              <w:rPr>
                <w:b/>
              </w:rPr>
              <w:t>2</w:t>
            </w:r>
            <w:r>
              <w:t xml:space="preserve"> , death </w:t>
            </w:r>
            <w:r>
              <w:rPr>
                <w:b/>
              </w:rPr>
              <w:t>3</w:t>
            </w:r>
            <w:r>
              <w:t xml:space="preserve"> . </w:t>
            </w:r>
            <w:r>
              <w:rPr>
                <w:b/>
              </w:rPr>
              <w:t>Do not slogan “prevents leukemia.”</w:t>
            </w:r>
            <w:r>
              <w:t xml:space="preserve"> AML sat in the </w:t>
            </w:r>
            <w:r>
              <w:rPr>
                <w:b/>
              </w:rPr>
              <w:t>control</w:t>
            </w:r>
            <w:r>
              <w:t xml:space="preserve"> arm in this analysis; </w:t>
            </w:r>
            <w:r>
              <w:rPr>
                <w:b/>
              </w:rPr>
              <w:t>numbers are small.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Time in CHR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60.9% vs 41.2%</w:t>
            </w:r>
            <w:r>
              <w:t xml:space="preserve"> of follow-up — the </w:t>
            </w:r>
            <w:r>
              <w:rPr>
                <w:b/>
              </w:rPr>
              <w:t>durability</w:t>
            </w:r>
            <w:r>
              <w:t xml:space="preserve"> story that sits next to the ~70–80% </w:t>
            </w:r>
            <w:r>
              <w:rPr>
                <w:b/>
              </w:rPr>
              <w:t>LOCF</w:t>
            </w:r>
            <w:r>
              <w:t xml:space="preserve"> graph.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9a. Safety — same meeting as efficacy (6 min)</w:t>
      </w:r>
      <w:r/>
    </w:p>
    <w:p>
      <w:r/>
      <w:r>
        <w:rPr>
          <w:b/>
        </w:rPr>
        <w:t>If the 36-month all-causality table (brochure page 9) is open — use this table, not Edahiro: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BESREMi (n=127)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 (n=127)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How to say it</w:t>
            </w:r>
          </w:p>
        </w:tc>
      </w:tr>
      <w:tr>
        <w:tc>
          <w:tcPr>
            <w:tcW w:type="dxa" w:w="2412"/>
          </w:tcPr>
          <w:p>
            <w:r>
              <w:t>Thrombocytopenia</w:t>
            </w:r>
          </w:p>
        </w:tc>
        <w:tc>
          <w:tcPr>
            <w:tcW w:type="dxa" w:w="2412"/>
          </w:tcPr>
          <w:p>
            <w:r>
              <w:t>21% (G≥3 2%)</w:t>
            </w:r>
          </w:p>
        </w:tc>
        <w:tc>
          <w:tcPr>
            <w:tcW w:type="dxa" w:w="2412"/>
          </w:tcPr>
          <w:p>
            <w:r>
              <w:t>28% (4%)</w:t>
            </w:r>
          </w:p>
        </w:tc>
        <w:tc>
          <w:tcPr>
            <w:tcW w:type="dxa" w:w="2412"/>
          </w:tcPr>
          <w:p>
            <w:r>
              <w:t xml:space="preserve">Cytopenias are </w:t>
            </w:r>
            <w:r>
              <w:rPr>
                <w:b/>
              </w:rPr>
              <w:t>not</w:t>
            </w:r>
            <w:r>
              <w:t xml:space="preserve"> the IFN problem vs HU</w:t>
            </w:r>
          </w:p>
        </w:tc>
      </w:tr>
      <w:tr>
        <w:tc>
          <w:tcPr>
            <w:tcW w:type="dxa" w:w="2412"/>
          </w:tcPr>
          <w:p>
            <w:r>
              <w:t>Leukopenia</w:t>
            </w:r>
          </w:p>
        </w:tc>
        <w:tc>
          <w:tcPr>
            <w:tcW w:type="dxa" w:w="2412"/>
          </w:tcPr>
          <w:p>
            <w:r>
              <w:t>18% (2%)</w:t>
            </w:r>
          </w:p>
        </w:tc>
        <w:tc>
          <w:tcPr>
            <w:tcW w:type="dxa" w:w="2412"/>
          </w:tcPr>
          <w:p>
            <w:r>
              <w:t>22% (5%)</w:t>
            </w:r>
          </w:p>
        </w:tc>
        <w:tc>
          <w:tcPr>
            <w:tcW w:type="dxa" w:w="2412"/>
          </w:tcPr>
          <w:p>
            <w:r>
              <w:t>Same</w:t>
            </w:r>
          </w:p>
        </w:tc>
      </w:tr>
      <w:tr>
        <w:tc>
          <w:tcPr>
            <w:tcW w:type="dxa" w:w="2412"/>
          </w:tcPr>
          <w:p>
            <w:r>
              <w:t>Anaemia</w:t>
            </w:r>
          </w:p>
        </w:tc>
        <w:tc>
          <w:tcPr>
            <w:tcW w:type="dxa" w:w="2412"/>
          </w:tcPr>
          <w:p>
            <w:r>
              <w:t>13% (1%)</w:t>
            </w:r>
          </w:p>
        </w:tc>
        <w:tc>
          <w:tcPr>
            <w:tcW w:type="dxa" w:w="2412"/>
          </w:tcPr>
          <w:p>
            <w:r>
              <w:t>24% (2%)</w:t>
            </w:r>
          </w:p>
        </w:tc>
        <w:tc>
          <w:tcPr>
            <w:tcW w:type="dxa" w:w="2412"/>
          </w:tcPr>
          <w:p>
            <w:r>
              <w:t>Same</w:t>
            </w:r>
          </w:p>
        </w:tc>
      </w:tr>
      <w:tr>
        <w:tc>
          <w:tcPr>
            <w:tcW w:type="dxa" w:w="2412"/>
          </w:tcPr>
          <w:p>
            <w:r>
              <w:t>GGT increase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16% (G≥3 8%)</w:t>
            </w:r>
          </w:p>
        </w:tc>
        <w:tc>
          <w:tcPr>
            <w:tcW w:type="dxa" w:w="2412"/>
          </w:tcPr>
          <w:p>
            <w:r>
              <w:t>2% (2%)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IFN / liver signature</w:t>
            </w:r>
          </w:p>
        </w:tc>
      </w:tr>
      <w:tr>
        <w:tc>
          <w:tcPr>
            <w:tcW w:type="dxa" w:w="2412"/>
          </w:tcPr>
          <w:p>
            <w:r>
              <w:t>ALT increase</w:t>
            </w:r>
          </w:p>
        </w:tc>
        <w:tc>
          <w:tcPr>
            <w:tcW w:type="dxa" w:w="2412"/>
          </w:tcPr>
          <w:p>
            <w:r>
              <w:t>13% (4%)</w:t>
            </w:r>
          </w:p>
        </w:tc>
        <w:tc>
          <w:tcPr>
            <w:tcW w:type="dxa" w:w="2412"/>
          </w:tcPr>
          <w:p>
            <w:r>
              <w:t>2% (0%)</w:t>
            </w:r>
          </w:p>
        </w:tc>
        <w:tc>
          <w:tcPr>
            <w:tcW w:type="dxa" w:w="2412"/>
          </w:tcPr>
          <w:p>
            <w:r>
              <w:t>Monitor LFTs</w:t>
            </w:r>
          </w:p>
        </w:tc>
      </w:tr>
      <w:tr>
        <w:tc>
          <w:tcPr>
            <w:tcW w:type="dxa" w:w="2412"/>
          </w:tcPr>
          <w:p>
            <w:r>
              <w:t>AST increase</w:t>
            </w:r>
          </w:p>
        </w:tc>
        <w:tc>
          <w:tcPr>
            <w:tcW w:type="dxa" w:w="2412"/>
          </w:tcPr>
          <w:p>
            <w:r>
              <w:t>10% (2%)</w:t>
            </w:r>
          </w:p>
        </w:tc>
        <w:tc>
          <w:tcPr>
            <w:tcW w:type="dxa" w:w="2412"/>
          </w:tcPr>
          <w:p>
            <w:r>
              <w:t>2% (0%)</w:t>
            </w:r>
          </w:p>
        </w:tc>
        <w:tc>
          <w:tcPr>
            <w:tcW w:type="dxa" w:w="2412"/>
          </w:tcPr>
          <w:p>
            <w:r>
              <w:t>Monitor LFTs</w:t>
            </w:r>
          </w:p>
        </w:tc>
      </w:tr>
      <w:tr>
        <w:tc>
          <w:tcPr>
            <w:tcW w:type="dxa" w:w="2412"/>
          </w:tcPr>
          <w:p>
            <w:r>
              <w:t>Arthralgia</w:t>
            </w:r>
          </w:p>
        </w:tc>
        <w:tc>
          <w:tcPr>
            <w:tcW w:type="dxa" w:w="2412"/>
          </w:tcPr>
          <w:p>
            <w:r>
              <w:t>12% (1%)</w:t>
            </w:r>
          </w:p>
        </w:tc>
        <w:tc>
          <w:tcPr>
            <w:tcW w:type="dxa" w:w="2412"/>
          </w:tcPr>
          <w:p>
            <w:r>
              <w:t>4% (0%)</w:t>
            </w:r>
          </w:p>
        </w:tc>
        <w:tc>
          <w:tcPr>
            <w:tcW w:type="dxa" w:w="2412"/>
          </w:tcPr>
          <w:p>
            <w:r>
              <w:t>IFN-class</w:t>
            </w:r>
          </w:p>
        </w:tc>
      </w:tr>
      <w:tr>
        <w:tc>
          <w:tcPr>
            <w:tcW w:type="dxa" w:w="2412"/>
          </w:tcPr>
          <w:p>
            <w:r>
              <w:t>Fatigue</w:t>
            </w:r>
          </w:p>
        </w:tc>
        <w:tc>
          <w:tcPr>
            <w:tcW w:type="dxa" w:w="2412"/>
          </w:tcPr>
          <w:p>
            <w:r>
              <w:t>13% (0%)</w:t>
            </w:r>
          </w:p>
        </w:tc>
        <w:tc>
          <w:tcPr>
            <w:tcW w:type="dxa" w:w="2412"/>
          </w:tcPr>
          <w:p>
            <w:r>
              <w:t>13% (1%)</w:t>
            </w:r>
          </w:p>
        </w:tc>
        <w:tc>
          <w:tcPr>
            <w:tcW w:type="dxa" w:w="2412"/>
          </w:tcPr>
          <w:p>
            <w:r>
              <w:t>Balanced</w:t>
            </w:r>
          </w:p>
        </w:tc>
      </w:tr>
      <w:tr>
        <w:tc>
          <w:tcPr>
            <w:tcW w:type="dxa" w:w="2412"/>
          </w:tcPr>
          <w:p>
            <w:r>
              <w:t>Headache</w:t>
            </w:r>
          </w:p>
        </w:tc>
        <w:tc>
          <w:tcPr>
            <w:tcW w:type="dxa" w:w="2412"/>
          </w:tcPr>
          <w:p>
            <w:r>
              <w:t>12%</w:t>
            </w:r>
          </w:p>
        </w:tc>
        <w:tc>
          <w:tcPr>
            <w:tcW w:type="dxa" w:w="2412"/>
          </w:tcPr>
          <w:p>
            <w:r>
              <w:t>13%</w:t>
            </w:r>
          </w:p>
        </w:tc>
        <w:tc>
          <w:tcPr>
            <w:tcW w:type="dxa" w:w="2412"/>
          </w:tcPr>
          <w:p>
            <w:r>
              <w:t>Balanced</w:t>
            </w:r>
          </w:p>
        </w:tc>
      </w:tr>
    </w:tbl>
    <w:p>
      <w:r/>
    </w:p>
    <w:p>
      <w:r/>
      <w:r>
        <w:t xml:space="preserve">This table is </w:t>
      </w:r>
      <w:r>
        <w:rPr>
          <w:b/>
        </w:rPr>
        <w:t>regardless of causality</w:t>
      </w:r>
      <w:r>
        <w:t xml:space="preserve">. </w:t>
      </w:r>
      <w:r>
        <w:rPr>
          <w:b/>
        </w:rPr>
        <w:t>Drug-related discontinuation ~11% vs 2–3%</w:t>
      </w:r>
      <w:r>
        <w:t xml:space="preserve"> is a different cut — use it for “will they stay on drug?”</w:t>
        <w:br/>
      </w:r>
      <w:r/>
      <w:r>
        <w:rPr>
          <w:b/>
        </w:rPr>
        <w:t>Do not</w:t>
      </w:r>
      <w:r>
        <w:t xml:space="preserve"> put Edahiro </w:t>
      </w:r>
      <w:r>
        <w:rPr>
          <w:b/>
        </w:rPr>
        <w:t>alopecia 55.2%</w:t>
      </w:r>
      <w:r>
        <w:t xml:space="preserve"> (Japan Ph2 n=29) onto page 9. PI / this brochure lists alopecia around </w:t>
      </w:r>
      <w:r>
        <w:rPr>
          <w:b/>
        </w:rPr>
        <w:t>6–7%</w:t>
      </w:r>
      <w:r>
        <w:t>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Line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Grade ≥3 TRAEs ~balanced</w:t>
            </w:r>
          </w:p>
        </w:tc>
        <w:tc>
          <w:tcPr>
            <w:tcW w:type="dxa" w:w="3216"/>
          </w:tcPr>
          <w:p>
            <w:r>
              <w:rPr>
                <w:b/>
              </w:rPr>
              <w:t>~16.5% vs 16.7%</w:t>
            </w:r>
            <w:r>
              <w:t xml:space="preserve"> (treatment-related)</w:t>
            </w:r>
          </w:p>
        </w:tc>
        <w:tc>
          <w:tcPr>
            <w:tcW w:type="dxa" w:w="3216"/>
          </w:tcPr>
          <w:p>
            <w:r>
              <w:t>Kiladjian; Gisslinger 2023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Drug-related discontinuation</w:t>
            </w:r>
          </w:p>
        </w:tc>
        <w:tc>
          <w:tcPr>
            <w:tcW w:type="dxa" w:w="3216"/>
          </w:tcPr>
          <w:p>
            <w:r>
              <w:t xml:space="preserve">Ropeg </w:t>
            </w:r>
            <w:r>
              <w:rPr>
                <w:b/>
              </w:rPr>
              <w:t>~8–11%</w:t>
            </w:r>
            <w:r>
              <w:t xml:space="preserve"> vs HU </w:t>
            </w:r>
            <w:r>
              <w:rPr>
                <w:b/>
              </w:rPr>
              <w:t>~2–4%</w:t>
            </w:r>
          </w:p>
        </w:tc>
        <w:tc>
          <w:tcPr>
            <w:tcW w:type="dxa" w:w="3216"/>
          </w:tcPr>
          <w:p>
            <w:r>
              <w:t xml:space="preserve">Kiladjian; HK PI ~ </w:t>
            </w:r>
            <w:r>
              <w:rPr>
                <w:b/>
              </w:rPr>
              <w:t>11.4% vs 2.4%</w:t>
            </w:r>
            <w:r>
              <w:t xml:space="preserve"> ; Gisslinger letter </w:t>
            </w:r>
            <w:r>
              <w:rPr>
                <w:b/>
              </w:rPr>
              <w:t>11.0% vs 2.4%</w:t>
            </w:r>
            <w:r>
              <w:t xml:space="preserve"> to 7.3 y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Japan Ph2, PI-like start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n=29</w:t>
            </w:r>
            <w:r>
              <w:t xml:space="preserve"> , start </w:t>
            </w:r>
            <w:r>
              <w:rPr>
                <w:b/>
              </w:rPr>
              <w:t>100 µg</w:t>
            </w:r>
            <w:r>
              <w:t xml:space="preserve"> ; </w:t>
            </w:r>
            <w:r>
              <w:rPr>
                <w:b/>
              </w:rPr>
              <w:t>alopecia 55.2%</w:t>
            </w:r>
            <w:r>
              <w:t xml:space="preserve"> — </w:t>
            </w:r>
            <w:r>
              <w:rPr>
                <w:b/>
              </w:rPr>
              <w:t>Medical gate:</w:t>
            </w:r>
            <w:r>
              <w:t xml:space="preserve"> Q&amp;A only unless cleared; </w:t>
            </w:r>
            <w:r>
              <w:rPr>
                <w:b/>
              </w:rPr>
              <w:t>not</w:t>
            </w:r>
            <w:r>
              <w:t xml:space="preserve"> on the 36-month table</w:t>
            </w:r>
          </w:p>
        </w:tc>
        <w:tc>
          <w:tcPr>
            <w:tcW w:type="dxa" w:w="3216"/>
          </w:tcPr>
          <w:p>
            <w:r>
              <w:t>Edahiro 2022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Pregnancy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Do not</w:t>
            </w:r>
            <w:r>
              <w:t xml:space="preserve"> use Bang 2023 (n=1). HK PI: not recommended; contraception during treatment and </w:t>
            </w:r>
            <w:r>
              <w:rPr>
                <w:b/>
              </w:rPr>
              <w:t>≥14 days after last dose</w:t>
            </w:r>
          </w:p>
        </w:tc>
        <w:tc>
          <w:tcPr>
            <w:tcW w:type="dxa" w:w="3216"/>
          </w:tcPr>
          <w:p>
            <w:r>
              <w:t>Label</w:t>
            </w:r>
          </w:p>
        </w:tc>
      </w:tr>
    </w:tbl>
    <w:p>
      <w:r/>
    </w:p>
    <w:p>
      <w:r/>
      <w:r>
        <w:rPr>
          <w:b/>
        </w:rPr>
        <w:t>Talk-track:</w:t>
      </w:r>
      <w:r>
        <w:t xml:space="preserve"> “Efficacy at 6 years is the reason to consider the product. Liver enzymes and IFN-class monitoring are the reason we </w:t>
      </w:r>
      <w:r>
        <w:rPr>
          <w:b/>
        </w:rPr>
        <w:t>start and titrate by the PI</w:t>
      </w:r>
      <w:r>
        <w:t>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10. HK product box — what to prescribe (5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</w:t>
            </w:r>
          </w:p>
        </w:tc>
      </w:tr>
      <w:tr>
        <w:tc>
          <w:tcPr>
            <w:tcW w:type="dxa" w:w="4824"/>
          </w:tcPr>
          <w:p>
            <w:r>
              <w:t>Product</w:t>
            </w:r>
          </w:p>
        </w:tc>
        <w:tc>
          <w:tcPr>
            <w:tcW w:type="dxa" w:w="4824"/>
          </w:tcPr>
          <w:p>
            <w:r>
              <w:t>Besremi® ropeginterferon alfa-2b, 500 mcg/mL prefilled syringe (1 mL), SC</w:t>
            </w:r>
          </w:p>
        </w:tc>
      </w:tr>
      <w:tr>
        <w:tc>
          <w:tcPr>
            <w:tcW w:type="dxa" w:w="4824"/>
          </w:tcPr>
          <w:p>
            <w:r>
              <w:t>Indication</w:t>
            </w:r>
          </w:p>
        </w:tc>
        <w:tc>
          <w:tcPr>
            <w:tcW w:type="dxa" w:w="4824"/>
          </w:tcPr>
          <w:p>
            <w:r>
              <w:t xml:space="preserve">Monotherapy in adults for PV </w:t>
            </w:r>
            <w:r>
              <w:rPr>
                <w:b/>
              </w:rPr>
              <w:t>without symptomatic splenomegaly</w:t>
            </w:r>
          </w:p>
        </w:tc>
      </w:tr>
      <w:tr>
        <w:tc>
          <w:tcPr>
            <w:tcW w:type="dxa" w:w="4824"/>
          </w:tcPr>
          <w:p>
            <w:r>
              <w:t>Start</w:t>
            </w:r>
          </w:p>
        </w:tc>
        <w:tc>
          <w:tcPr>
            <w:tcW w:type="dxa" w:w="4824"/>
          </w:tcPr>
          <w:p>
            <w:r>
              <w:t xml:space="preserve">100 mcg q2w (50 mcg if already on another cytoreductive; also </w:t>
            </w:r>
            <w:r>
              <w:rPr>
                <w:b/>
              </w:rPr>
              <w:t>50 mcg</w:t>
            </w:r>
            <w:r>
              <w:t xml:space="preserve"> if severe renal impairment GFR 15–29)</w:t>
            </w:r>
          </w:p>
        </w:tc>
      </w:tr>
      <w:tr>
        <w:tc>
          <w:tcPr>
            <w:tcW w:type="dxa" w:w="4824"/>
          </w:tcPr>
          <w:p>
            <w:r>
              <w:t>Titration</w:t>
            </w:r>
          </w:p>
        </w:tc>
        <w:tc>
          <w:tcPr>
            <w:tcW w:type="dxa" w:w="4824"/>
          </w:tcPr>
          <w:p>
            <w:r>
              <w:t>+50 mcg every 2 weeks; taper the other cytoreductive in parallel</w:t>
            </w:r>
          </w:p>
        </w:tc>
      </w:tr>
      <w:tr>
        <w:tc>
          <w:tcPr>
            <w:tcW w:type="dxa" w:w="4824"/>
          </w:tcPr>
          <w:p>
            <w:r>
              <w:t>Targets</w:t>
            </w:r>
          </w:p>
        </w:tc>
        <w:tc>
          <w:tcPr>
            <w:tcW w:type="dxa" w:w="4824"/>
          </w:tcPr>
          <w:p>
            <w:r>
              <w:t>Hct &lt;45%; platelets &lt;400 × 10⁹/L; WBC &lt;10 × 10⁹/L</w:t>
            </w:r>
          </w:p>
        </w:tc>
      </w:tr>
      <w:tr>
        <w:tc>
          <w:tcPr>
            <w:tcW w:type="dxa" w:w="4824"/>
          </w:tcPr>
          <w:p>
            <w:r>
              <w:t>Max</w:t>
            </w:r>
          </w:p>
        </w:tc>
        <w:tc>
          <w:tcPr>
            <w:tcW w:type="dxa" w:w="4824"/>
          </w:tcPr>
          <w:p>
            <w:r>
              <w:t>500 mcg q2w</w:t>
            </w:r>
          </w:p>
        </w:tc>
      </w:tr>
      <w:tr>
        <w:tc>
          <w:tcPr>
            <w:tcW w:type="dxa" w:w="4824"/>
          </w:tcPr>
          <w:p>
            <w:r>
              <w:t>Maintenance</w:t>
            </w:r>
          </w:p>
        </w:tc>
        <w:tc>
          <w:tcPr>
            <w:tcW w:type="dxa" w:w="4824"/>
          </w:tcPr>
          <w:p>
            <w:r>
              <w:t xml:space="preserve">q2w for ≥1.5 years at stable dose; may extend to </w:t>
            </w:r>
            <w:r>
              <w:rPr>
                <w:b/>
              </w:rPr>
              <w:t>q4w</w:t>
            </w:r>
          </w:p>
        </w:tc>
      </w:tr>
      <w:tr>
        <w:tc>
          <w:tcPr>
            <w:tcW w:type="dxa" w:w="4824"/>
          </w:tcPr>
          <w:p>
            <w:r>
              <w:t>Injection</w:t>
            </w:r>
          </w:p>
        </w:tc>
        <w:tc>
          <w:tcPr>
            <w:tcW w:type="dxa" w:w="4824"/>
          </w:tcPr>
          <w:p>
            <w:r>
              <w:t>SC abdomen (≥5 cm from navel) or thigh; may be self-administered after training</w:t>
            </w:r>
          </w:p>
        </w:tc>
      </w:tr>
    </w:tbl>
    <w:p>
      <w:r/>
    </w:p>
    <w:p>
      <w:r/>
      <w:r>
        <w:rPr>
          <w:b/>
        </w:rPr>
        <w:t>Key contraindications (abbreviate verbally; full list on leave-behind):</w:t>
      </w:r>
      <w:r>
        <w:t xml:space="preserve"> hypersensitivity; </w:t>
      </w:r>
      <w:r>
        <w:rPr>
          <w:b/>
        </w:rPr>
        <w:t>pre-existing thyroid disease unless controlled</w:t>
      </w:r>
      <w:r>
        <w:t xml:space="preserve">; decompensated cirrhosis (Child-Pugh B/C); ESRD (GFR &lt;15); severe psychiatric history; severe uncontrolled CV disease; autoimmune disease; transplant immunosuppression; telbivudine combination. Child-Pugh A: no dose adjustment. Elderly: no adjustment. Paediatric: not established. Excipients of known effect: benzyl alcohol 10 mg/mL </w:t>
      </w:r>
      <w:r>
        <w:rPr>
          <w:b/>
        </w:rPr>
        <w:t>and</w:t>
      </w:r>
      <w:r>
        <w:t xml:space="preserve"> polysorbate 80.</w:t>
      </w:r>
      <w:r/>
    </w:p>
    <w:p>
      <w:r/>
      <w:r>
        <w:rPr>
          <w:b/>
        </w:rPr>
        <w:t>ADR:</w:t>
      </w:r>
      <w:r>
        <w:t xml:space="preserve"> suspected ADRs via Drug Office — http://www.drugoffice.gov.hk/adr.html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11. Access (field-only; not on HCP slide unless Medical-approved PSP wording exists)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Private now → HA Drug Formulary is the public-access goal.</w:t>
      </w:r>
      <w:r>
        <w:t xml:space="preserve"> Do not announce a listing date.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PSP:</w:t>
      </w:r>
      <w:r>
        <w:t xml:space="preserve"> Base Case (buy 5 get 1); Private Sector (buy 2 get 1, private only, first year, expires </w:t>
      </w:r>
      <w:r>
        <w:rPr>
          <w:b/>
        </w:rPr>
        <w:t>end 2026</w:t>
      </w:r>
      <w:r>
        <w:t xml:space="preserve">). Confirm current eligibility with market access </w:t>
      </w:r>
      <w:r>
        <w:rPr>
          <w:b/>
        </w:rPr>
        <w:t>before</w:t>
      </w:r>
      <w:r>
        <w:t xml:space="preserve"> quoting a physician.</w:t>
      </w:r>
      <w:r/>
    </w:p>
    <w:p>
      <w:pPr>
        <w:pStyle w:val="ListBullet"/>
        <w:spacing w:line="240" w:lineRule="auto"/>
        <w:ind w:left="720"/>
      </w:pPr>
      <w:r/>
      <w:r>
        <w:t xml:space="preserve">List price and PSP economics stay </w:t>
      </w:r>
      <w:r>
        <w:rPr>
          <w:b/>
        </w:rPr>
        <w:t>internal</w:t>
      </w:r>
      <w:r>
        <w:t>. Do not volunteer HK$ figures on a promotional slide.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 xml:space="preserve">11a. Low-PV — </w:t>
      </w:r>
      <w:r>
        <w:rPr>
          <w:b/>
        </w:rPr>
        <w:t>Medical-gated</w:t>
      </w:r>
      <w:r>
        <w:t xml:space="preserve"> (Barbui </w:t>
      </w:r>
      <w:r>
        <w:rPr>
          <w:i/>
        </w:rPr>
        <w:t>NEJM Evid</w:t>
      </w:r>
      <w:r>
        <w:t xml:space="preserve"> 2023) — skip unless Medical says yes (7 min)</w:t>
      </w:r>
      <w:r/>
    </w:p>
    <w:p>
      <w:r/>
      <w:r>
        <w:rPr>
          <w:b/>
        </w:rPr>
        <w:t>Gate for 26 Aug:</w:t>
      </w:r>
      <w:r>
        <w:t xml:space="preserve"> Medical Affairs </w:t>
      </w:r>
      <w:r>
        <w:rPr>
          <w:b/>
        </w:rPr>
        <w:t>yes / notes-only / out</w:t>
      </w:r>
      <w:r>
        <w:t xml:space="preserve"> in the room. If </w:t>
      </w:r>
      <w:r>
        <w:rPr>
          <w:b/>
        </w:rPr>
        <w:t>out</w:t>
      </w:r>
      <w:r>
        <w:t xml:space="preserve"> or </w:t>
      </w:r>
      <w:r>
        <w:rPr>
          <w:b/>
        </w:rPr>
        <w:t>notes-only</w:t>
      </w:r>
      <w:r>
        <w:t xml:space="preserve">, do </w:t>
      </w:r>
      <w:r>
        <w:rPr>
          <w:b/>
        </w:rPr>
        <w:t>not</w:t>
      </w:r>
      <w:r>
        <w:t xml:space="preserve"> put this on the projected core deck. If </w:t>
      </w:r>
      <w:r>
        <w:rPr>
          <w:b/>
        </w:rPr>
        <w:t>yes</w:t>
      </w:r>
      <w:r>
        <w:t xml:space="preserve">, use the </w:t>
      </w:r>
      <w:r>
        <w:rPr>
          <w:b/>
        </w:rPr>
        <w:t>two-regimen banner</w:t>
      </w:r>
      <w:r>
        <w:t xml:space="preserve"> and the </w:t>
      </w:r>
      <w:r>
        <w:rPr>
          <w:b/>
        </w:rPr>
        <w:t>n=36</w:t>
      </w:r>
      <w:r>
        <w:t xml:space="preserve"> caveat.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Must-say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Must-not</w:t>
            </w:r>
          </w:p>
        </w:tc>
      </w:tr>
      <w:tr>
        <w:tc>
          <w:tcPr>
            <w:tcW w:type="dxa" w:w="4824"/>
          </w:tcPr>
          <w:p>
            <w:r>
              <w:t xml:space="preserve">Low-risk PV, </w:t>
            </w:r>
            <w:r>
              <w:rPr>
                <w:b/>
              </w:rPr>
              <w:t>phlebotomy ± aspirin</w:t>
            </w:r>
            <w:r>
              <w:t xml:space="preserve"> vs </w:t>
            </w:r>
            <w:r>
              <w:rPr>
                <w:b/>
              </w:rPr>
              <w:t>ropeg 100 µg q2w fixed</w:t>
            </w:r>
          </w:p>
        </w:tc>
        <w:tc>
          <w:tcPr>
            <w:tcW w:type="dxa" w:w="4824"/>
          </w:tcPr>
          <w:p>
            <w:r>
              <w:t>“This is the HK PI regimen”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Primary 12-month:</w:t>
            </w:r>
            <w:r>
              <w:t xml:space="preserve"> </w:t>
            </w:r>
            <w:r>
              <w:rPr>
                <w:b/>
              </w:rPr>
              <w:t>81.3% vs 50.8%</w:t>
            </w:r>
            <w:r>
              <w:t xml:space="preserve"> composite (Hct control without phlebotomy + other criteria in the paper)</w:t>
            </w:r>
          </w:p>
        </w:tc>
        <w:tc>
          <w:tcPr>
            <w:tcW w:type="dxa" w:w="4824"/>
          </w:tcPr>
          <w:p>
            <w:r>
              <w:t xml:space="preserve">Quote </w:t>
            </w:r>
            <w:r>
              <w:rPr>
                <w:b/>
              </w:rPr>
              <w:t>94%</w:t>
            </w:r>
            <w:r>
              <w:t xml:space="preserve"> as if it were </w:t>
            </w:r>
            <w:r>
              <w:rPr>
                <w:b/>
              </w:rPr>
              <w:t>ITT 5-year response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5-year on-drug:</w:t>
            </w:r>
            <w:r>
              <w:t xml:space="preserve"> </w:t>
            </w:r>
            <w:r>
              <w:rPr>
                <w:b/>
              </w:rPr>
              <w:t>~94%</w:t>
            </w:r>
            <w:r>
              <w:t xml:space="preserve"> of </w:t>
            </w:r>
            <w:r>
              <w:rPr>
                <w:b/>
              </w:rPr>
              <w:t>n=36 still on treatment</w:t>
            </w:r>
            <w:r>
              <w:t xml:space="preserve"> maintained the composite; </w:t>
            </w:r>
            <w:r>
              <w:rPr>
                <w:b/>
              </w:rPr>
              <w:t>KM treatment survival ~58%</w:t>
            </w:r>
            <w:r>
              <w:t xml:space="preserve"> — people </w:t>
            </w:r>
            <w:r>
              <w:rPr>
                <w:b/>
              </w:rPr>
              <w:t>stopped</w:t>
            </w:r>
          </w:p>
        </w:tc>
        <w:tc>
          <w:tcPr>
            <w:tcW w:type="dxa" w:w="4824"/>
          </w:tcPr>
          <w:p>
            <w:r>
              <w:t>“94% of everyone randomized still responds at 5 years”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Role:</w:t>
            </w:r>
            <w:r>
              <w:t xml:space="preserve"> option when the question is </w:t>
            </w:r>
            <w:r>
              <w:rPr>
                <w:b/>
              </w:rPr>
              <w:t>early cytoreduction vs watch-and-phlebotomize</w:t>
            </w:r>
          </w:p>
        </w:tc>
        <w:tc>
          <w:tcPr>
            <w:tcW w:type="dxa" w:w="4824"/>
          </w:tcPr>
          <w:p>
            <w:r>
              <w:t xml:space="preserve">Replace </w:t>
            </w:r>
            <w:r>
              <w:rPr>
                <w:b/>
              </w:rPr>
              <w:t>PROUD-PV / CONTINUATION-PV</w:t>
            </w:r>
            <w:r>
              <w:t xml:space="preserve"> as the </w:t>
            </w:r>
            <w:r>
              <w:rPr>
                <w:b/>
              </w:rPr>
              <w:t>registrational</w:t>
            </w:r>
            <w:r>
              <w:t xml:space="preserve"> story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Two regimens:</w:t>
            </w:r>
            <w:r>
              <w:t xml:space="preserve"> Low-PV </w:t>
            </w:r>
            <w:r>
              <w:rPr>
                <w:b/>
              </w:rPr>
              <w:t>fixed 100 µg</w:t>
            </w:r>
            <w:r>
              <w:t xml:space="preserve"> ≠ HK PI </w:t>
            </w:r>
            <w:r>
              <w:rPr>
                <w:b/>
              </w:rPr>
              <w:t>100/50 +50 titration to 500</w:t>
            </w:r>
          </w:p>
        </w:tc>
        <w:tc>
          <w:tcPr>
            <w:tcW w:type="dxa" w:w="4824"/>
          </w:tcPr>
          <w:p>
            <w:r>
              <w:t>Flatten doses so a high-risk / HU-pretreated patient stays on 100 µg forever</w:t>
            </w:r>
          </w:p>
        </w:tc>
      </w:tr>
    </w:tbl>
    <w:p>
      <w:r/>
    </w:p>
    <w:p>
      <w:r/>
      <w:r>
        <w:t xml:space="preserve">NCCN </w:t>
      </w:r>
      <w:r>
        <w:rPr>
          <w:b/>
        </w:rPr>
        <w:t>low-risk</w:t>
      </w:r>
      <w:r>
        <w:t xml:space="preserve"> on Piece B still lists </w:t>
      </w:r>
      <w:r>
        <w:rPr>
          <w:b/>
        </w:rPr>
        <w:t>aspirin ± phlebotomy</w:t>
      </w:r>
      <w:r>
        <w:t xml:space="preserve"> and </w:t>
      </w:r>
      <w:r>
        <w:rPr>
          <w:b/>
        </w:rPr>
        <w:t>IFN if indicated</w:t>
      </w:r>
      <w:r>
        <w:t xml:space="preserve">. Low-PV is </w:t>
      </w:r>
      <w:r>
        <w:rPr>
          <w:b/>
        </w:rPr>
        <w:t>evidence under that fork</w:t>
      </w:r>
      <w:r>
        <w:t xml:space="preserve">, not a </w:t>
      </w:r>
      <w:r>
        <w:rPr>
          <w:b/>
        </w:rPr>
        <w:t>rewrite of NCCN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12. Objection handling (10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Physician says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Compliant response</w:t>
            </w:r>
          </w:p>
        </w:tc>
      </w:tr>
      <w:tr>
        <w:tc>
          <w:tcPr>
            <w:tcW w:type="dxa" w:w="4824"/>
          </w:tcPr>
          <w:p>
            <w:r>
              <w:t>“NCCN prefers ropeg in low-risk — so I should start everyone.”</w:t>
            </w:r>
          </w:p>
        </w:tc>
        <w:tc>
          <w:tcPr>
            <w:tcW w:type="dxa" w:w="4824"/>
          </w:tcPr>
          <w:p>
            <w:r>
              <w:t xml:space="preserve">NCCN is US context on </w:t>
            </w:r>
            <w:r>
              <w:rPr>
                <w:rFonts w:ascii="Courier" w:hAnsi="Courier"/>
              </w:rPr>
              <w:t>PEC-BES-HK020126</w:t>
            </w:r>
            <w:r>
              <w:t xml:space="preserve"> . HK indication is adult PV </w:t>
            </w:r>
            <w:r>
              <w:rPr>
                <w:b/>
              </w:rPr>
              <w:t>without symptomatic splenomegaly</w:t>
            </w:r>
            <w:r>
              <w:t xml:space="preserve"> . Low-risk patients still need cytoreduction </w:t>
            </w:r>
            <w:r>
              <w:rPr>
                <w:b/>
              </w:rPr>
              <w:t>indications</w:t>
            </w:r>
            <w:r>
              <w:t xml:space="preserve"> (symptoms, phlebotomy intolerance, progressive counts, etc.).</w:t>
            </w:r>
          </w:p>
        </w:tc>
      </w:tr>
      <w:tr>
        <w:tc>
          <w:tcPr>
            <w:tcW w:type="dxa" w:w="4824"/>
          </w:tcPr>
          <w:p>
            <w:r>
              <w:t>“It failed at one year / lost to HU.”</w:t>
            </w:r>
          </w:p>
        </w:tc>
        <w:tc>
          <w:tcPr>
            <w:tcW w:type="dxa" w:w="4824"/>
          </w:tcPr>
          <w:p>
            <w:r>
              <w:t xml:space="preserve">Agree the </w:t>
            </w:r>
            <w:r>
              <w:rPr>
                <w:b/>
              </w:rPr>
              <w:t>12-month</w:t>
            </w:r>
            <w:r>
              <w:t xml:space="preserve"> CHR was </w:t>
            </w:r>
            <w:r>
              <w:rPr>
                <w:b/>
              </w:rPr>
              <w:t>43.1% vs 46.0%, p=0.63</w:t>
            </w:r>
            <w:r>
              <w:t xml:space="preserve"> — non-inferiority </w:t>
            </w:r>
            <w:r>
              <w:rPr>
                <w:b/>
              </w:rPr>
              <w:t>not met</w:t>
            </w:r>
            <w:r>
              <w:t xml:space="preserve"> . HU is faster. The reason to consider ropeg is </w:t>
            </w:r>
            <w:r>
              <w:rPr>
                <w:b/>
              </w:rPr>
              <w:t>72-month CHR 54.5% vs 34.9% (p=0.02)</w:t>
            </w:r>
            <w:r>
              <w:t xml:space="preserve"> and </w:t>
            </w:r>
            <w:r>
              <w:rPr>
                <w:b/>
              </w:rPr>
              <w:t>EFS 0.94 vs 0.82 (p=0.04)</w:t>
            </w:r>
            <w:r>
              <w:t xml:space="preserve"> — not a 12-month snapshot.</w:t>
            </w:r>
          </w:p>
        </w:tc>
      </w:tr>
      <w:tr>
        <w:tc>
          <w:tcPr>
            <w:tcW w:type="dxa" w:w="4824"/>
          </w:tcPr>
          <w:p>
            <w:r>
              <w:t>“HU is cheaper and faster.”</w:t>
            </w:r>
          </w:p>
        </w:tc>
        <w:tc>
          <w:tcPr>
            <w:tcW w:type="dxa" w:w="4824"/>
          </w:tcPr>
          <w:p>
            <w:r>
              <w:t>Agree that HU often drops counts faster (PI: ~2.6 vs ~3.7 months titration). Then: CHR at 72 months 54.5% vs 34.9% (p=0.02) and EFS 0.94 vs 0.82 (p=0.04) in PROUD-PV / CONTINUATION-PV. Match the drug to the time horizon and the patient.</w:t>
            </w:r>
          </w:p>
        </w:tc>
      </w:tr>
      <w:tr>
        <w:tc>
          <w:tcPr>
            <w:tcW w:type="dxa" w:w="4824"/>
          </w:tcPr>
          <w:p>
            <w:r>
              <w:t>“Start at 250–350–500 like HIDAT / China / SURPASS-ET.”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 start is 100 µg</w:t>
            </w:r>
            <w:r>
              <w:t xml:space="preserve"> (50 if already on cytoreductive), +50 q2w, max 500. HIDAT and Jin 2023 China Ph2 are </w:t>
            </w:r>
            <w:r>
              <w:rPr>
                <w:b/>
              </w:rPr>
              <w:t>not</w:t>
            </w:r>
            <w:r>
              <w:t xml:space="preserve"> the local label. Jin is a </w:t>
            </w:r>
            <w:r>
              <w:rPr>
                <w:b/>
              </w:rPr>
              <w:t>protocol with no results</w:t>
            </w:r>
            <w:r>
              <w:t xml:space="preserve"> in our library — do not invent Chinese efficacy.</w:t>
            </w:r>
          </w:p>
        </w:tc>
      </w:tr>
      <w:tr>
        <w:tc>
          <w:tcPr>
            <w:tcW w:type="dxa" w:w="4824"/>
          </w:tcPr>
          <w:p>
            <w:r>
              <w:t>“Why is this so much more than Pegasys / China ropeg / traditional IFN?”</w:t>
            </w:r>
          </w:p>
        </w:tc>
        <w:tc>
          <w:tcPr>
            <w:tcW w:type="dxa" w:w="4824"/>
          </w:tcPr>
          <w:p>
            <w:r>
              <w:t>No head-to-head. PI forbids potency comparisons across the IFN class. Stay on PV evidence, q2w/q4w dosing, and named HU/phlebotomy data. Log the exchange.</w:t>
            </w:r>
          </w:p>
        </w:tc>
      </w:tr>
      <w:tr>
        <w:tc>
          <w:tcPr>
            <w:tcW w:type="dxa" w:w="4824"/>
          </w:tcPr>
          <w:p>
            <w:r>
              <w:t>“I want it for ET / MF.”</w:t>
            </w:r>
          </w:p>
        </w:tc>
        <w:tc>
          <w:tcPr>
            <w:tcW w:type="dxa" w:w="4824"/>
          </w:tcPr>
          <w:p>
            <w:r>
              <w:t xml:space="preserve">Not in HK PI. Reactive scientific exchange only; document in Veeva; do not leave Piece A’s ET/PMF columns as a mini-detail-aid. SURPASS-ET is an </w:t>
            </w:r>
            <w:r>
              <w:rPr>
                <w:b/>
              </w:rPr>
              <w:t>ET protocol, off-label here</w:t>
            </w:r>
            <w: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t>“The poster shows ~80% CHR.” / “This page says 84.3%.”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84.3% (107/127)</w:t>
            </w:r>
            <w:r>
              <w:t xml:space="preserve"> is </w:t>
            </w:r>
            <w:r>
              <w:rPr>
                <w:b/>
              </w:rPr>
              <w:t>ever-CHR by 36 months</w:t>
            </w:r>
            <w:r>
              <w:t xml:space="preserve"> (footnote: criteria met at any time). The </w:t>
            </w:r>
            <w:r>
              <w:rPr>
                <w:b/>
              </w:rPr>
              <w:t>graph</w:t>
            </w:r>
            <w:r>
              <w:t xml:space="preserve"> is a snapshot/LOCF-style curve (~73% at 60 months). The </w:t>
            </w:r>
            <w:r>
              <w:rPr>
                <w:b/>
              </w:rPr>
              <w:t>PI-aligned primary</w:t>
            </w:r>
            <w:r>
              <w:t xml:space="preserve"> at 72 months is </w:t>
            </w:r>
            <w:r>
              <w:rPr>
                <w:b/>
              </w:rPr>
              <w:t>54.5% vs 34.9%</w:t>
            </w:r>
            <w:r>
              <w:t xml:space="preserve"> . Name which one you are quoting.</w:t>
            </w:r>
          </w:p>
        </w:tc>
      </w:tr>
      <w:tr>
        <w:tc>
          <w:tcPr>
            <w:tcW w:type="dxa" w:w="4824"/>
          </w:tcPr>
          <w:p>
            <w:r>
              <w:t>“Your graph shows 62% at 1 year, not 43%.”</w:t>
            </w:r>
          </w:p>
        </w:tc>
        <w:tc>
          <w:tcPr>
            <w:tcW w:type="dxa" w:w="4824"/>
          </w:tcPr>
          <w:p>
            <w:r>
              <w:t xml:space="preserve">Both are PROUD-PV/CONTINUATION-PV. </w:t>
            </w:r>
            <w:r>
              <w:rPr>
                <w:b/>
              </w:rPr>
              <w:t>43.1% vs 46%</w:t>
            </w:r>
            <w:r>
              <w:t xml:space="preserve"> is the </w:t>
            </w:r>
            <w:r>
              <w:rPr>
                <w:b/>
              </w:rPr>
              <w:t>ITT primary</w:t>
            </w:r>
            <w:r>
              <w:t xml:space="preserve"> (discontinued = failure). The </w:t>
            </w:r>
            <w:r>
              <w:rPr>
                <w:b/>
              </w:rPr>
              <w:t>green/yellow graph</w:t>
            </w:r>
            <w:r>
              <w:t xml:space="preserve"> is the 5-year CHR curve used on the leave-behind — HU is ahead at month 12 on that curve, which is the same clinical point as “HU is faster.”</w:t>
            </w:r>
          </w:p>
        </w:tc>
      </w:tr>
      <w:tr>
        <w:tc>
          <w:tcPr>
            <w:tcW w:type="dxa" w:w="4824"/>
          </w:tcPr>
          <w:p>
            <w:r>
              <w:t>“CHR is still significant at 5 years.”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</w:t>
            </w:r>
            <w:r>
              <w:t xml:space="preserve"> for the Gisslinger primary snapshot at month 60 ( </w:t>
            </w:r>
            <w:r>
              <w:rPr>
                <w:b/>
              </w:rPr>
              <w:t>55.8% vs 44.0%, p=0.097</w:t>
            </w:r>
            <w:r>
              <w:t xml:space="preserve"> ). The brochure graph is a </w:t>
            </w:r>
            <w:r>
              <w:rPr>
                <w:b/>
              </w:rPr>
              <w:t>different analysis</w:t>
            </w:r>
            <w:r>
              <w:t xml:space="preserve"> . Do not call the PI 5-year CHR significant.</w:t>
            </w:r>
          </w:p>
        </w:tc>
      </w:tr>
      <w:tr>
        <w:tc>
          <w:tcPr>
            <w:tcW w:type="dxa" w:w="4824"/>
          </w:tcPr>
          <w:p>
            <w:r>
              <w:t>“JAK2 went to 8% — can I stop?”</w:t>
            </w:r>
          </w:p>
        </w:tc>
        <w:tc>
          <w:tcPr>
            <w:tcW w:type="dxa" w:w="4824"/>
          </w:tcPr>
          <w:p>
            <w:r>
              <w:t xml:space="preserve">No TFR claim. 8% vs 44% at 60 months is </w:t>
            </w:r>
            <w:r>
              <w:rPr>
                <w:b/>
              </w:rPr>
              <w:t>allele-burden reduction on the brochure</w:t>
            </w:r>
            <w:r>
              <w:t xml:space="preserve"> , not a stopping rule.</w:t>
            </w:r>
          </w:p>
        </w:tc>
      </w:tr>
      <w:tr>
        <w:tc>
          <w:tcPr>
            <w:tcW w:type="dxa" w:w="4824"/>
          </w:tcPr>
          <w:p>
            <w:r>
              <w:t>“Will HA pay?”</w:t>
            </w:r>
          </w:p>
        </w:tc>
        <w:tc>
          <w:tcPr>
            <w:tcW w:type="dxa" w:w="4824"/>
          </w:tcPr>
          <w:p>
            <w:r>
              <w:t>Not listed as of this module. Private + PSP bridge. Formulary is the company milestone — no promised date.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Knowledge check (pass = all nine)</w:t>
      </w:r>
      <w:r/>
      <w:r/>
    </w:p>
    <w:p>
      <w:pPr>
        <w:pStyle w:val="ListNumber"/>
        <w:spacing w:line="240" w:lineRule="auto"/>
        <w:ind w:left="720"/>
      </w:pPr>
      <w:r/>
      <w:r>
        <w:t xml:space="preserve">HK indication in one sentence? </w:t>
      </w:r>
      <w:r/>
    </w:p>
    <w:p>
      <w:pPr>
        <w:pStyle w:val="ListNumber"/>
        <w:spacing w:line="240" w:lineRule="auto"/>
        <w:ind w:left="720"/>
      </w:pPr>
      <w:r/>
      <w:r>
        <w:t xml:space="preserve">Who is low-risk PV on Piece A? </w:t>
      </w:r>
      <w:r/>
    </w:p>
    <w:p>
      <w:pPr>
        <w:pStyle w:val="ListNumber"/>
        <w:spacing w:line="240" w:lineRule="auto"/>
        <w:ind w:left="720"/>
      </w:pPr>
      <w:r/>
      <w:r>
        <w:t xml:space="preserve">Year-1 PROUD-PV CHR vs HU, with p-value? </w:t>
      </w:r>
      <w:r/>
    </w:p>
    <w:p>
      <w:pPr>
        <w:pStyle w:val="ListNumber"/>
        <w:spacing w:line="240" w:lineRule="auto"/>
        <w:ind w:left="720"/>
      </w:pPr>
      <w:r/>
      <w:r>
        <w:t xml:space="preserve">Primary CHR at 72 months vs control, with p-value? </w:t>
      </w:r>
      <w:r/>
    </w:p>
    <w:p>
      <w:pPr>
        <w:pStyle w:val="ListNumber"/>
        <w:spacing w:line="240" w:lineRule="auto"/>
        <w:ind w:left="720"/>
      </w:pPr>
      <w:r/>
      <w:r>
        <w:t xml:space="preserve">What is </w:t>
      </w:r>
      <w:r>
        <w:rPr>
          <w:b/>
        </w:rPr>
        <w:t>84.3% (107/127)</w:t>
      </w:r>
      <w:r>
        <w:t xml:space="preserve"> on the brochure — snapshot or ever-response? </w:t>
      </w:r>
      <w:r/>
    </w:p>
    <w:p>
      <w:pPr>
        <w:pStyle w:val="ListNumber"/>
        <w:spacing w:line="240" w:lineRule="auto"/>
        <w:ind w:left="720"/>
      </w:pPr>
      <w:r/>
      <w:r>
        <w:t xml:space="preserve">EFS probabilities, p-value, and why EFS ≠ OS? </w:t>
      </w:r>
      <w:r/>
    </w:p>
    <w:p>
      <w:pPr>
        <w:pStyle w:val="ListNumber"/>
        <w:spacing w:line="240" w:lineRule="auto"/>
        <w:ind w:left="720"/>
      </w:pPr>
      <w:r/>
      <w:r>
        <w:t xml:space="preserve">HK start dose — and what HIDAT number you must </w:t>
      </w:r>
      <w:r>
        <w:rPr>
          <w:b/>
        </w:rPr>
        <w:t>not</w:t>
      </w:r>
      <w:r>
        <w:t xml:space="preserve"> teach as the local start? </w:t>
      </w:r>
      <w:r/>
    </w:p>
    <w:p>
      <w:pPr>
        <w:pStyle w:val="ListNumber"/>
        <w:spacing w:line="240" w:lineRule="auto"/>
        <w:ind w:left="720"/>
      </w:pPr>
      <w:r/>
      <w:r>
        <w:t xml:space="preserve">What is forbidden when a physician asks about Pegasys? </w:t>
      </w:r>
      <w:r/>
    </w:p>
    <w:p>
      <w:pPr>
        <w:pStyle w:val="ListNumber"/>
        <w:spacing w:line="240" w:lineRule="auto"/>
        <w:ind w:left="720"/>
      </w:pPr>
      <w:r/>
      <w:r>
        <w:t>Low-PV 100 µg vs PI titration — same regimen or two regimens, and who gates the slide?</w:t>
      </w:r>
      <w:r/>
      <w:r/>
    </w:p>
    <w:p>
      <w:r/>
      <w:r>
        <w:rPr>
          <w:b/>
        </w:rPr>
        <w:t>Answers:</w:t>
      </w:r>
      <w:r>
        <w:t xml:space="preserve"> (1) Adult monotherapy for PV without symptomatic splenomegaly. (2) Age &lt;60 </w:t>
      </w:r>
      <w:r>
        <w:rPr>
          <w:b/>
        </w:rPr>
        <w:t>and</w:t>
      </w:r>
      <w:r>
        <w:t xml:space="preserve"> no thrombosis history. (3) </w:t>
      </w:r>
      <w:r>
        <w:rPr>
          <w:b/>
        </w:rPr>
        <w:t>43.1% vs 46.0%, p=0.63</w:t>
      </w:r>
      <w:r>
        <w:t xml:space="preserve"> (NS; non-inferiority not met). (4) 54.5% vs 34.9%, p=0.02. (5) </w:t>
      </w:r>
      <w:r>
        <w:rPr>
          <w:b/>
        </w:rPr>
        <w:t>Ever-CHR by 36 months</w:t>
      </w:r>
      <w:r>
        <w:t xml:space="preserve"> (criteria met at any time) — </w:t>
      </w:r>
      <w:r>
        <w:rPr>
          <w:b/>
        </w:rPr>
        <w:t>not</w:t>
      </w:r>
      <w:r>
        <w:t xml:space="preserve"> the 5-year graph snapshot and </w:t>
      </w:r>
      <w:r>
        <w:rPr>
          <w:b/>
        </w:rPr>
        <w:t>not</w:t>
      </w:r>
      <w:r>
        <w:t xml:space="preserve"> the 72-month primary. (6) 0.94 vs 0.82, p=0.04; composite of TE / progression / death — </w:t>
      </w:r>
      <w:r>
        <w:rPr>
          <w:b/>
        </w:rPr>
        <w:t>not</w:t>
      </w:r>
      <w:r>
        <w:t xml:space="preserve"> overall survival. (7) </w:t>
      </w:r>
      <w:r>
        <w:rPr>
          <w:b/>
        </w:rPr>
        <w:t>100 µg</w:t>
      </w:r>
      <w:r>
        <w:t xml:space="preserve"> q2w (50 if already on cytoreductive or GFR 15–29); </w:t>
      </w:r>
      <w:r>
        <w:rPr>
          <w:b/>
        </w:rPr>
        <w:t>do not</w:t>
      </w:r>
      <w:r>
        <w:t xml:space="preserve"> teach </w:t>
      </w:r>
      <w:r>
        <w:rPr>
          <w:b/>
        </w:rPr>
        <w:t>250–350–500</w:t>
      </w:r>
      <w:r>
        <w:t xml:space="preserve"> as HK start. (8) IFN-to-IFN superiority / potency comparison. (9) </w:t>
      </w:r>
      <w:r>
        <w:rPr>
          <w:b/>
        </w:rPr>
        <w:t>Two regimens</w:t>
      </w:r>
      <w:r>
        <w:t>; Medical yes/no in the room.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Abbreviated PI block (required on HCP-facing leave-behinds)</w:t>
      </w:r>
      <w:r/>
    </w:p>
    <w:p>
      <w:r/>
      <w:r>
        <w:rPr>
          <w:b/>
        </w:rPr>
        <w:t>Besremi® (ropeginterferon alfa-2b)</w:t>
      </w:r>
      <w:r>
        <w:t xml:space="preserve"> solution for injection, 500 mcg/mL prefilled syringe.</w:t>
        <w:br/>
      </w:r>
      <w:r/>
      <w:r>
        <w:rPr>
          <w:b/>
        </w:rPr>
        <w:t>Indication (HK):</w:t>
      </w:r>
      <w:r>
        <w:t xml:space="preserve"> monotherapy in adults for polycythaemia vera without symptomatic splenomegaly.</w:t>
        <w:br/>
      </w:r>
      <w:r/>
      <w:r>
        <w:rPr>
          <w:b/>
        </w:rPr>
        <w:t>Dosage:</w:t>
      </w:r>
      <w:r>
        <w:t xml:space="preserve"> start 100 mcg SC q2w (50 mcg if switching from other cytoreductive); increase by 50 mcg q2w to hematologic targets; max 500 mcg q2w; may extend to q4w after ≥1.5 years stable.</w:t>
        <w:br/>
      </w:r>
      <w:r/>
      <w:r>
        <w:rPr>
          <w:b/>
        </w:rPr>
        <w:t>Contraindications:</w:t>
      </w:r>
      <w:r>
        <w:t xml:space="preserve"> include decompensated cirrhosis, ESRD GFR &lt;15, severe psychiatric disease, severe uncontrolled CV disease, autoimmune disease, immunosuppression after transplant, telbivudine, hypersensitivity.</w:t>
        <w:br/>
      </w:r>
      <w:r/>
      <w:r>
        <w:rPr>
          <w:b/>
        </w:rPr>
        <w:t>Undesirable effects:</w:t>
      </w:r>
      <w:r>
        <w:t xml:space="preserve"> interferon-class effects (influenza-like symptoms, liver enzyme elevation, cytopenias, psychiatric, autoimmune, ischemic) — see full PI.</w:t>
        <w:br/>
      </w:r>
      <w:r/>
      <w:r>
        <w:rPr>
          <w:b/>
        </w:rPr>
        <w:t>ADR reporting:</w:t>
      </w:r>
      <w:r>
        <w:t xml:space="preserve"> http://www.drugoffice.gov.hk/adr.html</w:t>
        <w:br/>
      </w:r>
      <w:r/>
      <w:r>
        <w:rPr>
          <w:b/>
        </w:rPr>
        <w:t>Approval / PI date:</w:t>
      </w:r>
      <w:r>
        <w:t xml:space="preserve"> insert current HK registered PI date before print.</w:t>
        <w:br/>
      </w:r>
      <w:r/>
      <w:r>
        <w:rPr>
          <w:i/>
        </w:rPr>
        <w:t>This training module is not the PI. Always refer to the current Hong Kong package insert.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HA formulary impact</w:t>
      </w:r>
      <w:r/>
    </w:p>
    <w:p>
      <w:r/>
      <w:r>
        <w:t xml:space="preserve">A certified, lexicon-aligned physician narrative (CHR + EFS vs HU, disease-modification goals, honest titration) is the same evidence spine as the HA dossier. Misuse of NCCN “preferred” or HU scare statistics in the private market creates a </w:t>
      </w:r>
      <w:r>
        <w:rPr>
          <w:b/>
        </w:rPr>
        <w:t>compliance and credibility risk</w:t>
      </w:r>
      <w:r>
        <w:t xml:space="preserve"> that can follow the brand into formulary Q&amp;A. Keep private-market talk-tracks identical in substance to what Medical will defend at HA.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PSP reminder</w:t>
      </w:r>
      <w:r/>
    </w:p>
    <w:p>
      <w:r/>
      <w:r>
        <w:t xml:space="preserve">Quote only live programs: Base Case (buy 5 get 1) and Private Sector (buy 2 get 1, private, first year, </w:t>
      </w:r>
      <w:r>
        <w:rPr>
          <w:b/>
        </w:rPr>
        <w:t>ends 2026</w:t>
      </w:r>
      <w:r>
        <w:t>). Re-confirm with market access before each HCP conversation as the 2026 expiry approaches.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Assumptions</w:t>
      </w:r>
      <w:r/>
      <w:r/>
    </w:p>
    <w:p>
      <w:pPr>
        <w:pStyle w:val="ListBullet"/>
        <w:spacing w:line="240" w:lineRule="auto"/>
        <w:ind w:left="720"/>
      </w:pPr>
      <w:r/>
      <w:r>
        <w:t>~500 PV patients in HK (planning figure in role memory).</w:t>
      </w:r>
      <w:r/>
    </w:p>
    <w:p>
      <w:pPr>
        <w:pStyle w:val="ListBullet"/>
        <w:spacing w:line="240" w:lineRule="auto"/>
        <w:ind w:left="720"/>
      </w:pPr>
      <w:r/>
      <w:r>
        <w:t xml:space="preserve">Pieces A and B are the attached approved-style artworks; Piece B reference code </w:t>
      </w:r>
      <w:r>
        <w:rPr>
          <w:rFonts w:ascii="Courier" w:hAnsi="Courier"/>
        </w:rPr>
        <w:t>PEC-BES-HK020126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t>Global lexicon still permits named PROUD-PV / CONTINUATION-PV CHR and EFS claims vs HU/BAT.</w:t>
      </w:r>
      <w:r/>
    </w:p>
    <w:p>
      <w:pPr>
        <w:pStyle w:val="ListBullet"/>
        <w:spacing w:line="240" w:lineRule="auto"/>
        <w:ind w:left="720"/>
      </w:pPr>
      <w:r/>
      <w:r>
        <w:t xml:space="preserve">NCCN language on Piece B has already been artwork-approved for HK scientific use; this module does </w:t>
      </w:r>
      <w:r>
        <w:rPr>
          <w:b/>
        </w:rPr>
        <w:t>not</w:t>
      </w:r>
      <w:r>
        <w:t xml:space="preserve"> newly adopt NCCN as a local claim.</w:t>
      </w:r>
      <w:r/>
      <w:r/>
    </w:p>
    <w:p>
      <w:pPr>
        <w:pStyle w:val="Heading2"/>
      </w:pPr>
      <w:r>
        <w:t>Risks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Compliance:</w:t>
      </w:r>
      <w:r>
        <w:t xml:space="preserve"> NCCN “preferred,” HU 10-year mortality/MF percentages, and the CHR line graph can all over-claim if the field paraphrases them. Mitigant: primary 54.5% + EFS p=0.04 as the only comparative headlines; posters as visual support with footnotes.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Cherry-pick accusation:</w:t>
      </w:r>
      <w:r>
        <w:t xml:space="preserve"> Showing only month 72 without </w:t>
      </w:r>
      <w:r>
        <w:rPr>
          <w:b/>
        </w:rPr>
        <w:t>43% vs 46%</w:t>
      </w:r>
      <w:r>
        <w:t xml:space="preserve"> at month 12. Mitigant: year-1 slide </w:t>
      </w:r>
      <w:r>
        <w:rPr>
          <w:b/>
        </w:rPr>
        <w:t>before</w:t>
      </w:r>
      <w:r>
        <w:t xml:space="preserve"> the win.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Off-label drift:</w:t>
      </w:r>
      <w:r>
        <w:t xml:space="preserve"> Piece A’s ET/PMF columns invite “do you have data in ET?” Mitigant: 80/20 PV time split; reactive-only script.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Dose mix-up:</w:t>
      </w:r>
      <w:r>
        <w:t xml:space="preserve"> Low-PV </w:t>
      </w:r>
      <w:r>
        <w:rPr>
          <w:b/>
        </w:rPr>
        <w:t>fixed 100 µg</w:t>
      </w:r>
      <w:r>
        <w:t xml:space="preserve"> taught as if it were the HK PI titration. Mitigant: Medical gate + two-regimen banner; HIDAT 250–350–500 certified as </w:t>
      </w:r>
      <w:r>
        <w:rPr>
          <w:b/>
        </w:rPr>
        <w:t>do-not-use</w:t>
      </w:r>
      <w:r>
        <w:t>.</w:t>
      </w:r>
      <w:r/>
      <w:r/>
    </w:p>
    <w:p>
      <w:pPr>
        <w:pStyle w:val="Heading2"/>
      </w:pPr>
      <w:r>
        <w:t>Next actions (role owners)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For 26 Aug</w:t>
            </w:r>
          </w:p>
        </w:tc>
      </w:tr>
      <w:tr>
        <w:tc>
          <w:tcPr>
            <w:tcW w:type="dxa" w:w="3216"/>
          </w:tcPr>
          <w:p>
            <w:r>
              <w:t xml:space="preserve">Capture Low-PV gate: </w:t>
            </w:r>
            <w:r>
              <w:rPr>
                <w:b/>
              </w:rPr>
              <w:t>core / notes-only / out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 xml:space="preserve">Edahiro alopecia 55.2%: </w:t>
            </w:r>
            <w:r>
              <w:rPr>
                <w:b/>
              </w:rPr>
              <w:t>say / Q&amp;A only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>Confirm audience is internal-only vs HCP present (if HCP: abbreviated PI; ≥2/3 science)</w:t>
            </w:r>
          </w:p>
        </w:tc>
        <w:tc>
          <w:tcPr>
            <w:tcW w:type="dxa" w:w="3216"/>
          </w:tcPr>
          <w:p>
            <w:r>
              <w:t>PM + Compliance</w:t>
            </w:r>
          </w:p>
        </w:tc>
        <w:tc>
          <w:tcPr>
            <w:tcW w:type="dxa" w:w="3216"/>
          </w:tcPr>
          <w:p>
            <w:r>
              <w:t>Before open</w:t>
            </w:r>
          </w:p>
        </w:tc>
      </w:tr>
      <w:tr>
        <w:tc>
          <w:tcPr>
            <w:tcW w:type="dxa" w:w="3216"/>
          </w:tcPr>
          <w:p>
            <w:r>
              <w:t>Clear this module + Piece A/B talk-tracks vs current global lexicon and HK PI</w:t>
            </w:r>
          </w:p>
        </w:tc>
        <w:tc>
          <w:tcPr>
            <w:tcW w:type="dxa" w:w="3216"/>
          </w:tcPr>
          <w:p>
            <w:r>
              <w:t>Medical / Regulatory</w:t>
            </w:r>
          </w:p>
        </w:tc>
        <w:tc>
          <w:tcPr>
            <w:tcW w:type="dxa" w:w="3216"/>
          </w:tcPr>
          <w:p>
            <w:r>
              <w:t>After dry-run edits</w:t>
            </w:r>
          </w:p>
        </w:tc>
      </w:tr>
      <w:tr>
        <w:tc>
          <w:tcPr>
            <w:tcW w:type="dxa" w:w="3216"/>
          </w:tcPr>
          <w:p>
            <w:r>
              <w:t>HKAPI/UMAO review of HCP slide HTML and any printed leave-behind</w:t>
            </w:r>
          </w:p>
        </w:tc>
        <w:tc>
          <w:tcPr>
            <w:tcW w:type="dxa" w:w="3216"/>
          </w:tcPr>
          <w:p>
            <w:r>
              <w:t>Legal / Compliance</w:t>
            </w:r>
          </w:p>
        </w:tc>
        <w:tc>
          <w:tcPr>
            <w:tcW w:type="dxa" w:w="3216"/>
          </w:tcPr>
          <w:p>
            <w:r>
              <w:t>Before field use</w:t>
            </w:r>
          </w:p>
        </w:tc>
      </w:tr>
      <w:tr>
        <w:tc>
          <w:tcPr>
            <w:tcW w:type="dxa" w:w="3216"/>
          </w:tcPr>
          <w:p>
            <w:r>
              <w:t>Insert current PI approval date into abbreviated PI block</w:t>
            </w:r>
          </w:p>
        </w:tc>
        <w:tc>
          <w:tcPr>
            <w:tcW w:type="dxa" w:w="3216"/>
          </w:tcPr>
          <w:p>
            <w:r>
              <w:t>PM</w:t>
            </w:r>
          </w:p>
        </w:tc>
        <w:tc>
          <w:tcPr>
            <w:tcW w:type="dxa" w:w="3216"/>
          </w:tcPr>
          <w:p>
            <w:r>
              <w:t>Before print</w:t>
            </w:r>
          </w:p>
        </w:tc>
      </w:tr>
      <w:tr>
        <w:tc>
          <w:tcPr>
            <w:tcW w:type="dxa" w:w="3216"/>
          </w:tcPr>
          <w:p>
            <w:r>
              <w:t>Field certification (eight-question knowledge check) before first HCP use</w:t>
            </w:r>
          </w:p>
        </w:tc>
        <w:tc>
          <w:tcPr>
            <w:tcW w:type="dxa" w:w="3216"/>
          </w:tcPr>
          <w:p>
            <w:r>
              <w:t>PM + sales lead</w:t>
            </w:r>
          </w:p>
        </w:tc>
        <w:tc>
          <w:tcPr>
            <w:tcW w:type="dxa" w:w="3216"/>
          </w:tcPr>
          <w:p>
            <w:r>
              <w:t>After Medical tick</w:t>
            </w:r>
          </w:p>
        </w:tc>
      </w:tr>
      <w:tr>
        <w:tc>
          <w:tcPr>
            <w:tcW w:type="dxa" w:w="3216"/>
          </w:tcPr>
          <w:p>
            <w:r>
              <w:t>Confirm PSP scripts still match live terms</w:t>
            </w:r>
          </w:p>
        </w:tc>
        <w:tc>
          <w:tcPr>
            <w:tcW w:type="dxa" w:w="3216"/>
          </w:tcPr>
          <w:p>
            <w:r>
              <w:t>Market access / finance</w:t>
            </w:r>
          </w:p>
        </w:tc>
        <w:tc>
          <w:tcPr>
            <w:tcW w:type="dxa" w:w="3216"/>
          </w:tcPr>
          <w:p>
            <w:r>
              <w:t>Before quoting</w:t>
            </w:r>
          </w:p>
        </w:tc>
      </w:tr>
      <w:tr>
        <w:tc>
          <w:tcPr>
            <w:tcW w:type="dxa" w:w="3216"/>
          </w:tcPr>
          <w:p>
            <w:r>
              <w:t xml:space="preserve">Do </w:t>
            </w:r>
            <w:r>
              <w:rPr>
                <w:b/>
              </w:rPr>
              <w:t>not</w:t>
            </w:r>
            <w:r>
              <w:t xml:space="preserve"> add ET/MF efficacy, HIDAT start, pregnancy, or Novartis early-MF PDF</w:t>
            </w:r>
          </w:p>
        </w:tc>
        <w:tc>
          <w:tcPr>
            <w:tcW w:type="dxa" w:w="3216"/>
          </w:tcPr>
          <w:p>
            <w:r>
              <w:t>All</w:t>
            </w:r>
          </w:p>
        </w:tc>
        <w:tc>
          <w:tcPr>
            <w:tcW w:type="dxa" w:w="3216"/>
          </w:tcPr>
          <w:p>
            <w:r>
              <w:t>Always</w:t>
            </w:r>
          </w:p>
        </w:tc>
      </w:tr>
    </w:tbl>
    <w:p>
      <w:r/>
    </w:p>
    <w:p>
      <w:pPr>
        <w:pStyle w:val="Heading2"/>
      </w:pPr>
      <w:r>
        <w:t>References (training, not a promotional footnote block)</w:t>
      </w:r>
      <w:r/>
      <w:r/>
    </w:p>
    <w:p>
      <w:pPr>
        <w:pStyle w:val="ListBullet"/>
        <w:spacing w:line="240" w:lineRule="auto"/>
        <w:ind w:left="720"/>
      </w:pPr>
      <w:r/>
      <w:r>
        <w:t xml:space="preserve">Piece B artwork </w:t>
      </w:r>
      <w:r>
        <w:rPr>
          <w:rFonts w:ascii="Courier" w:hAnsi="Courier"/>
        </w:rPr>
        <w:t>PEC-BES-HK020126</w:t>
      </w:r>
      <w:r>
        <w:t xml:space="preserve"> (NCCN pathway, HU long-term rates, CHR/EFS visuals)</w:t>
      </w:r>
      <w:r/>
    </w:p>
    <w:p>
      <w:pPr>
        <w:pStyle w:val="ListBullet"/>
        <w:spacing w:line="240" w:lineRule="auto"/>
        <w:ind w:left="720"/>
      </w:pPr>
      <w:r/>
      <w:r>
        <w:t xml:space="preserve">Gisslinger H, et al. </w:t>
      </w:r>
      <w:r>
        <w:rPr>
          <w:i/>
        </w:rPr>
        <w:t>Leukemia</w:t>
      </w:r>
      <w:r>
        <w:t>. 2023. PROUD-PV / CONTINUATION-PV EFS and CHR (including LOCF sensitivity)</w:t>
      </w:r>
      <w:r/>
    </w:p>
    <w:p>
      <w:pPr>
        <w:pStyle w:val="ListBullet"/>
        <w:spacing w:line="240" w:lineRule="auto"/>
        <w:ind w:left="720"/>
      </w:pPr>
      <w:r/>
      <w:r>
        <w:t xml:space="preserve">Kiladjian J-J, et al. </w:t>
      </w:r>
      <w:r>
        <w:rPr>
          <w:i/>
        </w:rPr>
        <w:t>Lancet Haematol</w:t>
      </w:r>
      <w:r>
        <w:t>. (PROUD-PV 12-month CHR 43% vs 46%; safety)</w:t>
      </w:r>
      <w:r/>
    </w:p>
    <w:p>
      <w:pPr>
        <w:pStyle w:val="ListBullet"/>
        <w:spacing w:line="240" w:lineRule="auto"/>
        <w:ind w:left="720"/>
      </w:pPr>
      <w:r/>
      <w:r>
        <w:t xml:space="preserve">Barbui T, et al. </w:t>
      </w:r>
      <w:r>
        <w:rPr>
          <w:i/>
        </w:rPr>
        <w:t>NEJM Evidence</w:t>
      </w:r>
      <w:r>
        <w:t xml:space="preserve">. 2023. Low-PV vs phlebotomy — </w:t>
      </w:r>
      <w:r>
        <w:rPr>
          <w:b/>
        </w:rPr>
        <w:t>gated</w:t>
      </w:r>
      <w:r/>
    </w:p>
    <w:p>
      <w:pPr>
        <w:pStyle w:val="ListBullet"/>
        <w:spacing w:line="240" w:lineRule="auto"/>
        <w:ind w:left="720"/>
      </w:pPr>
      <w:r/>
      <w:r>
        <w:t xml:space="preserve">Edahiro Y, et al. 2022. Japan Ph2, PI-like 100 µg start; alopecia 55.2% — </w:t>
      </w:r>
      <w:r>
        <w:rPr>
          <w:b/>
        </w:rPr>
        <w:t>Medical gate</w:t>
      </w:r>
      <w:r/>
    </w:p>
    <w:p>
      <w:pPr>
        <w:pStyle w:val="ListBullet"/>
        <w:spacing w:line="240" w:lineRule="auto"/>
        <w:ind w:left="720"/>
      </w:pPr>
      <w:r/>
      <w:r>
        <w:t>AMWG 2023 (Gill, Kwong, HKU) — Asia overlay, not HA</w:t>
      </w:r>
      <w:r/>
    </w:p>
    <w:p>
      <w:pPr>
        <w:pStyle w:val="ListBullet"/>
        <w:spacing w:line="240" w:lineRule="auto"/>
        <w:ind w:left="720"/>
      </w:pPr>
      <w:r/>
      <w:r>
        <w:t xml:space="preserve">HK PI — Besremi (see </w:t>
      </w:r>
      <w:r>
        <w:rPr>
          <w:rFonts w:ascii="Courier" w:hAnsi="Courier"/>
        </w:rPr>
        <w:t>besremi-hk-pi-summary.md</w:t>
      </w:r>
      <w:r>
        <w:t>)</w:t>
      </w:r>
      <w:r/>
    </w:p>
    <w:p>
      <w:pPr>
        <w:pStyle w:val="ListBullet"/>
        <w:spacing w:line="240" w:lineRule="auto"/>
        <w:ind w:left="720"/>
      </w:pPr>
      <w:r/>
      <w:r>
        <w:t>NCCN Guidelines — Myeloproliferative Neoplasms (US; as depicted on Piece B)</w:t>
      </w:r>
      <w:r/>
    </w:p>
    <w:p>
      <w:pPr>
        <w:pStyle w:val="ListBullet"/>
        <w:spacing w:line="240" w:lineRule="auto"/>
        <w:ind w:left="720"/>
      </w:pPr>
      <w:r/>
      <w:r>
        <w:t>WHO 2016 PV diagnostic criteria (as depicted on Piece A)</w:t>
      </w:r>
      <w:r/>
    </w:p>
    <w:p>
      <w:pPr>
        <w:pStyle w:val="ListBullet"/>
        <w:spacing w:line="240" w:lineRule="auto"/>
        <w:ind w:left="720"/>
      </w:pPr>
      <w:r/>
      <w:r>
        <w:t>HKAPI Code of Practice 21st ed. §§3.5, 4, 5; UMAO Cap. 231</w:t>
      </w:r>
      <w:r/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PharmaEssentia Asia (Hong Kong) Limited  ·  Mid sensitivity  ·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E07A2F"/>
        <w:sz w:val="18"/>
      </w:rPr>
      <w:t>DRAFT — NOT FOR FIELD USE  |  BESREMi physician product training (HK) v2  | 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hysician-product-training-meeting-brief.md" TargetMode="External"/><Relationship Id="rId12" Type="http://schemas.openxmlformats.org/officeDocument/2006/relationships/hyperlink" Target="physician-product-training.md" TargetMode="External"/><Relationship Id="rId13" Type="http://schemas.openxmlformats.org/officeDocument/2006/relationships/hyperlink" Target="physician-product-training.docx" TargetMode="External"/><Relationship Id="rId14" Type="http://schemas.openxmlformats.org/officeDocument/2006/relationships/hyperlink" Target="physician-product-training-compliance.md" TargetMode="External"/><Relationship Id="rId15" Type="http://schemas.openxmlformats.org/officeDocument/2006/relationships/hyperlink" Target="physician-product-training-slides.html" TargetMode="External"/><Relationship Id="rId16" Type="http://schemas.openxmlformats.org/officeDocument/2006/relationships/hyperlink" Target="physician-product-training-brochure-map.md" TargetMode="External"/><Relationship Id="rId17" Type="http://schemas.openxmlformats.org/officeDocument/2006/relationships/hyperlink" Target="physician-product-training-gaps.md" TargetMode="External"/><Relationship Id="rId18" Type="http://schemas.openxmlformats.org/officeDocument/2006/relationships/hyperlink" Target="https://www.canva.com/d/bp9GpvLL8cxB5m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