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Why the training numbers differ from the physician brochure</w:t>
      </w:r>
      <w:r/>
      <w:r/>
    </w:p>
    <w:p>
      <w:r/>
      <w:r>
        <w:rPr>
          <w:b/>
        </w:rPr>
        <w:t>Answer first:</w:t>
      </w:r>
      <w:r>
        <w:t xml:space="preserve"> They are the </w:t>
      </w:r>
      <w:r>
        <w:rPr>
          <w:b/>
        </w:rPr>
        <w:t>same trials</w:t>
      </w:r>
      <w:r>
        <w:t xml:space="preserve"> (PROUD-PV / CONTINUATION-PV). The brochure and the v2 training quote </w:t>
      </w:r>
      <w:r>
        <w:rPr>
          <w:b/>
        </w:rPr>
        <w:t>different analyses</w:t>
      </w:r>
      <w:r>
        <w:t xml:space="preserve"> of those trials. Training was built from Piece A, Piece B (</w:t>
      </w:r>
      <w:r>
        <w:rPr>
          <w:rFonts w:ascii="Courier" w:hAnsi="Courier"/>
        </w:rPr>
        <w:t>PEC-BES-HK020126</w:t>
      </w:r>
      <w:r>
        <w:t xml:space="preserve">), the HK PI, and Gisslinger </w:t>
      </w:r>
      <w:r>
        <w:rPr>
          <w:i/>
        </w:rPr>
        <w:t>Leukemia</w:t>
      </w:r>
      <w:r>
        <w:t xml:space="preserve"> 2023. It was </w:t>
      </w:r>
      <w:r>
        <w:rPr>
          <w:b/>
        </w:rPr>
        <w:t>not</w:t>
      </w:r>
      <w:r>
        <w:t xml:space="preserve"> built from this full EFFICACY / SAFETY / OTHER INFO leave-behind. If you walk this brochure while quoting the training’s “lead numbers,” you will look inconsistent.</w:t>
        <w:br/>
      </w:r>
      <w:r/>
      <w:r>
        <w:rPr>
          <w:b/>
        </w:rPr>
        <w:t>Sensitivity:</w:t>
      </w:r>
      <w:r>
        <w:t xml:space="preserve"> Mid — approved-style physician brochure + published RCT + HK PI.</w:t>
        <w:br/>
      </w:r>
      <w:r/>
      <w:r>
        <w:rPr>
          <w:b/>
        </w:rPr>
        <w:t>Status:</w:t>
      </w:r>
      <w:r>
        <w:t xml:space="preserve"> Internal map for 26 Aug. Still DRAFT for field until Medical ticks the brochure as the live leave-behind.</w:t>
      </w:r>
      <w:r/>
      <w:r/>
    </w:p>
    <w:p>
      <w:pPr>
        <w:pStyle w:val="Heading2"/>
      </w:pPr>
      <w:r>
        <w:t>Recommendation</w:t>
      </w:r>
      <w:r/>
    </w:p>
    <w:p>
      <w:r/>
      <w:r>
        <w:rPr>
          <w:b/>
        </w:rPr>
        <w:t>Do</w:t>
      </w:r>
      <w:r>
        <w:t xml:space="preserve"> treat this brochure as the HCP leave-behind and use training as a </w:t>
      </w:r>
      <w:r>
        <w:rPr>
          <w:b/>
        </w:rPr>
        <w:t>translation layer</w:t>
      </w:r>
      <w:r>
        <w:t xml:space="preserve"> (name the analysis on each page). </w:t>
      </w:r>
      <w:r>
        <w:rPr>
          <w:b/>
        </w:rPr>
        <w:t>Do not</w:t>
      </w:r>
      <w:r>
        <w:t xml:space="preserve"> replace the brochure’s graph with 54.5%, and </w:t>
      </w:r>
      <w:r>
        <w:rPr>
          <w:b/>
        </w:rPr>
        <w:t>do not</w:t>
      </w:r>
      <w:r>
        <w:t xml:space="preserve"> let 84.3% or the year-1 graph (~62%) be spoken as if they were the HK PI 12-month primary (43.1% vs 46%).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The CHR collision (this is the one that will get you in the room)</w:t>
      </w:r>
      <w:r/>
    </w:p>
    <w:p>
      <w:r/>
      <w:r>
        <w:t xml:space="preserve">The brochure page </w:t>
      </w:r>
      <w:r>
        <w:rPr>
          <w:i/>
        </w:rPr>
        <w:t>“BESREMi achieved significant and sustained hematologic control”</w:t>
      </w:r>
      <w:r>
        <w:t xml:space="preserve"> and the training are both “CHR vs HU/BAT.” They are </w:t>
      </w:r>
      <w:r>
        <w:rPr>
          <w:b/>
        </w:rPr>
        <w:t>not the same percentage</w:t>
      </w:r>
      <w:r>
        <w:t>.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  <w:t>Number the physician will see or hear</w:t>
            </w:r>
          </w:p>
        </w:tc>
        <w:tc>
          <w:tcPr>
            <w:tcW w:type="dxa" w:w="2412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412"/>
          </w:tcPr>
          <w:p>
            <w:r>
              <w:rPr>
                <w:b/>
              </w:rPr>
              <w:t>What the analysis actually is</w:t>
            </w:r>
          </w:p>
        </w:tc>
        <w:tc>
          <w:tcPr>
            <w:tcW w:type="dxa" w:w="2412"/>
          </w:tcPr>
          <w:p>
            <w:r>
              <w:rPr>
                <w:b/>
              </w:rPr>
              <w:t>What it is not</w:t>
            </w:r>
          </w:p>
        </w:tc>
      </w:tr>
      <w:tr>
        <w:tc>
          <w:tcPr>
            <w:tcW w:type="dxa" w:w="2412"/>
          </w:tcPr>
          <w:p>
            <w:r>
              <w:rPr>
                <w:b/>
              </w:rPr>
              <w:t>~62% vs ~75% at month 12</w:t>
            </w:r>
            <w:r>
              <w:t xml:space="preserve"> on the green/yellow graph</w:t>
            </w:r>
          </w:p>
        </w:tc>
        <w:tc>
          <w:tcPr>
            <w:tcW w:type="dxa" w:w="2412"/>
          </w:tcPr>
          <w:p>
            <w:r>
              <w:t>Brochure 5-year CHR curve</w:t>
            </w:r>
          </w:p>
        </w:tc>
        <w:tc>
          <w:tcPr>
            <w:tcW w:type="dxa" w:w="2412"/>
          </w:tcPr>
          <w:p>
            <w:r>
              <w:t xml:space="preserve">Snapshot / LOCF-style curve: HU is </w:t>
            </w:r>
            <w:r>
              <w:rPr>
                <w:b/>
              </w:rPr>
              <w:t>faster at 1 year</w:t>
            </w:r>
            <w:r>
              <w:t xml:space="preserve"> , then the lines cross</w:t>
            </w:r>
          </w:p>
        </w:tc>
        <w:tc>
          <w:tcPr>
            <w:tcW w:type="dxa" w:w="2412"/>
          </w:tcPr>
          <w:p>
            <w:r>
              <w:rPr>
                <w:b/>
              </w:rPr>
              <w:t>Not</w:t>
            </w:r>
            <w:r>
              <w:t xml:space="preserve"> the HK PI 12-month primary</w:t>
            </w:r>
          </w:p>
        </w:tc>
      </w:tr>
      <w:tr>
        <w:tc>
          <w:tcPr>
            <w:tcW w:type="dxa" w:w="2412"/>
          </w:tcPr>
          <w:p>
            <w:r>
              <w:rPr>
                <w:b/>
              </w:rPr>
              <w:t>43.1% vs 46.0%, p=0.63</w:t>
            </w:r>
          </w:p>
        </w:tc>
        <w:tc>
          <w:tcPr>
            <w:tcW w:type="dxa" w:w="2412"/>
          </w:tcPr>
          <w:p>
            <w:r>
              <w:t>HK PI Clinical Studies; PROUD-PV ITT</w:t>
            </w:r>
          </w:p>
        </w:tc>
        <w:tc>
          <w:tcPr>
            <w:tcW w:type="dxa" w:w="2412"/>
          </w:tcPr>
          <w:p>
            <w:r>
              <w:t xml:space="preserve">Primary 12-month disease response; </w:t>
            </w:r>
            <w:r>
              <w:rPr>
                <w:b/>
              </w:rPr>
              <w:t>discontinued = non-responder</w:t>
            </w:r>
            <w:r>
              <w:t xml:space="preserve"> ; non-inferiority </w:t>
            </w:r>
            <w:r>
              <w:rPr>
                <w:b/>
              </w:rPr>
              <w:t>not met</w:t>
            </w:r>
          </w:p>
        </w:tc>
        <w:tc>
          <w:tcPr>
            <w:tcW w:type="dxa" w:w="2412"/>
          </w:tcPr>
          <w:p>
            <w:r>
              <w:t>Not the graph’s month-12 dots</w:t>
            </w:r>
          </w:p>
        </w:tc>
      </w:tr>
      <w:tr>
        <w:tc>
          <w:tcPr>
            <w:tcW w:type="dxa" w:w="2412"/>
          </w:tcPr>
          <w:p>
            <w:r>
              <w:rPr>
                <w:b/>
              </w:rPr>
              <w:t>~74% vs ~57% at 24 mo; ~77% vs ~54% at 36 mo; ~73% vs ~53% at 60 mo</w:t>
            </w:r>
          </w:p>
        </w:tc>
        <w:tc>
          <w:tcPr>
            <w:tcW w:type="dxa" w:w="2412"/>
          </w:tcPr>
          <w:p>
            <w:r>
              <w:t>Same brochure graph</w:t>
            </w:r>
          </w:p>
        </w:tc>
        <w:tc>
          <w:tcPr>
            <w:tcW w:type="dxa" w:w="2412"/>
          </w:tcPr>
          <w:p>
            <w:r>
              <w:t>Same curve after the crossover; “sustained through 5 years” on the artwork</w:t>
            </w:r>
          </w:p>
        </w:tc>
        <w:tc>
          <w:tcPr>
            <w:tcW w:type="dxa" w:w="2412"/>
          </w:tcPr>
          <w:p>
            <w:r>
              <w:t xml:space="preserve">Not Gisslinger 2023 </w:t>
            </w:r>
            <w:r>
              <w:rPr>
                <w:b/>
              </w:rPr>
              <w:t>primary</w:t>
            </w:r>
            <w:r>
              <w:t xml:space="preserve"> 72-month CHR</w:t>
            </w:r>
          </w:p>
        </w:tc>
      </w:tr>
      <w:tr>
        <w:tc>
          <w:tcPr>
            <w:tcW w:type="dxa" w:w="2412"/>
          </w:tcPr>
          <w:p>
            <w:r>
              <w:rPr>
                <w:b/>
              </w:rPr>
              <w:t>84.3% (107/127)</w:t>
            </w:r>
          </w:p>
        </w:tc>
        <w:tc>
          <w:tcPr>
            <w:tcW w:type="dxa" w:w="2412"/>
          </w:tcPr>
          <w:p>
            <w:r>
              <w:t>Brochure callout, 36 months</w:t>
            </w:r>
          </w:p>
        </w:tc>
        <w:tc>
          <w:tcPr>
            <w:tcW w:type="dxa" w:w="2412"/>
          </w:tcPr>
          <w:p>
            <w:r>
              <w:rPr>
                <w:b/>
              </w:rPr>
              <w:t>Overall / ever-response:</w:t>
            </w:r>
            <w:r>
              <w:t xml:space="preserve"> criteria met </w:t>
            </w:r>
            <w:r>
              <w:rPr>
                <w:b/>
              </w:rPr>
              <w:t>at any time</w:t>
            </w:r>
            <w:r>
              <w:t xml:space="preserve"> up to cutoff (footnote on the page)</w:t>
            </w:r>
          </w:p>
        </w:tc>
        <w:tc>
          <w:tcPr>
            <w:tcW w:type="dxa" w:w="2412"/>
          </w:tcPr>
          <w:p>
            <w:r>
              <w:rPr>
                <w:b/>
              </w:rPr>
              <w:t>Not</w:t>
            </w:r>
            <w:r>
              <w:t xml:space="preserve"> “84% still in CHR at 3 years”</w:t>
            </w:r>
          </w:p>
        </w:tc>
      </w:tr>
      <w:tr>
        <w:tc>
          <w:tcPr>
            <w:tcW w:type="dxa" w:w="2412"/>
          </w:tcPr>
          <w:p>
            <w:r>
              <w:rPr>
                <w:b/>
              </w:rPr>
              <w:t>54.5% vs 34.9%, p=0.02</w:t>
            </w:r>
          </w:p>
        </w:tc>
        <w:tc>
          <w:tcPr>
            <w:tcW w:type="dxa" w:w="2412"/>
          </w:tcPr>
          <w:p>
            <w:r>
              <w:t>Training lead; Gisslinger 2023; PI 72-month lineage</w:t>
            </w:r>
          </w:p>
        </w:tc>
        <w:tc>
          <w:tcPr>
            <w:tcW w:type="dxa" w:w="2412"/>
          </w:tcPr>
          <w:p>
            <w:r>
              <w:t>Primary late CHR; discontinued = non-responder (48/88 vs 22/63)</w:t>
            </w:r>
          </w:p>
        </w:tc>
        <w:tc>
          <w:tcPr>
            <w:tcW w:type="dxa" w:w="2412"/>
          </w:tcPr>
          <w:p>
            <w:r>
              <w:t>Not the graph and not 84.3%</w:t>
            </w:r>
          </w:p>
        </w:tc>
      </w:tr>
      <w:tr>
        <w:tc>
          <w:tcPr>
            <w:tcW w:type="dxa" w:w="2412"/>
          </w:tcPr>
          <w:p>
            <w:r>
              <w:rPr>
                <w:b/>
              </w:rPr>
              <w:t>72.6% vs 47.3%</w:t>
            </w:r>
          </w:p>
        </w:tc>
        <w:tc>
          <w:tcPr>
            <w:tcW w:type="dxa" w:w="2412"/>
          </w:tcPr>
          <w:p>
            <w:r>
              <w:t>Gisslinger 2023 LOCF sensitivity</w:t>
            </w:r>
          </w:p>
        </w:tc>
        <w:tc>
          <w:tcPr>
            <w:tcW w:type="dxa" w:w="2412"/>
          </w:tcPr>
          <w:p>
            <w:r>
              <w:t xml:space="preserve">Closest </w:t>
            </w:r>
            <w:r>
              <w:rPr>
                <w:b/>
              </w:rPr>
              <w:t>published</w:t>
            </w:r>
            <w:r>
              <w:t xml:space="preserve"> analogue to the ~70–80% graph</w:t>
            </w:r>
          </w:p>
        </w:tc>
        <w:tc>
          <w:tcPr>
            <w:tcW w:type="dxa" w:w="2412"/>
          </w:tcPr>
          <w:p>
            <w:r>
              <w:t>Not a third “real” response rate to mix in the same sentence</w:t>
            </w:r>
          </w:p>
        </w:tc>
      </w:tr>
      <w:tr>
        <w:tc>
          <w:tcPr>
            <w:tcW w:type="dxa" w:w="2412"/>
          </w:tcPr>
          <w:p>
            <w:r>
              <w:rPr>
                <w:b/>
              </w:rPr>
              <w:t>3% (4/127) major TE at 36 months</w:t>
            </w:r>
          </w:p>
        </w:tc>
        <w:tc>
          <w:tcPr>
            <w:tcW w:type="dxa" w:w="2412"/>
          </w:tcPr>
          <w:p>
            <w:r>
              <w:t>Brochure callout</w:t>
            </w:r>
          </w:p>
        </w:tc>
        <w:tc>
          <w:tcPr>
            <w:tcW w:type="dxa" w:w="2412"/>
          </w:tcPr>
          <w:p>
            <w:r>
              <w:t xml:space="preserve">36-month incidence on the </w:t>
            </w:r>
            <w:r>
              <w:rPr>
                <w:b/>
              </w:rPr>
              <w:t>n=127</w:t>
            </w:r>
            <w:r>
              <w:t xml:space="preserve"> randomized set</w:t>
            </w:r>
          </w:p>
        </w:tc>
        <w:tc>
          <w:tcPr>
            <w:tcW w:type="dxa" w:w="2412"/>
          </w:tcPr>
          <w:p>
            <w:r>
              <w:rPr>
                <w:b/>
              </w:rPr>
              <w:t>Not</w:t>
            </w:r>
            <w:r>
              <w:t xml:space="preserve"> the EFS 5/95 first-event count (different cohort, longer follow-up, composite)</w:t>
            </w:r>
          </w:p>
        </w:tc>
      </w:tr>
    </w:tbl>
    <w:p>
      <w:r/>
    </w:p>
    <w:p>
      <w:r/>
      <w:r>
        <w:rPr>
          <w:b/>
        </w:rPr>
        <w:t>Talk-track when the brochure is open:</w:t>
      </w:r>
      <w:r/>
      <w:r/>
    </w:p>
    <w:p>
      <w:pPr>
        <w:pStyle w:val="ListNumber"/>
        <w:spacing w:line="240" w:lineRule="auto"/>
        <w:ind w:left="720"/>
      </w:pPr>
      <w:r/>
      <w:r>
        <w:t xml:space="preserve">Point at the graph: “This curve is long-term CHR </w:t>
      </w:r>
      <w:r>
        <w:rPr>
          <w:b/>
        </w:rPr>
        <w:t>among the analysis used on this page</w:t>
      </w:r>
      <w:r>
        <w:t>. Hydroxyurea is ahead at 12 months. Ropeg crosses by 24 months and holds through 60 months.”</w:t>
      </w:r>
      <w:r/>
    </w:p>
    <w:p>
      <w:pPr>
        <w:pStyle w:val="ListNumber"/>
        <w:spacing w:line="240" w:lineRule="auto"/>
        <w:ind w:left="720"/>
      </w:pPr>
      <w:r/>
      <w:r>
        <w:t xml:space="preserve">Then, without attacking the page: “The </w:t>
      </w:r>
      <w:r>
        <w:rPr>
          <w:b/>
        </w:rPr>
        <w:t>registered 12-month primary</w:t>
      </w:r>
      <w:r>
        <w:t xml:space="preserve"> in the HK PI is </w:t>
      </w:r>
      <w:r>
        <w:rPr>
          <w:b/>
        </w:rPr>
        <w:t>43.1% vs 46%</w:t>
      </w:r>
      <w:r>
        <w:t xml:space="preserve"> — that counts discontinuations as failures. That is why a haematologist who only remembers PROUD-PV year 1 will say it ‘lost.’ Both statements can be true.”</w:t>
      </w:r>
      <w:r/>
    </w:p>
    <w:p>
      <w:pPr>
        <w:pStyle w:val="ListNumber"/>
        <w:spacing w:line="240" w:lineRule="auto"/>
        <w:ind w:left="720"/>
      </w:pPr>
      <w:r/>
      <w:r>
        <w:t xml:space="preserve">If they point at </w:t>
      </w:r>
      <w:r>
        <w:rPr>
          <w:b/>
        </w:rPr>
        <w:t>84.3%</w:t>
      </w:r>
      <w:r>
        <w:t xml:space="preserve">: “That is </w:t>
      </w:r>
      <w:r>
        <w:rPr>
          <w:b/>
        </w:rPr>
        <w:t>ever</w:t>
      </w:r>
      <w:r>
        <w:t xml:space="preserve"> achieved CHR by 36 months (107/127), not the snapshot on the graph and not the 72-month primary.”</w:t>
      </w:r>
      <w:r/>
    </w:p>
    <w:p>
      <w:pPr>
        <w:pStyle w:val="ListNumber"/>
        <w:spacing w:line="240" w:lineRule="auto"/>
        <w:ind w:left="720"/>
      </w:pPr>
      <w:r/>
      <w:r>
        <w:t xml:space="preserve">If they ask for the PI-aligned late number: </w:t>
      </w:r>
      <w:r>
        <w:rPr>
          <w:b/>
        </w:rPr>
        <w:t>54.5% vs 34.9% at 72 months, p=0.02.</w:t>
      </w:r>
      <w:r/>
      <w:r/>
    </w:p>
    <w:p>
      <w:r/>
      <w:r>
        <w:rPr>
          <w:b/>
        </w:rPr>
        <w:t>Do not say:</w:t>
      </w:r>
      <w:r>
        <w:t xml:space="preserve"> “About 80% of patients respond” as a single headline. The brochure is allowed to show 84.3% </w:t>
      </w:r>
      <w:r>
        <w:rPr>
          <w:b/>
        </w:rPr>
        <w:t>with its footnote</w:t>
      </w:r>
      <w:r>
        <w:t>; you must say the footnote out loud.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Page-by-page map (this leave-behind vs v2 training)</w:t>
      </w:r>
      <w:r/>
    </w:p>
    <w:p>
      <w:pPr>
        <w:pStyle w:val="Heading3"/>
      </w:pPr>
      <w:r>
        <w:t>1. Efficacy — 5-year CHR graph + 84.3% + 3% TE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Brochure</w:t>
            </w:r>
          </w:p>
        </w:tc>
        <w:tc>
          <w:tcPr>
            <w:tcW w:type="dxa" w:w="3216"/>
          </w:tcPr>
          <w:p>
            <w:r>
              <w:rPr>
                <w:b/>
              </w:rPr>
              <w:t>Training v2 (before this map)</w:t>
            </w:r>
          </w:p>
        </w:tc>
        <w:tc>
          <w:tcPr>
            <w:tcW w:type="dxa" w:w="3216"/>
          </w:tcPr>
          <w:p>
            <w:r>
              <w:rPr>
                <w:b/>
              </w:rPr>
              <w:t>Why it felt different</w:t>
            </w:r>
          </w:p>
        </w:tc>
      </w:tr>
      <w:tr>
        <w:tc>
          <w:tcPr>
            <w:tcW w:type="dxa" w:w="3216"/>
          </w:tcPr>
          <w:p>
            <w:r>
              <w:t>Graph ~62→73% vs ~75→53%; crossover after year 1</w:t>
            </w:r>
          </w:p>
        </w:tc>
        <w:tc>
          <w:tcPr>
            <w:tcW w:type="dxa" w:w="3216"/>
          </w:tcPr>
          <w:p>
            <w:r>
              <w:t xml:space="preserve">Lead </w:t>
            </w:r>
            <w:r>
              <w:rPr>
                <w:b/>
              </w:rPr>
              <w:t>54.5% vs 34.9%</w:t>
            </w:r>
            <w:r>
              <w:t xml:space="preserve"> ; treat ~70–80% as LOCF only</w:t>
            </w:r>
          </w:p>
        </w:tc>
        <w:tc>
          <w:tcPr>
            <w:tcW w:type="dxa" w:w="3216"/>
          </w:tcPr>
          <w:p>
            <w:r>
              <w:t xml:space="preserve">Training </w:t>
            </w:r>
            <w:r>
              <w:rPr>
                <w:b/>
              </w:rPr>
              <w:t>deliberately</w:t>
            </w:r>
            <w:r>
              <w:t xml:space="preserve"> preferred the conservative PI/primary number so field would not over-claim the graph</w:t>
            </w:r>
          </w:p>
        </w:tc>
      </w:tr>
      <w:tr>
        <w:tc>
          <w:tcPr>
            <w:tcW w:type="dxa" w:w="3216"/>
          </w:tcPr>
          <w:p>
            <w:r>
              <w:t>84.3% (107/127) ever-CHR</w:t>
            </w:r>
          </w:p>
        </w:tc>
        <w:tc>
          <w:tcPr>
            <w:tcW w:type="dxa" w:w="3216"/>
          </w:tcPr>
          <w:p>
            <w:r>
              <w:t xml:space="preserve">Explicit rule: </w:t>
            </w:r>
            <w:r>
              <w:rPr>
                <w:b/>
              </w:rPr>
              <w:t>do not say ~80% respond</w:t>
            </w:r>
          </w:p>
        </w:tc>
        <w:tc>
          <w:tcPr>
            <w:tcW w:type="dxa" w:w="3216"/>
          </w:tcPr>
          <w:p>
            <w:r>
              <w:t xml:space="preserve">That rule </w:t>
            </w:r>
            <w:r>
              <w:rPr>
                <w:b/>
              </w:rPr>
              <w:t>collides</w:t>
            </w:r>
            <w:r>
              <w:t xml:space="preserve"> with this page if you hand the brochure over</w:t>
            </w:r>
          </w:p>
        </w:tc>
      </w:tr>
      <w:tr>
        <w:tc>
          <w:tcPr>
            <w:tcW w:type="dxa" w:w="3216"/>
          </w:tcPr>
          <w:p>
            <w:r>
              <w:t>3% (4/127) major TE at 36 mo</w:t>
            </w:r>
          </w:p>
        </w:tc>
        <w:tc>
          <w:tcPr>
            <w:tcW w:type="dxa" w:w="3216"/>
          </w:tcPr>
          <w:p>
            <w:r>
              <w:t>Not in the talk-track</w:t>
            </w:r>
          </w:p>
        </w:tc>
        <w:tc>
          <w:tcPr>
            <w:tcW w:type="dxa" w:w="3216"/>
          </w:tcPr>
          <w:p>
            <w:r>
              <w:t xml:space="preserve">Training used the </w:t>
            </w:r>
            <w:r>
              <w:rPr>
                <w:b/>
              </w:rPr>
              <w:t>EFS</w:t>
            </w:r>
            <w:r>
              <w:t xml:space="preserve"> mix (5/95 vs 12/74) instead</w:t>
            </w:r>
          </w:p>
        </w:tc>
      </w:tr>
    </w:tbl>
    <w:p>
      <w:r/>
    </w:p>
    <w:p>
      <w:r/>
      <w:r>
        <w:rPr>
          <w:b/>
        </w:rPr>
        <w:t>Field rule now:</w:t>
      </w:r>
      <w:r>
        <w:t xml:space="preserve"> Walk this page as drawn. Add the PI 12-month and 72-month primary </w:t>
      </w:r>
      <w:r>
        <w:rPr>
          <w:b/>
        </w:rPr>
        <w:t>as the translation</w:t>
      </w:r>
      <w:r>
        <w:t>, not as a replacement headline.</w:t>
      </w:r>
      <w:r/>
    </w:p>
    <w:p>
      <w:pPr>
        <w:pStyle w:val="Heading3"/>
      </w:pPr>
      <w:r>
        <w:t>2. Efficacy — JAK2 V617F allele burden (brochure page 7)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Brochure</w:t>
            </w:r>
          </w:p>
        </w:tc>
        <w:tc>
          <w:tcPr>
            <w:tcW w:type="dxa" w:w="3216"/>
          </w:tcPr>
          <w:p>
            <w:r>
              <w:rPr>
                <w:b/>
              </w:rPr>
              <w:t>Training v2</w:t>
            </w:r>
          </w:p>
        </w:tc>
        <w:tc>
          <w:tcPr>
            <w:tcW w:type="dxa" w:w="3216"/>
          </w:tcPr>
          <w:p>
            <w:r>
              <w:rPr>
                <w:b/>
              </w:rPr>
              <w:t>Why it felt different</w:t>
            </w:r>
          </w:p>
        </w:tc>
      </w:tr>
      <w:tr>
        <w:tc>
          <w:tcPr>
            <w:tcW w:type="dxa" w:w="3216"/>
          </w:tcPr>
          <w:p>
            <w:r>
              <w:t xml:space="preserve">Median </w:t>
            </w:r>
            <w:r>
              <w:rPr>
                <w:b/>
              </w:rPr>
              <w:t>37% → 8%</w:t>
            </w:r>
            <w:r>
              <w:t xml:space="preserve"> vs </w:t>
            </w:r>
            <w:r>
              <w:rPr>
                <w:b/>
              </w:rPr>
              <w:t>38% → 44%</w:t>
            </w:r>
            <w:r>
              <w:t xml:space="preserve"> at 60 months; HU </w:t>
            </w:r>
            <w:r>
              <w:rPr>
                <w:b/>
              </w:rPr>
              <w:t>rebounds</w:t>
            </w:r>
          </w:p>
        </w:tc>
        <w:tc>
          <w:tcPr>
            <w:tcW w:type="dxa" w:w="3216"/>
          </w:tcPr>
          <w:p>
            <w:r>
              <w:t xml:space="preserve">Molecular marked </w:t>
            </w:r>
            <w:r>
              <w:rPr>
                <w:b/>
              </w:rPr>
              <w:t>lexicon-optional / not on Piece B</w:t>
            </w:r>
            <w:r>
              <w:t xml:space="preserve"> ; Gisslinger 6-year </w:t>
            </w:r>
            <w:r>
              <w:rPr>
                <w:b/>
              </w:rPr>
              <w:t>8.5% vs 50.4%</w:t>
            </w:r>
            <w:r>
              <w:t xml:space="preserve"> and MR 66.0% vs 19.4%</w:t>
            </w:r>
          </w:p>
        </w:tc>
        <w:tc>
          <w:tcPr>
            <w:tcW w:type="dxa" w:w="3216"/>
          </w:tcPr>
          <w:p>
            <w:r>
              <w:t xml:space="preserve">This page </w:t>
            </w:r>
            <w:r>
              <w:rPr>
                <w:b/>
              </w:rPr>
              <w:t>is</w:t>
            </w:r>
            <w:r>
              <w:t xml:space="preserve"> on the leave-behind. Optional speaker notes cannot stay optional if you share this brochure</w:t>
            </w:r>
          </w:p>
        </w:tc>
      </w:tr>
      <w:tr>
        <w:tc>
          <w:tcPr>
            <w:tcW w:type="dxa" w:w="3216"/>
          </w:tcPr>
          <w:p>
            <w:r>
              <w:t>“Selectively depletes JAK2-mutated HSCs”; higher VAF linked to thrombosis / hemorrhage / MF</w:t>
            </w:r>
          </w:p>
        </w:tc>
        <w:tc>
          <w:tcPr>
            <w:tcW w:type="dxa" w:w="3216"/>
          </w:tcPr>
          <w:p>
            <w:r>
              <w:t>AMWG says VAF and leukocytosis associate with risk; no HSC-depletion line</w:t>
            </w:r>
          </w:p>
        </w:tc>
        <w:tc>
          <w:tcPr>
            <w:tcW w:type="dxa" w:w="3216"/>
          </w:tcPr>
          <w:p>
            <w:r>
              <w:t xml:space="preserve">Mechanistic sentence is </w:t>
            </w:r>
            <w:r>
              <w:rPr>
                <w:b/>
              </w:rPr>
              <w:t>brochure art</w:t>
            </w:r>
            <w:r>
              <w:t xml:space="preserve"> . Do not expand to “eradicates the clone” or treatment-free remission</w:t>
            </w:r>
          </w:p>
        </w:tc>
      </w:tr>
    </w:tbl>
    <w:p>
      <w:r/>
    </w:p>
    <w:p>
      <w:r/>
      <w:r>
        <w:rPr>
          <w:b/>
        </w:rPr>
        <w:t>Field rule now:</w:t>
      </w:r>
      <w:r>
        <w:t xml:space="preserve"> If this page is in the room, teach </w:t>
      </w:r>
      <w:r>
        <w:rPr>
          <w:b/>
        </w:rPr>
        <w:t>8% vs 44% at 60 months</w:t>
      </w:r>
      <w:r>
        <w:t xml:space="preserve"> as on the artwork. If asked for 6-year paper numbers, that is the same direction (8.5% vs 50.4%). Do not teach TFR.</w:t>
      </w:r>
      <w:r/>
    </w:p>
    <w:p>
      <w:pPr>
        <w:pStyle w:val="Heading3"/>
      </w:pPr>
      <w:r>
        <w:t>3. Efficacy — event-free survival KM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Brochure</w:t>
            </w:r>
          </w:p>
        </w:tc>
        <w:tc>
          <w:tcPr>
            <w:tcW w:type="dxa" w:w="3216"/>
          </w:tcPr>
          <w:p>
            <w:r>
              <w:rPr>
                <w:b/>
              </w:rPr>
              <w:t>Training v2</w:t>
            </w:r>
          </w:p>
        </w:tc>
        <w:tc>
          <w:tcPr>
            <w:tcW w:type="dxa" w:w="3216"/>
          </w:tcPr>
          <w:p>
            <w:r>
              <w:rPr>
                <w:b/>
              </w:rPr>
              <w:t>Gap</w:t>
            </w:r>
          </w:p>
        </w:tc>
      </w:tr>
      <w:tr>
        <w:tc>
          <w:tcPr>
            <w:tcW w:type="dxa" w:w="3216"/>
          </w:tcPr>
          <w:p>
            <w:r>
              <w:t xml:space="preserve">5/95 vs 12/74; events = progression, death, TE; </w:t>
            </w:r>
            <w:r>
              <w:rPr>
                <w:b/>
              </w:rPr>
              <w:t>p=0.04</w:t>
            </w:r>
            <w:r>
              <w:t xml:space="preserve"> ; KM to ~90 months</w:t>
            </w:r>
          </w:p>
        </w:tc>
        <w:tc>
          <w:tcPr>
            <w:tcW w:type="dxa" w:w="3216"/>
          </w:tcPr>
          <w:p>
            <w:r>
              <w:t xml:space="preserve">Same 5/95 vs 12/74, p=0.04, plus </w:t>
            </w:r>
            <w:r>
              <w:rPr>
                <w:b/>
              </w:rPr>
              <w:t>0.94 vs 0.82</w:t>
            </w:r>
            <w:r>
              <w:t xml:space="preserve"> , HR 0.34, event mix, </w:t>
            </w:r>
            <w:r>
              <w:rPr>
                <w:b/>
              </w:rPr>
              <w:t>EFS ≠ OS</w:t>
            </w:r>
          </w:p>
        </w:tc>
        <w:tc>
          <w:tcPr>
            <w:tcW w:type="dxa" w:w="3216"/>
          </w:tcPr>
          <w:p>
            <w:r>
              <w:rPr>
                <w:b/>
              </w:rPr>
              <w:t>Aligned.</w:t>
            </w:r>
            <w:r>
              <w:t xml:space="preserve"> Training is stricter (no “prevents leukemia / death”). Use training completeness when they over-read the KM</w:t>
            </w:r>
          </w:p>
        </w:tc>
      </w:tr>
    </w:tbl>
    <w:p>
      <w:r/>
    </w:p>
    <w:p>
      <w:r/>
      <w:r>
        <w:rPr>
          <w:b/>
        </w:rPr>
        <w:t>Do not</w:t>
      </w:r>
      <w:r>
        <w:t xml:space="preserve"> mix the brochure’s </w:t>
      </w:r>
      <w:r>
        <w:rPr>
          <w:b/>
        </w:rPr>
        <w:t>4/127 major TE at 36 months</w:t>
      </w:r>
      <w:r>
        <w:t xml:space="preserve"> with </w:t>
      </w:r>
      <w:r>
        <w:rPr>
          <w:b/>
        </w:rPr>
        <w:t>5/95 EFS events</w:t>
      </w:r>
      <w:r>
        <w:t>. Different denominator, time, and composite.</w:t>
      </w:r>
      <w:r/>
    </w:p>
    <w:p>
      <w:pPr>
        <w:pStyle w:val="Heading3"/>
      </w:pPr>
      <w:r>
        <w:t>4. Safety — 36-month all-causality table (brochure page 9)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Brochure</w:t>
            </w:r>
          </w:p>
        </w:tc>
        <w:tc>
          <w:tcPr>
            <w:tcW w:type="dxa" w:w="3216"/>
          </w:tcPr>
          <w:p>
            <w:r>
              <w:rPr>
                <w:b/>
              </w:rPr>
              <w:t>Training v2</w:t>
            </w:r>
          </w:p>
        </w:tc>
        <w:tc>
          <w:tcPr>
            <w:tcW w:type="dxa" w:w="3216"/>
          </w:tcPr>
          <w:p>
            <w:r>
              <w:rPr>
                <w:b/>
              </w:rPr>
              <w:t>Why it felt different</w:t>
            </w:r>
          </w:p>
        </w:tc>
      </w:tr>
      <w:tr>
        <w:tc>
          <w:tcPr>
            <w:tcW w:type="dxa" w:w="3216"/>
          </w:tcPr>
          <w:p>
            <w:r>
              <w:t xml:space="preserve">Preferred-term table, </w:t>
            </w:r>
            <w:r>
              <w:rPr>
                <w:b/>
              </w:rPr>
              <w:t>regardless of causality</w:t>
            </w:r>
            <w:r>
              <w:t xml:space="preserve"> , n=127/127, 36 months</w:t>
            </w:r>
          </w:p>
        </w:tc>
        <w:tc>
          <w:tcPr>
            <w:tcW w:type="dxa" w:w="3216"/>
          </w:tcPr>
          <w:p>
            <w:r>
              <w:t xml:space="preserve">Kiladjian </w:t>
            </w:r>
            <w:r>
              <w:rPr>
                <w:b/>
              </w:rPr>
              <w:t>treatment-related</w:t>
            </w:r>
            <w:r>
              <w:t xml:space="preserve"> grade ≥3 ~16% both arms; drug-related D/C ~11% vs 2–3%; Edahiro alopecia </w:t>
            </w:r>
            <w:r>
              <w:rPr>
                <w:b/>
              </w:rPr>
              <w:t>55.2%</w:t>
            </w:r>
          </w:p>
        </w:tc>
        <w:tc>
          <w:tcPr>
            <w:tcW w:type="dxa" w:w="3216"/>
          </w:tcPr>
          <w:p>
            <w:r>
              <w:t>Three different safety cuts. None is “wrong.” Mixing them in one sentence is wrong</w:t>
            </w:r>
          </w:p>
        </w:tc>
      </w:tr>
    </w:tbl>
    <w:p>
      <w:r/>
    </w:p>
    <w:p>
      <w:r/>
      <w:r>
        <w:rPr>
          <w:b/>
        </w:rPr>
        <w:t>When this table is open, say:</w:t>
      </w:r>
      <w:r/>
      <w:r/>
    </w:p>
    <w:p>
      <w:pPr>
        <w:pStyle w:val="ListBullet"/>
        <w:spacing w:line="240" w:lineRule="auto"/>
        <w:ind w:left="720"/>
      </w:pPr>
      <w:r/>
      <w:r>
        <w:t xml:space="preserve">Cytopenias are </w:t>
      </w:r>
      <w:r>
        <w:rPr>
          <w:b/>
        </w:rPr>
        <w:t>not worse</w:t>
      </w:r>
      <w:r>
        <w:t xml:space="preserve"> than control (thrombocytopenia 21% vs 28%; leukopenia 18% vs 22%; anaemia 13% vs 24%).</w:t>
      </w:r>
      <w:r/>
    </w:p>
    <w:p>
      <w:pPr>
        <w:pStyle w:val="ListBullet"/>
        <w:spacing w:line="240" w:lineRule="auto"/>
        <w:ind w:left="720"/>
      </w:pPr>
      <w:r/>
      <w:r>
        <w:t xml:space="preserve">The IFN signature is </w:t>
      </w:r>
      <w:r>
        <w:rPr>
          <w:b/>
        </w:rPr>
        <w:t>liver enzymes</w:t>
      </w:r>
      <w:r>
        <w:t xml:space="preserve"> (GGT 16% vs 2%, grade ≥3 </w:t>
      </w:r>
      <w:r>
        <w:rPr>
          <w:b/>
        </w:rPr>
        <w:t>8% vs 2%</w:t>
      </w:r>
      <w:r>
        <w:t xml:space="preserve">; ALT 13% vs 2%; AST 10% vs 2%) and </w:t>
      </w:r>
      <w:r>
        <w:rPr>
          <w:b/>
        </w:rPr>
        <w:t>arthralgia</w:t>
      </w:r>
      <w:r>
        <w:t xml:space="preserve"> (12% vs 4%).</w:t>
      </w:r>
      <w:r/>
    </w:p>
    <w:p>
      <w:pPr>
        <w:pStyle w:val="ListBullet"/>
        <w:spacing w:line="240" w:lineRule="auto"/>
        <w:ind w:left="720"/>
      </w:pPr>
      <w:r/>
      <w:r>
        <w:t>Fatigue 13% both arms.</w:t>
      </w:r>
      <w:r/>
    </w:p>
    <w:p>
      <w:pPr>
        <w:pStyle w:val="ListBullet"/>
        <w:spacing w:line="240" w:lineRule="auto"/>
        <w:ind w:left="720"/>
      </w:pPr>
      <w:r/>
      <w:r>
        <w:t xml:space="preserve">This table is </w:t>
      </w:r>
      <w:r>
        <w:rPr>
          <w:b/>
        </w:rPr>
        <w:t>all-causality</w:t>
      </w:r>
      <w:r>
        <w:t xml:space="preserve">. Drug-related discontinuation (~11% vs ~2–3%) is a </w:t>
      </w:r>
      <w:r>
        <w:rPr>
          <w:b/>
        </w:rPr>
        <w:t>different</w:t>
      </w:r>
      <w:r>
        <w:t xml:space="preserve"> number from a different cut — use it when asked “will they stay on drug?”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Do not</w:t>
      </w:r>
      <w:r>
        <w:t xml:space="preserve"> put Edahiro </w:t>
      </w:r>
      <w:r>
        <w:rPr>
          <w:b/>
        </w:rPr>
        <w:t>alopecia 55.2%</w:t>
      </w:r>
      <w:r>
        <w:t xml:space="preserve"> (Japan Ph2, n=29) on this table. HK PI / this brochure’s PI list alopecia around </w:t>
      </w:r>
      <w:r>
        <w:rPr>
          <w:b/>
        </w:rPr>
        <w:t>6–7%</w:t>
      </w:r>
      <w:r>
        <w:t>. Different study, different start/culture reporting.</w:t>
      </w:r>
      <w:r/>
      <w:r/>
    </w:p>
    <w:p>
      <w:pPr>
        <w:pStyle w:val="Heading3"/>
      </w:pPr>
      <w:r>
        <w:t>5. Prescribing information page (OTHER INFO)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Brochure PI page</w:t>
            </w:r>
          </w:p>
        </w:tc>
        <w:tc>
          <w:tcPr>
            <w:tcW w:type="dxa" w:w="3216"/>
          </w:tcPr>
          <w:p>
            <w:r>
              <w:rPr>
                <w:b/>
              </w:rPr>
              <w:t>Training v2 product box</w:t>
            </w:r>
          </w:p>
        </w:tc>
        <w:tc>
          <w:tcPr>
            <w:tcW w:type="dxa" w:w="3216"/>
          </w:tcPr>
          <w:p>
            <w:r>
              <w:rPr>
                <w:b/>
              </w:rPr>
              <w:t>Add when walking this page</w:t>
            </w:r>
          </w:p>
        </w:tc>
      </w:tr>
      <w:tr>
        <w:tc>
          <w:tcPr>
            <w:tcW w:type="dxa" w:w="3216"/>
          </w:tcPr>
          <w:p>
            <w:r>
              <w:t>Indication, 100/50 µg, +50 q2w, max 500, q4w after ≥1.5 y</w:t>
            </w:r>
          </w:p>
        </w:tc>
        <w:tc>
          <w:tcPr>
            <w:tcW w:type="dxa" w:w="3216"/>
          </w:tcPr>
          <w:p>
            <w:r>
              <w:rPr>
                <w:b/>
              </w:rPr>
              <w:t>Match</w:t>
            </w:r>
          </w:p>
        </w:tc>
        <w:tc>
          <w:tcPr>
            <w:tcW w:type="dxa" w:w="3216"/>
          </w:tcPr>
          <w:p>
            <w:r>
              <w:t>Keep</w:t>
            </w:r>
          </w:p>
        </w:tc>
      </w:tr>
      <w:tr>
        <w:tc>
          <w:tcPr>
            <w:tcW w:type="dxa" w:w="3216"/>
          </w:tcPr>
          <w:p>
            <w:r>
              <w:t>Thyroid disease unless controlled</w:t>
            </w:r>
          </w:p>
        </w:tc>
        <w:tc>
          <w:tcPr>
            <w:tcW w:type="dxa" w:w="3216"/>
          </w:tcPr>
          <w:p>
            <w:r>
              <w:t>Not in the abbreviated CI list</w:t>
            </w:r>
          </w:p>
        </w:tc>
        <w:tc>
          <w:tcPr>
            <w:tcW w:type="dxa" w:w="3216"/>
          </w:tcPr>
          <w:p>
            <w:r>
              <w:rPr>
                <w:b/>
              </w:rPr>
              <w:t>Say it</w:t>
            </w:r>
            <w:r>
              <w:t xml:space="preserve"> — it is on the leave-behind</w:t>
            </w:r>
          </w:p>
        </w:tc>
      </w:tr>
      <w:tr>
        <w:tc>
          <w:tcPr>
            <w:tcW w:type="dxa" w:w="3216"/>
          </w:tcPr>
          <w:p>
            <w:r>
              <w:t xml:space="preserve">Severe renal impairment GFR 15–29: start </w:t>
            </w:r>
            <w:r>
              <w:rPr>
                <w:b/>
              </w:rPr>
              <w:t>50 µg</w:t>
            </w:r>
            <w:r>
              <w:t xml:space="preserve"> ; ESRD GFR &lt;15 contraindicated</w:t>
            </w:r>
          </w:p>
        </w:tc>
        <w:tc>
          <w:tcPr>
            <w:tcW w:type="dxa" w:w="3216"/>
          </w:tcPr>
          <w:p>
            <w:r>
              <w:t>Only ESRD CI</w:t>
            </w:r>
          </w:p>
        </w:tc>
        <w:tc>
          <w:tcPr>
            <w:tcW w:type="dxa" w:w="3216"/>
          </w:tcPr>
          <w:p>
            <w:r>
              <w:rPr>
                <w:b/>
              </w:rPr>
              <w:t>Say the 50 µg start</w:t>
            </w:r>
          </w:p>
        </w:tc>
      </w:tr>
      <w:tr>
        <w:tc>
          <w:tcPr>
            <w:tcW w:type="dxa" w:w="3216"/>
          </w:tcPr>
          <w:p>
            <w:r>
              <w:t>Child-Pugh A: no adjustment; B/C contraindicated</w:t>
            </w:r>
          </w:p>
        </w:tc>
        <w:tc>
          <w:tcPr>
            <w:tcW w:type="dxa" w:w="3216"/>
          </w:tcPr>
          <w:p>
            <w:r>
              <w:t>Only B/C</w:t>
            </w:r>
          </w:p>
        </w:tc>
        <w:tc>
          <w:tcPr>
            <w:tcW w:type="dxa" w:w="3216"/>
          </w:tcPr>
          <w:p>
            <w:r>
              <w:t>Fine; add A if asked</w:t>
            </w:r>
          </w:p>
        </w:tc>
      </w:tr>
      <w:tr>
        <w:tc>
          <w:tcPr>
            <w:tcW w:type="dxa" w:w="3216"/>
          </w:tcPr>
          <w:p>
            <w:r>
              <w:t>Elderly: no adjustment; paediatric: not established</w:t>
            </w:r>
          </w:p>
        </w:tc>
        <w:tc>
          <w:tcPr>
            <w:tcW w:type="dxa" w:w="3216"/>
          </w:tcPr>
          <w:p>
            <w:r>
              <w:t>Missing</w:t>
            </w:r>
          </w:p>
        </w:tc>
        <w:tc>
          <w:tcPr>
            <w:tcW w:type="dxa" w:w="3216"/>
          </w:tcPr>
          <w:p>
            <w:r>
              <w:t>Say if asked</w:t>
            </w:r>
          </w:p>
        </w:tc>
      </w:tr>
      <w:tr>
        <w:tc>
          <w:tcPr>
            <w:tcW w:type="dxa" w:w="3216"/>
          </w:tcPr>
          <w:p>
            <w:r>
              <w:t xml:space="preserve">Benzyl alcohol </w:t>
            </w:r>
            <w:r>
              <w:rPr>
                <w:b/>
              </w:rPr>
              <w:t>and</w:t>
            </w:r>
            <w:r>
              <w:t xml:space="preserve"> polysorbate 80</w:t>
            </w:r>
          </w:p>
        </w:tc>
        <w:tc>
          <w:tcPr>
            <w:tcW w:type="dxa" w:w="3216"/>
          </w:tcPr>
          <w:p>
            <w:r>
              <w:t>Benzyl alcohol only</w:t>
            </w:r>
          </w:p>
        </w:tc>
        <w:tc>
          <w:tcPr>
            <w:tcW w:type="dxa" w:w="3216"/>
          </w:tcPr>
          <w:p>
            <w:r>
              <w:t>Name both if asked</w:t>
            </w:r>
          </w:p>
        </w:tc>
      </w:tr>
      <w:tr>
        <w:tc>
          <w:tcPr>
            <w:tcW w:type="dxa" w:w="3216"/>
          </w:tcPr>
          <w:p>
            <w:r>
              <w:t>Most common AEs with PI % (leukopenia ~19%, platelets ~18.5%, arthralgia 13.5%…)</w:t>
            </w:r>
          </w:p>
        </w:tc>
        <w:tc>
          <w:tcPr>
            <w:tcW w:type="dxa" w:w="3216"/>
          </w:tcPr>
          <w:p>
            <w:r>
              <w:t>Qualitative IFN-class list</w:t>
            </w:r>
          </w:p>
        </w:tc>
        <w:tc>
          <w:tcPr>
            <w:tcW w:type="dxa" w:w="3216"/>
          </w:tcPr>
          <w:p>
            <w:r>
              <w:t xml:space="preserve">Use </w:t>
            </w:r>
            <w:r>
              <w:rPr>
                <w:b/>
              </w:rPr>
              <w:t>this list</w:t>
            </w:r>
            <w:r>
              <w:t xml:space="preserve"> when the PI page is open; do not swap in the 36-month table % as if they were PI frequencies</w:t>
            </w:r>
          </w:p>
        </w:tc>
      </w:tr>
      <w:tr>
        <w:tc>
          <w:tcPr>
            <w:tcW w:type="dxa" w:w="3216"/>
          </w:tcPr>
          <w:p>
            <w:r>
              <w:t>Titration 3.7 vs 2.6 months vs HU</w:t>
            </w:r>
          </w:p>
        </w:tc>
        <w:tc>
          <w:tcPr>
            <w:tcW w:type="dxa" w:w="3216"/>
          </w:tcPr>
          <w:p>
            <w:r>
              <w:rPr>
                <w:b/>
              </w:rPr>
              <w:t>Match</w:t>
            </w:r>
          </w:p>
        </w:tc>
        <w:tc>
          <w:tcPr>
            <w:tcW w:type="dxa" w:w="3216"/>
          </w:tcPr>
          <w:p>
            <w:r>
              <w:t>Keep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Why training was written that way (intent, not an error in the papers)</w:t>
      </w:r>
      <w:r/>
      <w:r/>
    </w:p>
    <w:p>
      <w:pPr>
        <w:pStyle w:val="ListNumber"/>
        <w:spacing w:line="240" w:lineRule="auto"/>
        <w:ind w:left="720"/>
      </w:pPr>
      <w:r/>
      <w:r>
        <w:rPr>
          <w:b/>
        </w:rPr>
        <w:t>HK PI is the binding local claim source.</w:t>
      </w:r>
      <w:r>
        <w:t xml:space="preserve"> The 12-month </w:t>
      </w:r>
      <w:r>
        <w:rPr>
          <w:b/>
        </w:rPr>
        <w:t>43.1%</w:t>
      </w:r>
      <w:r>
        <w:t xml:space="preserve"> and the 72-month </w:t>
      </w:r>
      <w:r>
        <w:rPr>
          <w:b/>
        </w:rPr>
        <w:t>54.5%</w:t>
      </w:r>
      <w:r>
        <w:t xml:space="preserve"> sit in the PI / Gisslinger primary. HKAPI comparative claims need named, significant results — 54.5% vs 34.9% (p=0.02) and EFS p=0.04 qualify; year-1 does not.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Piece B</w:t>
      </w:r>
      <w:r>
        <w:t xml:space="preserve"> already had a ~70–80% CHR visual. Training labelled it LOCF so field would not say “80% respond.” This </w:t>
      </w:r>
      <w:r>
        <w:rPr>
          <w:b/>
        </w:rPr>
        <w:t>new</w:t>
      </w:r>
      <w:r>
        <w:t xml:space="preserve"> brochure goes further: it prints </w:t>
      </w:r>
      <w:r>
        <w:rPr>
          <w:b/>
        </w:rPr>
        <w:t>84.3%</w:t>
      </w:r>
      <w:r>
        <w:t xml:space="preserve"> and a month-12 graph </w:t>
      </w:r>
      <w:r>
        <w:rPr>
          <w:b/>
        </w:rPr>
        <w:t>above</w:t>
      </w:r>
      <w:r>
        <w:t xml:space="preserve"> the PI primary. Without a translation script, field will either (a) contradict the leave-behind or (b) over-claim.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Molecular and the 36-month AE table were not on Piece B</w:t>
      </w:r>
      <w:r>
        <w:t xml:space="preserve">, so v2 parked JAK2 as optional and summarised safety as TRAE/D/C. This brochure makes both </w:t>
      </w:r>
      <w:r>
        <w:rPr>
          <w:b/>
        </w:rPr>
        <w:t>core</w:t>
      </w:r>
      <w:r>
        <w:t xml:space="preserve"> whenever the piece is handed over.</w:t>
      </w:r>
      <w:r/>
      <w:r/>
    </w:p>
    <w:p>
      <w:r/>
      <w:r>
        <w:t xml:space="preserve">That is a </w:t>
      </w:r>
      <w:r>
        <w:rPr>
          <w:b/>
        </w:rPr>
        <w:t>PM/compliance sequencing</w:t>
      </w:r>
      <w:r>
        <w:t xml:space="preserve"> choice, not evidence that Gisslinger and the brochure disagree on whether ropeg beats HU long-term. They agree on direction. They disagree on </w:t>
      </w:r>
      <w:r>
        <w:rPr>
          <w:b/>
        </w:rPr>
        <w:t>which percentage you are allowed to treat as the headline</w:t>
      </w:r>
      <w:r>
        <w:t>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What to do in today’s meeting</w:t>
      </w:r>
      <w:r/>
      <w:r/>
    </w:p>
    <w:p>
      <w:pPr>
        <w:pStyle w:val="ListNumber"/>
        <w:spacing w:line="240" w:lineRule="auto"/>
        <w:ind w:left="720"/>
      </w:pPr>
      <w:r/>
      <w:r>
        <w:t xml:space="preserve">Confirm with Medical: </w:t>
      </w:r>
      <w:r>
        <w:rPr>
          <w:b/>
        </w:rPr>
        <w:t>this brochure is / is not</w:t>
      </w:r>
      <w:r>
        <w:t xml:space="preserve"> the live HCP leave-behind (vs Piece B </w:t>
      </w:r>
      <w:r>
        <w:rPr>
          <w:rFonts w:ascii="Courier" w:hAnsi="Courier"/>
        </w:rPr>
        <w:t>PEC-BES-HK020126</w:t>
      </w:r>
      <w:r>
        <w:t xml:space="preserve"> only).</w:t>
      </w:r>
      <w:r/>
    </w:p>
    <w:p>
      <w:pPr>
        <w:pStyle w:val="ListNumber"/>
        <w:spacing w:line="240" w:lineRule="auto"/>
        <w:ind w:left="720"/>
      </w:pPr>
      <w:r/>
      <w:r>
        <w:t xml:space="preserve">If </w:t>
      </w:r>
      <w:r>
        <w:rPr>
          <w:b/>
        </w:rPr>
        <w:t>yes</w:t>
      </w:r>
      <w:r>
        <w:t xml:space="preserve">: certify the </w:t>
      </w:r>
      <w:r>
        <w:rPr>
          <w:b/>
        </w:rPr>
        <w:t>three-CHR</w:t>
      </w:r>
      <w:r>
        <w:t xml:space="preserve"> talk-track and the JAK2 + page-9 safety pages </w:t>
      </w:r>
      <w:r>
        <w:rPr>
          <w:b/>
        </w:rPr>
        <w:t>before</w:t>
      </w:r>
      <w:r>
        <w:t xml:space="preserve"> any physician sees the PDF.</w:t>
      </w:r>
      <w:r/>
    </w:p>
    <w:p>
      <w:pPr>
        <w:pStyle w:val="ListNumber"/>
        <w:spacing w:line="240" w:lineRule="auto"/>
        <w:ind w:left="720"/>
      </w:pPr>
      <w:r/>
      <w:r>
        <w:t xml:space="preserve">If </w:t>
      </w:r>
      <w:r>
        <w:rPr>
          <w:b/>
        </w:rPr>
        <w:t>no</w:t>
      </w:r>
      <w:r>
        <w:t>: do not leave this brochure; stick to Piece A/B + PI.</w:t>
      </w:r>
      <w:r/>
      <w:r/>
    </w:p>
    <w:p>
      <w:pPr>
        <w:pStyle w:val="Heading2"/>
      </w:pPr>
      <w:r>
        <w:t>Red lines that still hold even when this brochure is open</w:t>
      </w:r>
      <w:r/>
      <w:r/>
    </w:p>
    <w:p>
      <w:pPr>
        <w:pStyle w:val="ListBullet"/>
        <w:spacing w:line="240" w:lineRule="auto"/>
        <w:ind w:left="720"/>
      </w:pPr>
      <w:r/>
      <w:r>
        <w:t>No IFN-to-IFN superiority.</w:t>
      </w:r>
      <w:r/>
    </w:p>
    <w:p>
      <w:pPr>
        <w:pStyle w:val="ListBullet"/>
        <w:spacing w:line="240" w:lineRule="auto"/>
        <w:ind w:left="720"/>
      </w:pPr>
      <w:r/>
      <w:r>
        <w:t>EFS ≠ OS; no “prevents leukemia / death.”</w:t>
      </w:r>
      <w:r/>
    </w:p>
    <w:p>
      <w:pPr>
        <w:pStyle w:val="ListBullet"/>
        <w:spacing w:line="240" w:lineRule="auto"/>
        <w:ind w:left="720"/>
      </w:pPr>
      <w:r/>
      <w:r>
        <w:t xml:space="preserve">84.3% = </w:t>
      </w:r>
      <w:r>
        <w:rPr>
          <w:b/>
        </w:rPr>
        <w:t>ever-response</w:t>
      </w:r>
      <w:r>
        <w:t>, not snapshot and not ITT 12-month.</w:t>
      </w:r>
      <w:r/>
    </w:p>
    <w:p>
      <w:pPr>
        <w:pStyle w:val="ListBullet"/>
        <w:spacing w:line="240" w:lineRule="auto"/>
        <w:ind w:left="720"/>
      </w:pPr>
      <w:r/>
      <w:r>
        <w:t>Graph month 12 ≠ PI 43.1%.</w:t>
      </w:r>
      <w:r/>
    </w:p>
    <w:p>
      <w:pPr>
        <w:pStyle w:val="ListBullet"/>
        <w:spacing w:line="240" w:lineRule="auto"/>
        <w:ind w:left="720"/>
      </w:pPr>
      <w:r/>
      <w:r>
        <w:t>HIDAT 250–350–500 is still not the HK start.</w:t>
      </w:r>
      <w:r/>
    </w:p>
    <w:p>
      <w:pPr>
        <w:pStyle w:val="ListBullet"/>
        <w:spacing w:line="240" w:lineRule="auto"/>
        <w:ind w:left="720"/>
      </w:pPr>
      <w:r/>
      <w:r>
        <w:t>Do not mix 4/127 (36-month TE) with 5/95 (EFS).</w:t>
      </w:r>
      <w:r/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PharmaEssentia Asia (Hong Kong) Limited  ·  Mid sensitivity  ·  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E07A2F"/>
        <w:sz w:val="18"/>
      </w:rPr>
      <w:t>DRAFT — INTERNAL  |  Brochure vs training map  |  26 Aug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