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BESREMi physician product training (HK) — v3 (brochure-first)</w:t>
      </w:r>
      <w:r/>
      <w:r/>
    </w:p>
    <w:p>
      <w:r/>
      <w:r>
        <w:rPr>
          <w:b/>
        </w:rPr>
        <w:t>Status:</w:t>
      </w:r>
      <w:r>
        <w:t xml:space="preserve"> DRAFT pending local Medical / Regulatory / Compliance clearance. Not for field use until approved.</w:t>
        <w:br/>
      </w:r>
      <w:r/>
      <w:r>
        <w:rPr>
          <w:b/>
        </w:rPr>
        <w:t>Audience:</w:t>
      </w:r>
      <w:r>
        <w:t xml:space="preserve"> Internal field, MSL, and PM certification to detail Hong Kong hematologists.</w:t>
        <w:br/>
      </w:r>
      <w:r/>
      <w:r>
        <w:rPr>
          <w:b/>
        </w:rPr>
        <w:t>Sensitivity:</w:t>
      </w:r>
      <w:r>
        <w:t xml:space="preserve"> Mid — approved-piece localization + published evidence + HK PI. No patient-level data.</w:t>
        <w:br/>
      </w:r>
      <w:r/>
      <w:r>
        <w:rPr>
          <w:b/>
        </w:rPr>
        <w:t>Revision date:</w:t>
      </w:r>
      <w:r>
        <w:t xml:space="preserve"> 2026-08-26 (v3 — brochure-first)</w:t>
        <w:br/>
      </w:r>
      <w:r/>
      <w:r>
        <w:rPr>
          <w:b/>
        </w:rPr>
        <w:t>Meeting today:</w:t>
      </w:r>
      <w:r>
        <w:t xml:space="preserve"> (1) Internal cert — </w:t>
      </w:r>
      <w:hyperlink r:id="rId11">
        <w:r>
          <w:rPr>
            <w:color w:val="0000EE"/>
            <w:u w:val="single"/>
          </w:rPr>
          <w:t>physician-product-training-meeting-brief.md</w:t>
        </w:r>
      </w:hyperlink>
      <w:r>
        <w:t xml:space="preserve">. (2) </w:t>
      </w:r>
      <w:r>
        <w:rPr>
          <w:b/>
        </w:rPr>
        <w:t>Prof. Liang 1:1</w:t>
      </w:r>
      <w:r>
        <w:t xml:space="preserve"> — </w:t>
      </w:r>
      <w:hyperlink r:id="rId12">
        <w:r>
          <w:rPr>
            <w:color w:val="0000EE"/>
            <w:u w:val="single"/>
          </w:rPr>
          <w:t>hcp-meeting-script-liang-20260826.md</w:t>
        </w:r>
      </w:hyperlink>
      <w:r>
        <w:t>.</w:t>
        <w:br/>
      </w:r>
      <w:r/>
      <w:r>
        <w:rPr>
          <w:b/>
        </w:rPr>
        <w:t>What changed in v3:</w:t>
      </w:r>
      <w:r>
        <w:t xml:space="preserve"> Training spine is the </w:t>
      </w:r>
      <w:r>
        <w:rPr>
          <w:b/>
        </w:rPr>
        <w:t>physician brochure</w:t>
      </w:r>
      <w:r>
        <w:t xml:space="preserve"> (CHR graph → 84.3% ever-CHR → JAK2 8% vs 44% → EFS KM → 36-month AE table → PI). PI 43.1% / 54.5% are </w:t>
      </w:r>
      <w:r>
        <w:rPr>
          <w:b/>
        </w:rPr>
        <w:t>said out loud as the translation</w:t>
      </w:r>
      <w:r>
        <w:t>, not as a competing headline.</w:t>
      </w:r>
      <w:r/>
      <w:r/>
    </w:p>
    <w:p>
      <w:pPr>
        <w:pStyle w:val="Heading2"/>
      </w:pPr>
      <w:r>
        <w:t>Source pieces incorporated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Piece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Code / title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Role in this module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 — Disease education</w:t>
            </w:r>
          </w:p>
        </w:tc>
        <w:tc>
          <w:tcPr>
            <w:tcW w:type="dxa" w:w="3216"/>
          </w:tcPr>
          <w:p>
            <w:r>
              <w:t>PharmaEssentia MPN / PV clinical reference (classification, JAK2, WHO 2016, risk, treatment goals)</w:t>
            </w:r>
          </w:p>
        </w:tc>
        <w:tc>
          <w:tcPr>
            <w:tcW w:type="dxa" w:w="3216"/>
          </w:tcPr>
          <w:p>
            <w:r>
              <w:t>Opens the call: diagnose and stage PV before product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B — Treatment &amp; evidence</w:t>
            </w:r>
          </w:p>
        </w:tc>
        <w:tc>
          <w:tcPr>
            <w:tcW w:type="dxa" w:w="3216"/>
          </w:tcPr>
          <w:p>
            <w:r>
              <w:rPr>
                <w:i/>
              </w:rPr>
              <w:t>Rediscovering Polycythemia Vera</w:t>
            </w:r>
            <w:r>
              <w:t xml:space="preserve"> · </w:t>
            </w:r>
            <w:r>
              <w:rPr>
                <w:rFonts w:ascii="Courier" w:hAnsi="Courier"/>
              </w:rPr>
              <w:t>PEC-BES-HK020126</w:t>
            </w:r>
            <w:r>
              <w:t xml:space="preserve"> · PharmaEssentia Asia (Hong Kong) Limited</w:t>
            </w:r>
          </w:p>
        </w:tc>
        <w:tc>
          <w:tcPr>
            <w:tcW w:type="dxa" w:w="3216"/>
          </w:tcPr>
          <w:p>
            <w:r>
              <w:t>NCCN pathway, hydroxyurea (HU) long-term risk, BESREMi CHR and event-free survival (EFS)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C — Local label</w:t>
            </w:r>
          </w:p>
        </w:tc>
        <w:tc>
          <w:tcPr>
            <w:tcW w:type="dxa" w:w="3216"/>
          </w:tcPr>
          <w:p>
            <w:r>
              <w:t xml:space="preserve">HK PI ( </w:t>
            </w:r>
            <w:r>
              <w:rPr>
                <w:rFonts w:ascii="Courier" w:hAnsi="Courier"/>
              </w:rPr>
              <w:t>besremi-hk-pi-summary.md</w:t>
            </w:r>
            <w:r>
              <w:t xml:space="preserve"> )</w:t>
            </w:r>
          </w:p>
        </w:tc>
        <w:tc>
          <w:tcPr>
            <w:tcW w:type="dxa" w:w="3216"/>
          </w:tcPr>
          <w:p>
            <w:r>
              <w:t>Binding on-label boundary for every proactive claim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D — Evidence vault</w:t>
            </w:r>
          </w:p>
        </w:tc>
        <w:tc>
          <w:tcPr>
            <w:tcW w:type="dxa" w:w="3216"/>
          </w:tcPr>
          <w:p>
            <w:r>
              <w:rPr>
                <w:rFonts w:ascii="Courier" w:hAnsi="Courier"/>
              </w:rPr>
              <w:t>pv-clinical-evidence.md</w:t>
            </w:r>
            <w:r>
              <w:t xml:space="preserve"> · Gisslinger et al., </w:t>
            </w:r>
            <w:r>
              <w:rPr>
                <w:i/>
              </w:rPr>
              <w:t>Leukemia</w:t>
            </w:r>
            <w:r>
              <w:t xml:space="preserve"> 2023</w:t>
            </w:r>
          </w:p>
        </w:tc>
        <w:tc>
          <w:tcPr>
            <w:tcW w:type="dxa" w:w="3216"/>
          </w:tcPr>
          <w:p>
            <w:r>
              <w:t>Named RCT numbers for comparative claims vs HU / BAT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E — Physician brochure (this leave-behind)</w:t>
            </w:r>
          </w:p>
        </w:tc>
        <w:tc>
          <w:tcPr>
            <w:tcW w:type="dxa" w:w="3216"/>
          </w:tcPr>
          <w:p>
            <w:r>
              <w:t>EFFICACY / SAFETY / OTHER INFO tabbed piece (CHR 5-year graph, JAK2 VAF, EFS KM, 36-month AE table, PI)</w:t>
            </w:r>
          </w:p>
        </w:tc>
        <w:tc>
          <w:tcPr>
            <w:tcW w:type="dxa" w:w="3216"/>
          </w:tcPr>
          <w:p>
            <w:r>
              <w:t xml:space="preserve">HCP handout — training is the </w:t>
            </w:r>
            <w:r>
              <w:rPr>
                <w:b/>
              </w:rPr>
              <w:t>translation layer</w:t>
            </w:r>
            <w:r>
              <w:t xml:space="preserve"> ; see brochure map</w:t>
            </w:r>
          </w:p>
        </w:tc>
      </w:tr>
    </w:tbl>
    <w:p>
      <w:r/>
    </w:p>
    <w:p>
      <w:r/>
      <w:r>
        <w:rPr>
          <w:b/>
        </w:rPr>
        <w:t>Deliverables in this revision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Asset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824"/>
          </w:tcPr>
          <w:p>
            <w:r>
              <w:t>Facilitator / talk-track</w:t>
            </w:r>
          </w:p>
        </w:tc>
        <w:tc>
          <w:tcPr>
            <w:tcW w:type="dxa" w:w="4824"/>
          </w:tcPr>
          <w:p>
            <w:hyperlink r:id="rId13">
              <w:r>
                <w:rPr>
                  <w:color w:val="0000EE"/>
                  <w:u w:val="single"/>
                </w:rPr>
                <w:t>physician-product-training.md</w:t>
              </w:r>
            </w:hyperlink>
            <w:r>
              <w:t xml:space="preserve"> (this file) · Word: </w:t>
            </w:r>
            <w:hyperlink r:id="rId14">
              <w:r>
                <w:rPr>
                  <w:color w:val="0000EE"/>
                  <w:u w:val="single"/>
                </w:rPr>
                <w:t>physician-product-training.docx</w:t>
              </w:r>
            </w:hyperlink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Today’s 1-pager</w:t>
            </w:r>
          </w:p>
        </w:tc>
        <w:tc>
          <w:tcPr>
            <w:tcW w:type="dxa" w:w="4824"/>
          </w:tcPr>
          <w:p>
            <w:hyperlink r:id="rId11">
              <w:r>
                <w:rPr>
                  <w:color w:val="0000EE"/>
                  <w:u w:val="single"/>
                </w:rPr>
                <w:t>physician-product-training-meeting-brief.md</w:t>
              </w:r>
            </w:hyperlink>
          </w:p>
        </w:tc>
      </w:tr>
      <w:tr>
        <w:tc>
          <w:tcPr>
            <w:tcW w:type="dxa" w:w="4824"/>
          </w:tcPr>
          <w:p>
            <w:r>
              <w:t>Compliance pre-flight</w:t>
            </w:r>
          </w:p>
        </w:tc>
        <w:tc>
          <w:tcPr>
            <w:tcW w:type="dxa" w:w="4824"/>
          </w:tcPr>
          <w:p>
            <w:hyperlink r:id="rId15">
              <w:r>
                <w:rPr>
                  <w:color w:val="0000EE"/>
                  <w:u w:val="single"/>
                </w:rPr>
                <w:t>physician-product-training-compliance.md</w:t>
              </w:r>
            </w:hyperlink>
          </w:p>
        </w:tc>
      </w:tr>
      <w:tr>
        <w:tc>
          <w:tcPr>
            <w:tcW w:type="dxa" w:w="4824"/>
          </w:tcPr>
          <w:p>
            <w:r>
              <w:t>HTML slide deck (keyboard ← →)</w:t>
            </w:r>
          </w:p>
        </w:tc>
        <w:tc>
          <w:tcPr>
            <w:tcW w:type="dxa" w:w="4824"/>
          </w:tcPr>
          <w:p>
            <w:hyperlink r:id="rId16">
              <w:r>
                <w:rPr>
                  <w:color w:val="0000EE"/>
                  <w:u w:val="single"/>
                </w:rPr>
                <w:t>physician-product-training-slides.html</w:t>
              </w:r>
            </w:hyperlink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Brochure vs training map</w:t>
            </w:r>
          </w:p>
        </w:tc>
        <w:tc>
          <w:tcPr>
            <w:tcW w:type="dxa" w:w="4824"/>
          </w:tcPr>
          <w:p>
            <w:hyperlink r:id="rId17">
              <w:r>
                <w:rPr>
                  <w:color w:val="0000EE"/>
                  <w:u w:val="single"/>
                </w:rPr>
                <w:t>physician-product-training-brochure-map.md</w:t>
              </w:r>
            </w:hyperlink>
            <w:r>
              <w:t xml:space="preserve"> — why 84.3% / the 5-year graph / JAK2 8% vs 44% are not the same as PI 43.1% and 54.5%</w:t>
            </w:r>
          </w:p>
        </w:tc>
      </w:tr>
      <w:tr>
        <w:tc>
          <w:tcPr>
            <w:tcW w:type="dxa" w:w="4824"/>
          </w:tcPr>
          <w:p>
            <w:r>
              <w:t>Library gaps (why v2 exists)</w:t>
            </w:r>
          </w:p>
        </w:tc>
        <w:tc>
          <w:tcPr>
            <w:tcW w:type="dxa" w:w="4824"/>
          </w:tcPr>
          <w:p>
            <w:hyperlink r:id="rId18">
              <w:r>
                <w:rPr>
                  <w:color w:val="0000EE"/>
                  <w:u w:val="single"/>
                </w:rPr>
                <w:t>physician-product-training-gaps.md</w:t>
              </w:r>
            </w:hyperlink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Prof. Liang 1:1 script (26 Aug)</w:t>
            </w:r>
          </w:p>
        </w:tc>
        <w:tc>
          <w:tcPr>
            <w:tcW w:type="dxa" w:w="4824"/>
          </w:tcPr>
          <w:p>
            <w:hyperlink r:id="rId12">
              <w:r>
                <w:rPr>
                  <w:color w:val="0000EE"/>
                  <w:u w:val="single"/>
                </w:rPr>
                <w:t>hcp-meeting-script-liang-20260826.md</w:t>
              </w:r>
            </w:hyperlink>
            <w:r>
              <w:t xml:space="preserve"> · Word: </w:t>
            </w:r>
            <w:hyperlink r:id="rId19">
              <w:r>
                <w:rPr>
                  <w:color w:val="0000EE"/>
                  <w:u w:val="single"/>
                </w:rPr>
                <w:t>hcp-meeting-script-liang-20260826.docx</w:t>
              </w:r>
            </w:hyperlink>
          </w:p>
        </w:tc>
      </w:tr>
    </w:tbl>
    <w:p>
      <w:r/>
    </w:p>
    <w:p>
      <w:r/>
      <w:r>
        <w:rPr>
          <w:b/>
        </w:rPr>
        <w:t>Do not</w:t>
      </w:r>
      <w:r>
        <w:t xml:space="preserve"> treat Piece A/B/E as a substitute for HK PI. NCCN is a </w:t>
      </w:r>
      <w:r>
        <w:rPr>
          <w:b/>
        </w:rPr>
        <w:t>US</w:t>
      </w:r>
      <w:r>
        <w:t xml:space="preserve"> guideline. Hong Kong prescribing follows the local indication, not NCCN category ranking.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Recommendation for how to run the session</w:t>
      </w:r>
      <w:r/>
    </w:p>
    <w:p>
      <w:r/>
      <w:r>
        <w:rPr>
          <w:b/>
        </w:rPr>
        <w:t>Do</w:t>
      </w:r>
      <w:r>
        <w:t xml:space="preserve"> walk the </w:t>
      </w:r>
      <w:r>
        <w:rPr>
          <w:b/>
        </w:rPr>
        <w:t>physician brochure in page order</w:t>
      </w:r>
      <w:r>
        <w:t xml:space="preserve"> with every physician who receives it: CHR graph → 84.3% footnote → JAK2 → EFS → safety table → PI. </w:t>
      </w:r>
      <w:r>
        <w:rPr>
          <w:b/>
        </w:rPr>
        <w:t>Do not</w:t>
      </w:r>
      <w:r>
        <w:t xml:space="preserve"> lecture a senior haematologist on WHO 2016. </w:t>
      </w:r>
      <w:r>
        <w:rPr>
          <w:b/>
        </w:rPr>
        <w:t>Do not</w:t>
      </w:r>
      <w:r>
        <w:t xml:space="preserve"> import HIDAT, Pegasys superiority, ET/MF, pregnancy, or the Novartis early-MF PDF.</w:t>
      </w:r>
      <w:r/>
    </w:p>
    <w:p>
      <w:r/>
      <w:r>
        <w:rPr>
          <w:b/>
        </w:rPr>
        <w:t>HCP 1:1 (including Prof. Liang today):</w:t>
      </w:r>
      <w:r>
        <w:t xml:space="preserve"> use </w:t>
      </w:r>
      <w:hyperlink r:id="rId12">
        <w:r>
          <w:rPr>
            <w:color w:val="0000EE"/>
            <w:u w:val="single"/>
          </w:rPr>
          <w:t>hcp-meeting-script-liang-20260826.md</w:t>
        </w:r>
      </w:hyperlink>
      <w:r>
        <w:t xml:space="preserve"> — consult style, ~25 minutes. Internal 60-minute cert still uses the meeting brief.</w:t>
      </w:r>
      <w:r/>
    </w:p>
    <w:p>
      <w:r/>
      <w:r>
        <w:rPr>
          <w:b/>
        </w:rPr>
        <w:t>Same trials, different analyses — say it on the page.</w:t>
      </w:r>
      <w:r>
        <w:t xml:space="preserve"> Graph month-12 (~62% vs ~75%) is </w:t>
      </w:r>
      <w:r>
        <w:rPr>
          <w:b/>
        </w:rPr>
        <w:t>not</w:t>
      </w:r>
      <w:r>
        <w:t xml:space="preserve"> PI </w:t>
      </w:r>
      <w:r>
        <w:rPr>
          <w:b/>
        </w:rPr>
        <w:t>43.1% vs 46%</w:t>
      </w:r>
      <w:r>
        <w:t xml:space="preserve">. </w:t>
      </w:r>
      <w:r>
        <w:rPr>
          <w:b/>
        </w:rPr>
        <w:t>84.3%</w:t>
      </w:r>
      <w:r>
        <w:t xml:space="preserve"> is </w:t>
      </w:r>
      <w:r>
        <w:rPr>
          <w:b/>
        </w:rPr>
        <w:t>ever-CHR</w:t>
      </w:r>
      <w:r>
        <w:t xml:space="preserve">. Late primary is </w:t>
      </w:r>
      <w:r>
        <w:rPr>
          <w:b/>
        </w:rPr>
        <w:t>54.5% vs 34.9%, p=0.02</w:t>
      </w:r>
      <w:r>
        <w:t>.</w:t>
      </w:r>
      <w:r/>
    </w:p>
    <w:p>
      <w:r/>
      <w:r>
        <w:rPr>
          <w:b/>
        </w:rPr>
        <w:t>Session length:</w:t>
      </w:r>
      <w:r>
        <w:t xml:space="preserve"> Facilitator section times below are for </w:t>
      </w:r>
      <w:r>
        <w:rPr>
          <w:b/>
        </w:rPr>
        <w:t>full certification</w:t>
      </w:r>
      <w:r>
        <w:t xml:space="preserve">. Today compresses to </w:t>
      </w:r>
      <w:r>
        <w:rPr>
          <w:b/>
        </w:rPr>
        <w:t>60 minutes</w:t>
      </w:r>
      <w:r>
        <w:t xml:space="preserve"> — use the meeting brief, not every minute mark in this file. Low-PV is </w:t>
      </w:r>
      <w:r>
        <w:rPr>
          <w:b/>
        </w:rPr>
        <w:t>gated</w:t>
      </w:r>
      <w:r>
        <w:t xml:space="preserve"> — core slide only if Medical says yes in the room.</w:t>
        <w:br/>
      </w:r>
      <w:r/>
      <w:r>
        <w:rPr>
          <w:b/>
        </w:rPr>
        <w:t>HKAPI:</w:t>
      </w:r>
      <w:r>
        <w:t xml:space="preserve"> If an HCP is present, ≥ two-thirds genuine scientific content; hospitality within Code caps; abbreviated PI on every leave-behind.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Module objectives (field must be able to…)</w:t>
      </w:r>
      <w:r/>
      <w:r/>
    </w:p>
    <w:p>
      <w:pPr>
        <w:pStyle w:val="ListNumber"/>
        <w:spacing w:line="240" w:lineRule="auto"/>
        <w:ind w:left="720"/>
      </w:pPr>
      <w:r/>
      <w:r>
        <w:t>Place polycythemia vera (PV) inside myeloproliferative neoplasms (MPNs) without promoting essential thrombocythemia (ET) or primary myelofibrosis (PMF).</w:t>
      </w:r>
      <w:r/>
    </w:p>
    <w:p>
      <w:pPr>
        <w:pStyle w:val="ListNumber"/>
        <w:spacing w:line="240" w:lineRule="auto"/>
        <w:ind w:left="720"/>
      </w:pPr>
      <w:r/>
      <w:r>
        <w:t>Walk a hematologist through WHO 2016 PV criteria, JAK2 biology, risk (age / thrombosis), and treatment goals using Piece A.</w:t>
      </w:r>
      <w:r/>
    </w:p>
    <w:p>
      <w:pPr>
        <w:pStyle w:val="ListNumber"/>
        <w:spacing w:line="240" w:lineRule="auto"/>
        <w:ind w:left="720"/>
      </w:pPr>
      <w:r/>
      <w:r>
        <w:t xml:space="preserve">Place </w:t>
      </w:r>
      <w:r>
        <w:rPr>
          <w:b/>
        </w:rPr>
        <w:t>NCCN (US)</w:t>
      </w:r>
      <w:r>
        <w:t xml:space="preserve"> and </w:t>
      </w:r>
      <w:r>
        <w:rPr>
          <w:b/>
        </w:rPr>
        <w:t>AMWG 2023 (Asia)</w:t>
      </w:r>
      <w:r>
        <w:t xml:space="preserve"> as scientific context, then restate the </w:t>
      </w:r>
      <w:r>
        <w:rPr>
          <w:b/>
        </w:rPr>
        <w:t>HK indication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Walk the </w:t>
      </w:r>
      <w:r>
        <w:rPr>
          <w:b/>
        </w:rPr>
        <w:t>brochure CHR page</w:t>
      </w:r>
      <w:r>
        <w:t xml:space="preserve">: graph (HU ahead at 1 year, crossover by 24 months), </w:t>
      </w:r>
      <w:r>
        <w:rPr>
          <w:b/>
        </w:rPr>
        <w:t>84.3% = ever-CHR</w:t>
      </w:r>
      <w:r>
        <w:t xml:space="preserve">, then PI </w:t>
      </w:r>
      <w:r>
        <w:rPr>
          <w:b/>
        </w:rPr>
        <w:t>43.1% vs 46%</w:t>
      </w:r>
      <w:r>
        <w:t xml:space="preserve"> and </w:t>
      </w:r>
      <w:r>
        <w:rPr>
          <w:b/>
        </w:rPr>
        <w:t>54.5% vs 34.9% at 72 months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Teach JAK2 </w:t>
      </w:r>
      <w:r>
        <w:rPr>
          <w:b/>
        </w:rPr>
        <w:t>37% → 8% vs 38% → 44%</w:t>
      </w:r>
      <w:r>
        <w:t xml:space="preserve"> as core when that page is handed over; no TFR.</w:t>
      </w:r>
      <w:r/>
    </w:p>
    <w:p>
      <w:pPr>
        <w:pStyle w:val="ListNumber"/>
        <w:spacing w:line="240" w:lineRule="auto"/>
        <w:ind w:left="720"/>
      </w:pPr>
      <w:r/>
      <w:r>
        <w:t xml:space="preserve">Counsel the </w:t>
      </w:r>
      <w:r>
        <w:rPr>
          <w:b/>
        </w:rPr>
        <w:t>36-month all-causality table</w:t>
      </w:r>
      <w:r>
        <w:t xml:space="preserve"> (liver enzymes, not worse cytopenias) plus drug-related D/C ~11% vs 2–3%.</w:t>
      </w:r>
      <w:r/>
    </w:p>
    <w:p>
      <w:pPr>
        <w:pStyle w:val="ListNumber"/>
        <w:spacing w:line="240" w:lineRule="auto"/>
        <w:ind w:left="720"/>
      </w:pPr>
      <w:r/>
      <w:r>
        <w:t>Handle Pegasys / HIDAT / “it failed at one year” / “84% respond” without IFN-to-IFN superiority or mixing analyses.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Compliance banner (say this before any HCP delivery)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On-label (HK):</w:t>
      </w:r>
      <w:r>
        <w:t xml:space="preserve"> monotherapy in </w:t>
      </w:r>
      <w:r>
        <w:rPr>
          <w:b/>
        </w:rPr>
        <w:t>adults</w:t>
      </w:r>
      <w:r>
        <w:t xml:space="preserve"> for </w:t>
      </w:r>
      <w:r>
        <w:rPr>
          <w:b/>
        </w:rPr>
        <w:t>polycythaemia vera without symptomatic splenomegaly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ET / MF:</w:t>
      </w:r>
      <w:r>
        <w:t xml:space="preserve"> disease-classification context only. No efficacy, dosing, or access discussion unless the physician asks — then reactive, documented, PI-cited.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No IFN-class superiority.</w:t>
      </w:r>
      <w:r>
        <w:t xml:space="preserve"> PI: potency of this product must not be compared with another pegylated or non-pegylated protein of the same class.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Comparative claims</w:t>
      </w:r>
      <w:r>
        <w:t xml:space="preserve"> vs HU or phlebotomy: named RCT + statistically significant result only (HKAPI §3.5).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NCCN ≠ HA Drug Formulary.</w:t>
      </w:r>
      <w:r>
        <w:t xml:space="preserve"> Do not imply Hospital Authority listing or local guideline adoption.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Every promotional leave-behind:</w:t>
      </w:r>
      <w:r>
        <w:t xml:space="preserve"> abbreviated PI (indication, dosage, contraindications, side effects, approval date).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Talk-track (use this order)</w:t>
      </w:r>
      <w:r/>
    </w:p>
    <w:p>
      <w:pPr>
        <w:pStyle w:val="Heading3"/>
      </w:pPr>
      <w:r>
        <w:t>0. Default HCP 1:1 — walk the brochure (12–20 min)</w:t>
      </w:r>
      <w:r/>
    </w:p>
    <w:p>
      <w:r/>
      <w:r>
        <w:t xml:space="preserve">Skip Piece A diagnosis if the physician is a senior haematologist. Open the leave-behind. Speak </w:t>
      </w:r>
      <w:r>
        <w:rPr>
          <w:b/>
        </w:rPr>
        <w:t>on the page</w:t>
      </w:r>
      <w:r>
        <w:t>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you say (short)</w:t>
            </w:r>
          </w:p>
        </w:tc>
      </w:tr>
      <w:tr>
        <w:tc>
          <w:tcPr>
            <w:tcW w:type="dxa" w:w="4824"/>
          </w:tcPr>
          <w:p>
            <w:r>
              <w:t>Open</w:t>
            </w:r>
          </w:p>
        </w:tc>
        <w:tc>
          <w:tcPr>
            <w:tcW w:type="dxa" w:w="4824"/>
          </w:tcPr>
          <w:p>
            <w:r>
              <w:t xml:space="preserve">Adult PV </w:t>
            </w:r>
            <w:r>
              <w:rPr>
                <w:b/>
              </w:rPr>
              <w:t>without symptomatic splenomegaly</w:t>
            </w:r>
            <w:r>
              <w:t xml:space="preserve"> . Ask how they cytoreduce today.</w:t>
            </w:r>
          </w:p>
        </w:tc>
      </w:tr>
      <w:tr>
        <w:tc>
          <w:tcPr>
            <w:tcW w:type="dxa" w:w="4824"/>
          </w:tcPr>
          <w:p>
            <w:r>
              <w:t>CHR graph</w:t>
            </w:r>
          </w:p>
        </w:tc>
        <w:tc>
          <w:tcPr>
            <w:tcW w:type="dxa" w:w="4824"/>
          </w:tcPr>
          <w:p>
            <w:r>
              <w:t xml:space="preserve">HU ~ </w:t>
            </w:r>
            <w:r>
              <w:rPr>
                <w:b/>
              </w:rPr>
              <w:t>75% vs 62%</w:t>
            </w:r>
            <w:r>
              <w:t xml:space="preserve"> at 12 months; crossover by 24; ~ </w:t>
            </w:r>
            <w:r>
              <w:rPr>
                <w:b/>
              </w:rPr>
              <w:t>73% vs 53%</w:t>
            </w:r>
            <w:r>
              <w:t xml:space="preserve"> at 60. HU is faster (PI 2.6 vs 3.7 months).</w:t>
            </w:r>
          </w:p>
        </w:tc>
      </w:tr>
      <w:tr>
        <w:tc>
          <w:tcPr>
            <w:tcW w:type="dxa" w:w="4824"/>
          </w:tcPr>
          <w:p>
            <w:r>
              <w:t>84.3% (107/127)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Ever-CHR</w:t>
            </w:r>
            <w:r>
              <w:t xml:space="preserve"> by 36 months — criteria met </w:t>
            </w:r>
            <w:r>
              <w:rPr>
                <w:b/>
              </w:rPr>
              <w:t>at any time</w:t>
            </w:r>
            <w:r>
              <w:t xml:space="preserve"> . Not the snapshot.</w:t>
            </w:r>
          </w:p>
        </w:tc>
      </w:tr>
      <w:tr>
        <w:tc>
          <w:tcPr>
            <w:tcW w:type="dxa" w:w="4824"/>
          </w:tcPr>
          <w:p>
            <w:r>
              <w:t>Translation</w:t>
            </w:r>
          </w:p>
        </w:tc>
        <w:tc>
          <w:tcPr>
            <w:tcW w:type="dxa" w:w="4824"/>
          </w:tcPr>
          <w:p>
            <w:r>
              <w:t xml:space="preserve">PI 12-mo </w:t>
            </w:r>
            <w:r>
              <w:rPr>
                <w:b/>
              </w:rPr>
              <w:t>43.1% vs 46.0%, p=0.63</w:t>
            </w:r>
            <w:r>
              <w:t xml:space="preserve"> (discontinued = fail). Late primary </w:t>
            </w:r>
            <w:r>
              <w:rPr>
                <w:b/>
              </w:rPr>
              <w:t>54.5% vs 34.9%, p=0.02</w:t>
            </w:r>
            <w:r>
              <w:t xml:space="preserve"> . LOCF 72.6% vs 47.3% ≈ this graph.</w:t>
            </w:r>
          </w:p>
        </w:tc>
      </w:tr>
      <w:tr>
        <w:tc>
          <w:tcPr>
            <w:tcW w:type="dxa" w:w="4824"/>
          </w:tcPr>
          <w:p>
            <w:r>
              <w:t>3% (4/127) TE</w:t>
            </w:r>
          </w:p>
        </w:tc>
        <w:tc>
          <w:tcPr>
            <w:tcW w:type="dxa" w:w="4824"/>
          </w:tcPr>
          <w:p>
            <w:r>
              <w:t xml:space="preserve">36-month major TE on n=127. </w:t>
            </w:r>
            <w:r>
              <w:rPr>
                <w:b/>
              </w:rPr>
              <w:t>Not</w:t>
            </w:r>
            <w:r>
              <w:t xml:space="preserve"> EFS 5/95.</w:t>
            </w:r>
          </w:p>
        </w:tc>
      </w:tr>
      <w:tr>
        <w:tc>
          <w:tcPr>
            <w:tcW w:type="dxa" w:w="4824"/>
          </w:tcPr>
          <w:p>
            <w:r>
              <w:t>JAK2</w:t>
            </w:r>
          </w:p>
        </w:tc>
        <w:tc>
          <w:tcPr>
            <w:tcW w:type="dxa" w:w="4824"/>
          </w:tcPr>
          <w:p>
            <w:r>
              <w:rPr>
                <w:b/>
              </w:rPr>
              <w:t>37% → 8%</w:t>
            </w:r>
            <w:r>
              <w:t xml:space="preserve"> vs </w:t>
            </w:r>
            <w:r>
              <w:rPr>
                <w:b/>
              </w:rPr>
              <w:t>38% → 44%</w:t>
            </w:r>
            <w:r>
              <w:t xml:space="preserve"> at 60 months. No stopping rule, no TFR.</w:t>
            </w:r>
          </w:p>
        </w:tc>
      </w:tr>
      <w:tr>
        <w:tc>
          <w:tcPr>
            <w:tcW w:type="dxa" w:w="4824"/>
          </w:tcPr>
          <w:p>
            <w:r>
              <w:t>EFS KM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5/95 vs 12/74, p=0.04</w:t>
            </w:r>
            <w:r>
              <w:t xml:space="preserve"> . Progression, death, TE. </w:t>
            </w:r>
            <w:r>
              <w:rPr>
                <w:b/>
              </w:rPr>
              <w:t>EFS ≠ OS.</w:t>
            </w:r>
            <w:r>
              <w:t xml:space="preserve"> No “prevents leukemia.”</w:t>
            </w:r>
          </w:p>
        </w:tc>
      </w:tr>
      <w:tr>
        <w:tc>
          <w:tcPr>
            <w:tcW w:type="dxa" w:w="4824"/>
          </w:tcPr>
          <w:p>
            <w:r>
              <w:t>Safety p.9</w:t>
            </w:r>
          </w:p>
        </w:tc>
        <w:tc>
          <w:tcPr>
            <w:tcW w:type="dxa" w:w="4824"/>
          </w:tcPr>
          <w:p>
            <w:r>
              <w:t xml:space="preserve">Counts not worse vs HU. </w:t>
            </w:r>
            <w:r>
              <w:rPr>
                <w:b/>
              </w:rPr>
              <w:t>GGT 16% vs 2%</w:t>
            </w:r>
            <w:r>
              <w:t xml:space="preserve"> (G≥3 8% vs 2%). D/C ~11% vs 2–3% is a different cut.</w:t>
            </w:r>
          </w:p>
        </w:tc>
      </w:tr>
      <w:tr>
        <w:tc>
          <w:tcPr>
            <w:tcW w:type="dxa" w:w="4824"/>
          </w:tcPr>
          <w:p>
            <w:r>
              <w:t>PI</w:t>
            </w:r>
          </w:p>
        </w:tc>
        <w:tc>
          <w:tcPr>
            <w:tcW w:type="dxa" w:w="4824"/>
          </w:tcPr>
          <w:p>
            <w:r>
              <w:t xml:space="preserve">Start </w:t>
            </w:r>
            <w:r>
              <w:rPr>
                <w:b/>
              </w:rPr>
              <w:t>100/50 µg</w:t>
            </w:r>
            <w:r>
              <w:t xml:space="preserve"> , +50 q2w, max 500, may q4w after 1.5 y. Thyroid CI. </w:t>
            </w:r>
            <w:r>
              <w:rPr>
                <w:b/>
              </w:rPr>
              <w:t>Not HIDAT.</w:t>
            </w:r>
          </w:p>
        </w:tc>
      </w:tr>
      <w:tr>
        <w:tc>
          <w:tcPr>
            <w:tcW w:type="dxa" w:w="4824"/>
          </w:tcPr>
          <w:p>
            <w:r>
              <w:t>Close</w:t>
            </w:r>
          </w:p>
        </w:tc>
        <w:tc>
          <w:tcPr>
            <w:tcW w:type="dxa" w:w="4824"/>
          </w:tcPr>
          <w:p>
            <w:r>
              <w:t>One suitable patient, or the barrier. PSP only if terms confirmed.</w:t>
            </w:r>
          </w:p>
        </w:tc>
      </w:tr>
    </w:tbl>
    <w:p>
      <w:r/>
    </w:p>
    <w:p>
      <w:r/>
      <w:r>
        <w:rPr>
          <w:b/>
        </w:rPr>
        <w:t>Prof. Liang today:</w:t>
      </w:r>
      <w:r>
        <w:t xml:space="preserve"> use the dedicated script — do not run the 60-minute certification deck.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1. Open — why PV still needs rediscovering (2 min)</w:t>
      </w:r>
      <w:r/>
    </w:p>
    <w:p>
      <w:r/>
      <w:r>
        <w:rPr>
          <w:b/>
        </w:rPr>
        <w:t>Say:</w:t>
      </w:r>
      <w:r>
        <w:t xml:space="preserve"> PV is a chronic JAK2-driven MPN. Control of hematocrit is necessary but not sufficient: goals are prevent thrombosis, prevent myelofibrotic transformation, prevent acute leukemia, and improve symptoms.</w:t>
      </w:r>
      <w:r/>
    </w:p>
    <w:p>
      <w:r/>
      <w:r>
        <w:rPr>
          <w:b/>
        </w:rPr>
        <w:t>Show:</w:t>
      </w:r>
      <w:r>
        <w:t xml:space="preserve"> Piece A treatment-goal panel (thrombosis / myelofibrosis / acute leukemia).</w:t>
        <w:br/>
      </w:r>
      <w:r/>
      <w:r>
        <w:rPr>
          <w:b/>
        </w:rPr>
        <w:t>Do not say:</w:t>
      </w:r>
      <w:r>
        <w:t xml:space="preserve"> “BESREMi is proven to prevent leukemia” — EFS includes rare progression events; do not convert a composite into a leukemia-prevention claim.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2. Piece A — MPN classification (5 min)</w:t>
      </w:r>
      <w:r/>
    </w:p>
    <w:p>
      <w:r/>
      <w:r>
        <w:t>PV is overproduction of erythrocytes, sometimes with high leukocytes and platelets, from neoplastic JAK2-driven proliferation.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/>
        </w:tc>
        <w:tc>
          <w:tcPr>
            <w:tcW w:type="dxa" w:w="2412"/>
          </w:tcPr>
          <w:p>
            <w:r>
              <w:rPr>
                <w:b/>
              </w:rPr>
              <w:t>PV</w:t>
            </w:r>
          </w:p>
        </w:tc>
        <w:tc>
          <w:tcPr>
            <w:tcW w:type="dxa" w:w="2412"/>
          </w:tcPr>
          <w:p>
            <w:r>
              <w:rPr>
                <w:b/>
              </w:rPr>
              <w:t>ET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PMF</w:t>
            </w:r>
          </w:p>
        </w:tc>
      </w:tr>
      <w:tr>
        <w:tc>
          <w:tcPr>
            <w:tcW w:type="dxa" w:w="2412"/>
          </w:tcPr>
          <w:p>
            <w:r>
              <w:t>Driver mutations (Piece A)</w:t>
            </w:r>
          </w:p>
        </w:tc>
        <w:tc>
          <w:tcPr>
            <w:tcW w:type="dxa" w:w="2412"/>
          </w:tcPr>
          <w:p>
            <w:r>
              <w:t>97% JAK2 V617F; 1% JAK2 exon 12; 2% unknown / triple-negative</w:t>
            </w:r>
          </w:p>
        </w:tc>
        <w:tc>
          <w:tcPr>
            <w:tcW w:type="dxa" w:w="2412"/>
          </w:tcPr>
          <w:p>
            <w:r>
              <w:t>55% JAK2 V617F; 25% CALR exon 9; 5% MPL exon 10; 15% unknown</w:t>
            </w:r>
          </w:p>
        </w:tc>
        <w:tc>
          <w:tcPr>
            <w:tcW w:type="dxa" w:w="2412"/>
          </w:tcPr>
          <w:p>
            <w:r>
              <w:t>55% JAK2 V617F; 30% CALR; 8% MPL; 7% unknown</w:t>
            </w:r>
          </w:p>
        </w:tc>
      </w:tr>
      <w:tr>
        <w:tc>
          <w:tcPr>
            <w:tcW w:type="dxa" w:w="2412"/>
          </w:tcPr>
          <w:p>
            <w:r>
              <w:t>Most common symptoms</w:t>
            </w:r>
          </w:p>
        </w:tc>
        <w:tc>
          <w:tcPr>
            <w:tcW w:type="dxa" w:w="2412"/>
          </w:tcPr>
          <w:p>
            <w:r>
              <w:t>Fatigue 74%; itching 57%; sleep difficulty 55%</w:t>
            </w:r>
          </w:p>
        </w:tc>
        <w:tc>
          <w:tcPr>
            <w:tcW w:type="dxa" w:w="2412"/>
          </w:tcPr>
          <w:p>
            <w:r>
              <w:t>Fatigue 71%; bruising 52%; numbness/tingling 50%</w:t>
            </w:r>
          </w:p>
        </w:tc>
        <w:tc>
          <w:tcPr>
            <w:tcW w:type="dxa" w:w="2412"/>
          </w:tcPr>
          <w:p>
            <w:r>
              <w:t>Fatigue 81%; abdominal discomfort 58%; night sweats 55%; sleep difficulty 53%</w:t>
            </w:r>
          </w:p>
        </w:tc>
      </w:tr>
      <w:tr>
        <w:tc>
          <w:tcPr>
            <w:tcW w:type="dxa" w:w="2412"/>
          </w:tcPr>
          <w:p>
            <w:r>
              <w:t>Most severe (checked on piece)</w:t>
            </w:r>
          </w:p>
        </w:tc>
        <w:tc>
          <w:tcPr>
            <w:tcW w:type="dxa" w:w="2412"/>
          </w:tcPr>
          <w:p>
            <w:r>
              <w:t>Fatigue, inactivity, sleep difficulty</w:t>
            </w:r>
          </w:p>
        </w:tc>
        <w:tc>
          <w:tcPr>
            <w:tcW w:type="dxa" w:w="2412"/>
          </w:tcPr>
          <w:p>
            <w:r>
              <w:t>Fatigue, inactivity, numbness/tingling, muscle aches</w:t>
            </w:r>
          </w:p>
        </w:tc>
        <w:tc>
          <w:tcPr>
            <w:tcW w:type="dxa" w:w="2412"/>
          </w:tcPr>
          <w:p>
            <w:r>
              <w:t>Fatigue, inactivity, concentrating problems, sleep difficulty</w:t>
            </w:r>
          </w:p>
        </w:tc>
      </w:tr>
    </w:tbl>
    <w:p>
      <w:r/>
    </w:p>
    <w:p>
      <w:r/>
      <w:r>
        <w:rPr>
          <w:b/>
        </w:rPr>
        <w:t>Field rule:</w:t>
      </w:r>
      <w:r>
        <w:t xml:space="preserve"> Spend ~80% of this table on the </w:t>
      </w:r>
      <w:r>
        <w:rPr>
          <w:b/>
        </w:rPr>
        <w:t>PV column</w:t>
      </w:r>
      <w:r>
        <w:t xml:space="preserve">. ET/PMF columns answer “how is this different from the other MPNs?” — they are </w:t>
      </w:r>
      <w:r>
        <w:rPr>
          <w:b/>
        </w:rPr>
        <w:t>not</w:t>
      </w:r>
      <w:r>
        <w:t xml:space="preserve"> a prompt to discuss BESREMi in ET or MF.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3. Piece A — JAK2 pathophysiology (3 min)</w:t>
      </w:r>
      <w:r/>
    </w:p>
    <w:p>
      <w:r/>
      <w:r>
        <w:rPr>
          <w:b/>
        </w:rPr>
        <w:t>Normal:</w:t>
      </w:r>
      <w:r>
        <w:t xml:space="preserve"> erythropoietin (EPO) binds EPO receptor → receptor homodimerization → JAK2 autophosphorylation.</w:t>
        <w:br/>
      </w:r>
      <w:r/>
      <w:r>
        <w:rPr>
          <w:b/>
        </w:rPr>
        <w:t>PV:</w:t>
      </w:r>
      <w:r>
        <w:t xml:space="preserve"> JAK2 mutation → constitutive signaling </w:t>
      </w:r>
      <w:r>
        <w:rPr>
          <w:b/>
        </w:rPr>
        <w:t>without</w:t>
      </w:r>
      <w:r>
        <w:t xml:space="preserve"> EPO.</w:t>
      </w:r>
      <w:r/>
    </w:p>
    <w:p>
      <w:r/>
      <w:r>
        <w:rPr>
          <w:b/>
        </w:rPr>
        <w:t>Bridge:</w:t>
      </w:r>
      <w:r>
        <w:t xml:space="preserve"> This is why hematocrit control plus disease-directed cytoreduction is the clinical conversation — not phlebotomy as a stand-alone long-term plan in patients who meet cytoreduction criteria.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4. Piece A — WHO 2016 diagnostic criteria for PV (4 min)</w:t>
      </w:r>
      <w:r/>
    </w:p>
    <w:p>
      <w:r/>
      <w:r>
        <w:rPr>
          <w:b/>
        </w:rPr>
        <w:t>Major</w:t>
      </w:r>
      <w:r/>
      <w:r/>
    </w:p>
    <w:p>
      <w:pPr>
        <w:pStyle w:val="ListNumber"/>
        <w:spacing w:line="240" w:lineRule="auto"/>
        <w:ind w:left="720"/>
      </w:pPr>
      <w:r/>
      <w:r>
        <w:t xml:space="preserve">Hemoglobin &gt;16.5 g/dL (male) / &gt;16.0 g/dL (female) </w:t>
      </w:r>
      <w:r>
        <w:rPr>
          <w:b/>
        </w:rPr>
        <w:t>or</w:t>
      </w:r>
      <w:r>
        <w:t xml:space="preserve"> hematocrit &gt;49% (male) / &gt;48% (female) </w:t>
      </w:r>
      <w:r>
        <w:rPr>
          <w:b/>
        </w:rPr>
        <w:t>or</w:t>
      </w:r>
      <w:r>
        <w:t xml:space="preserve"> red-cell mass &gt;25% above mean predicted.</w:t>
      </w:r>
      <w:r/>
    </w:p>
    <w:p>
      <w:pPr>
        <w:pStyle w:val="ListNumber"/>
        <w:spacing w:line="240" w:lineRule="auto"/>
        <w:ind w:left="720"/>
      </w:pPr>
      <w:r/>
      <w:r>
        <w:t>Bone-marrow biopsy: prominent erythroid, granulocytic, and megakaryocytic proliferation.</w:t>
      </w:r>
      <w:r/>
    </w:p>
    <w:p>
      <w:pPr>
        <w:pStyle w:val="ListNumber"/>
        <w:spacing w:line="240" w:lineRule="auto"/>
        <w:ind w:left="720"/>
      </w:pPr>
      <w:r/>
      <w:r>
        <w:t>JAK2 V617F or JAK2 exon 12 mutation.</w:t>
      </w:r>
      <w:r/>
      <w:r/>
    </w:p>
    <w:p>
      <w:r/>
      <w:r>
        <w:rPr>
          <w:b/>
        </w:rPr>
        <w:t>Minor:</w:t>
      </w:r>
      <w:r>
        <w:t xml:space="preserve"> subnormal serum EPO.</w:t>
      </w:r>
      <w:r/>
    </w:p>
    <w:p>
      <w:r/>
      <w:r>
        <w:rPr>
          <w:b/>
        </w:rPr>
        <w:t>Diagnosis:</w:t>
      </w:r>
      <w:r>
        <w:t xml:space="preserve"> all 3 major, </w:t>
      </w:r>
      <w:r>
        <w:rPr>
          <w:b/>
        </w:rPr>
        <w:t>or</w:t>
      </w:r>
      <w:r>
        <w:t xml:space="preserve"> first 2 major + the minor criterion.</w:t>
      </w:r>
      <w:r/>
    </w:p>
    <w:p>
      <w:r/>
      <w:r>
        <w:rPr>
          <w:b/>
        </w:rPr>
        <w:t>Local note:</w:t>
      </w:r>
      <w:r>
        <w:t xml:space="preserve"> If a physician uses newer WHO/ICC language, do not argue version numbers. Stay on the diagnostic logic; do not invent updated cut-offs.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5. Piece A — PV risk stratification (2 min)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/>
        </w:tc>
        <w:tc>
          <w:tcPr>
            <w:tcW w:type="dxa" w:w="3216"/>
          </w:tcPr>
          <w:p>
            <w:r>
              <w:rPr>
                <w:b/>
              </w:rPr>
              <w:t xml:space="preserve">History of thrombosis </w:t>
            </w:r>
            <w:r>
              <w:rPr>
                <w:b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b/>
              </w:rPr>
              <w:t xml:space="preserve">History of thrombosis </w:t>
            </w:r>
            <w:r>
              <w:rPr>
                <w:b/>
              </w:rPr>
              <w:t>no</w:t>
            </w:r>
          </w:p>
        </w:tc>
      </w:tr>
      <w:tr>
        <w:tc>
          <w:tcPr>
            <w:tcW w:type="dxa" w:w="3216"/>
          </w:tcPr>
          <w:p>
            <w:r>
              <w:t>Age ≥60</w:t>
            </w:r>
          </w:p>
        </w:tc>
        <w:tc>
          <w:tcPr>
            <w:tcW w:type="dxa" w:w="3216"/>
          </w:tcPr>
          <w:p>
            <w:r>
              <w:rPr>
                <w:b/>
              </w:rPr>
              <w:t>High-risk</w:t>
            </w:r>
          </w:p>
        </w:tc>
        <w:tc>
          <w:tcPr>
            <w:tcW w:type="dxa" w:w="3216"/>
          </w:tcPr>
          <w:p>
            <w:r>
              <w:rPr>
                <w:b/>
              </w:rPr>
              <w:t>High-risk</w:t>
            </w:r>
          </w:p>
        </w:tc>
      </w:tr>
      <w:tr>
        <w:tc>
          <w:tcPr>
            <w:tcW w:type="dxa" w:w="3216"/>
          </w:tcPr>
          <w:p>
            <w:r>
              <w:t>Age &lt;60</w:t>
            </w:r>
          </w:p>
        </w:tc>
        <w:tc>
          <w:tcPr>
            <w:tcW w:type="dxa" w:w="3216"/>
          </w:tcPr>
          <w:p>
            <w:r>
              <w:rPr>
                <w:b/>
              </w:rPr>
              <w:t>High-risk</w:t>
            </w:r>
          </w:p>
        </w:tc>
        <w:tc>
          <w:tcPr>
            <w:tcW w:type="dxa" w:w="3216"/>
          </w:tcPr>
          <w:p>
            <w:r>
              <w:rPr>
                <w:b/>
              </w:rPr>
              <w:t>Low-risk</w:t>
            </w:r>
          </w:p>
        </w:tc>
      </w:tr>
    </w:tbl>
    <w:p>
      <w:r/>
    </w:p>
    <w:p>
      <w:r/>
      <w:r>
        <w:t xml:space="preserve">Only </w:t>
      </w:r>
      <w:r>
        <w:rPr>
          <w:b/>
        </w:rPr>
        <w:t>age &lt;60 and no prior thrombosis</w:t>
      </w:r>
      <w:r>
        <w:t xml:space="preserve"> is low-risk on this piece. Everyone else is high-risk.</w:t>
      </w:r>
      <w:r/>
    </w:p>
    <w:p>
      <w:r/>
      <w:r>
        <w:rPr>
          <w:b/>
        </w:rPr>
        <w:t>Treatment goals (Piece A, say before NCCN):</w:t>
      </w:r>
      <w:r>
        <w:t xml:space="preserve"> ELN 2013: (1) prevent first thrombosis; (2) prevent recurrence; (3) prevent progression to MF/AML; (4) manage systemic symptoms. ELN 2021 adds </w:t>
      </w:r>
      <w:r>
        <w:rPr>
          <w:b/>
        </w:rPr>
        <w:t>avoid iatrogenic toxicity</w:t>
      </w:r>
      <w:r>
        <w:t xml:space="preserve"> and </w:t>
      </w:r>
      <w:r>
        <w:rPr>
          <w:b/>
        </w:rPr>
        <w:t>improve HRQoL</w:t>
      </w:r>
      <w:r>
        <w:t xml:space="preserve">. These are the </w:t>
      </w:r>
      <w:r>
        <w:rPr>
          <w:b/>
        </w:rPr>
        <w:t>disease-management bar</w:t>
      </w:r>
      <w:r>
        <w:t>, not BESREMi-specific claims.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5a. Hong Kong / Asia overlay — AMWG 2023 (4 min)</w:t>
      </w:r>
      <w:r/>
    </w:p>
    <w:p>
      <w:r/>
      <w:r>
        <w:rPr>
          <w:b/>
        </w:rPr>
        <w:t>Why this is in tomorrow’s core deck:</w:t>
      </w:r>
      <w:r>
        <w:t xml:space="preserve"> NCCN is US art. A HK haematologist will ask what </w:t>
      </w:r>
      <w:r>
        <w:rPr>
          <w:b/>
        </w:rPr>
        <w:t>Asia</w:t>
      </w:r>
      <w:r>
        <w:t xml:space="preserve"> says. AMWG 2023 (Gill H, Leung GMK, Lopes D, </w:t>
      </w:r>
      <w:r>
        <w:rPr>
          <w:b/>
        </w:rPr>
        <w:t>Kwong YL</w:t>
      </w:r>
      <w:r>
        <w:t xml:space="preserve">, HKU) in </w:t>
      </w:r>
      <w:r>
        <w:rPr>
          <w:i/>
        </w:rPr>
        <w:t>Curr Hematol Malig Rep</w:t>
      </w:r>
      <w:r>
        <w:t xml:space="preserve"> is the local-expert overlay. It is </w:t>
      </w:r>
      <w:r>
        <w:rPr>
          <w:b/>
        </w:rPr>
        <w:t>not HA</w:t>
      </w:r>
      <w:r>
        <w:t xml:space="preserve">, </w:t>
      </w:r>
      <w:r>
        <w:rPr>
          <w:b/>
        </w:rPr>
        <w:t>not a BESREMi label</w:t>
      </w:r>
      <w:r>
        <w:t xml:space="preserve">, and </w:t>
      </w:r>
      <w:r>
        <w:rPr>
          <w:b/>
        </w:rPr>
        <w:t>does not rank</w:t>
      </w:r>
      <w:r>
        <w:t xml:space="preserve"> peg-IFN-α-2a vs ropeg.</w:t>
      </w:r>
      <w:r/>
    </w:p>
    <w:p>
      <w:r/>
      <w:r>
        <w:rPr>
          <w:b/>
        </w:rPr>
        <w:t>Must-say:</w:t>
      </w:r>
      <w:r/>
      <w:r/>
    </w:p>
    <w:p>
      <w:pPr>
        <w:pStyle w:val="ListBullet"/>
        <w:spacing w:line="240" w:lineRule="auto"/>
        <w:ind w:left="720"/>
      </w:pPr>
      <w:r/>
      <w:r>
        <w:t xml:space="preserve">PV is </w:t>
      </w:r>
      <w:r>
        <w:rPr>
          <w:b/>
        </w:rPr>
        <w:t>not a uniform disease</w:t>
      </w:r>
      <w:r>
        <w:t xml:space="preserve">. </w:t>
      </w:r>
      <w:r>
        <w:rPr>
          <w:b/>
        </w:rPr>
        <w:t>JAK2 V617F allele burden</w:t>
      </w:r>
      <w:r>
        <w:t xml:space="preserve"> and </w:t>
      </w:r>
      <w:r>
        <w:rPr>
          <w:b/>
        </w:rPr>
        <w:t>leukocytosis</w:t>
      </w:r>
      <w:r>
        <w:t xml:space="preserve"> are associated with </w:t>
      </w:r>
      <w:r>
        <w:rPr>
          <w:b/>
        </w:rPr>
        <w:t>thrombosis</w:t>
      </w:r>
      <w:r>
        <w:t xml:space="preserve"> and </w:t>
      </w:r>
      <w:r>
        <w:rPr>
          <w:b/>
        </w:rPr>
        <w:t>transformation</w:t>
      </w:r>
      <w:r>
        <w:t xml:space="preserve"> (AMWG narrative; concordant with ELN 2021).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Phlebotomy-only</w:t>
      </w:r>
      <w:r>
        <w:t xml:space="preserve"> is </w:t>
      </w:r>
      <w:r>
        <w:rPr>
          <w:b/>
        </w:rPr>
        <w:t>not</w:t>
      </w:r>
      <w:r>
        <w:t xml:space="preserve"> recommended as </w:t>
      </w:r>
      <w:r>
        <w:rPr>
          <w:b/>
        </w:rPr>
        <w:t>long-term</w:t>
      </w:r>
      <w:r>
        <w:t xml:space="preserve"> care in </w:t>
      </w:r>
      <w:r>
        <w:rPr>
          <w:b/>
        </w:rPr>
        <w:t>younger</w:t>
      </w:r>
      <w:r>
        <w:t xml:space="preserve"> patients — </w:t>
      </w:r>
      <w:r>
        <w:rPr>
          <w:b/>
        </w:rPr>
        <w:t>cytoreduction</w:t>
      </w:r>
      <w:r>
        <w:t xml:space="preserve"> is </w:t>
      </w:r>
      <w:r>
        <w:rPr>
          <w:b/>
        </w:rPr>
        <w:t>standard of care</w:t>
      </w:r>
      <w:r>
        <w:t xml:space="preserve"> in the </w:t>
      </w:r>
      <w:r>
        <w:rPr>
          <w:b/>
        </w:rPr>
        <w:t>majority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HU at 2 g/day</w:t>
      </w:r>
      <w:r>
        <w:t xml:space="preserve"> as an ELN resistance criterion </w:t>
      </w:r>
      <w:r>
        <w:rPr>
          <w:b/>
        </w:rPr>
        <w:t>may not apply</w:t>
      </w:r>
      <w:r>
        <w:t xml:space="preserve"> in Asia: </w:t>
      </w:r>
      <w:r>
        <w:rPr>
          <w:b/>
        </w:rPr>
        <w:t>dose-limiting cytopenia and toxicities</w:t>
      </w:r>
      <w:r>
        <w:t xml:space="preserve"> often occur </w:t>
      </w:r>
      <w:r>
        <w:rPr>
          <w:b/>
        </w:rPr>
        <w:t>earlier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Pegylated IFN-α-2a or ropeginterferon-α-2b</w:t>
      </w:r>
      <w:r>
        <w:t xml:space="preserve"> are listed as </w:t>
      </w:r>
      <w:r>
        <w:rPr>
          <w:b/>
        </w:rPr>
        <w:t>disease-modifying</w:t>
      </w:r>
      <w:r>
        <w:t xml:space="preserve"> options in </w:t>
      </w:r>
      <w:r>
        <w:rPr>
          <w:b/>
        </w:rPr>
        <w:t>younger</w:t>
      </w:r>
      <w:r>
        <w:t xml:space="preserve"> patients and in </w:t>
      </w:r>
      <w:r>
        <w:rPr>
          <w:b/>
        </w:rPr>
        <w:t>HU-resistant/intolerant</w:t>
      </w:r>
      <w:r>
        <w:t xml:space="preserve"> disease. </w:t>
      </w:r>
      <w:r>
        <w:rPr>
          <w:b/>
        </w:rPr>
        <w:t>No ranking.</w:t>
      </w:r>
      <w:r>
        <w:t xml:space="preserve"> If asked “which IFN?”: </w:t>
      </w:r>
      <w:r>
        <w:rPr>
          <w:b/>
        </w:rPr>
        <w:t>both named; HK PI is BESREMi; Pegasys is not this product.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Do not mix count targets:</w:t>
      </w:r>
      <w:r>
        <w:t xml:space="preserve"> AMWG cites </w:t>
      </w:r>
      <w:r>
        <w:rPr>
          <w:b/>
        </w:rPr>
        <w:t>WBC ≤15 × 10⁹/L</w:t>
      </w:r>
      <w:r>
        <w:t xml:space="preserve"> as a thrombosis-risk threshold in its review; </w:t>
      </w:r>
      <w:r>
        <w:rPr>
          <w:b/>
        </w:rPr>
        <w:t>HK PI CHR</w:t>
      </w:r>
      <w:r>
        <w:t xml:space="preserve"> uses </w:t>
      </w:r>
      <w:r>
        <w:rPr>
          <w:b/>
        </w:rPr>
        <w:t>WBC &lt;10</w:t>
      </w:r>
      <w:r>
        <w:t>. Say which source you are using.</w:t>
      </w:r>
      <w:r/>
      <w:r/>
    </w:p>
    <w:p>
      <w:r/>
      <w:r>
        <w:rPr>
          <w:b/>
        </w:rPr>
        <w:t>Do not say:</w:t>
      </w:r>
      <w:r>
        <w:t xml:space="preserve"> “AMWG prefers BESREMi” or “this is the Hong Kong guideline.”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6. Piece B — NCCN treatment pathways (6 min)</w:t>
      </w:r>
      <w:r/>
    </w:p>
    <w:p>
      <w:r/>
      <w:r>
        <w:rPr>
          <w:b/>
        </w:rPr>
        <w:t>Label the slide verbally:</w:t>
      </w:r>
      <w:r>
        <w:t xml:space="preserve"> “This is </w:t>
      </w:r>
      <w:r>
        <w:rPr>
          <w:b/>
        </w:rPr>
        <w:t>NCCN (US)</w:t>
      </w:r>
      <w:r>
        <w:t xml:space="preserve"> as shown on </w:t>
      </w:r>
      <w:r>
        <w:rPr>
          <w:rFonts w:ascii="Courier" w:hAnsi="Courier"/>
        </w:rPr>
        <w:t>PEC-BES-HK020126</w:t>
      </w:r>
      <w:r>
        <w:t>. It is scientific context. Hong Kong prescribing is the local PI.”</w:t>
      </w:r>
      <w:r/>
    </w:p>
    <w:p>
      <w:pPr>
        <w:pStyle w:val="Heading4"/>
      </w:pPr>
      <w:r>
        <w:t>Low-risk PV (NCCN as on Piece B)</w:t>
      </w:r>
      <w:r/>
    </w:p>
    <w:p>
      <w:r/>
      <w:r>
        <w:rPr>
          <w:b/>
        </w:rPr>
        <w:t>Initial management (all patients):</w:t>
      </w:r>
      <w:r>
        <w:t xml:space="preserve"> manage cardiovascular risk; aspirin 81–100 mg/day; phlebotomy to hematocrit &lt;45%.</w:t>
      </w:r>
      <w:r/>
    </w:p>
    <w:p>
      <w:r/>
      <w:r>
        <w:rPr>
          <w:b/>
        </w:rPr>
        <w:t>Monitor</w:t>
      </w:r>
      <w:r>
        <w:t xml:space="preserve"> for new thrombosis/bleeding and for cytoreduction indications.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If…</w:t>
            </w:r>
          </w:p>
        </w:tc>
        <w:tc>
          <w:tcPr>
            <w:tcW w:type="dxa" w:w="4824"/>
          </w:tcPr>
          <w:p>
            <w:r>
              <w:rPr>
                <w:b/>
              </w:rPr>
              <w:t>Then…</w:t>
            </w:r>
          </w:p>
        </w:tc>
      </w:tr>
      <w:tr>
        <w:tc>
          <w:tcPr>
            <w:tcW w:type="dxa" w:w="4824"/>
          </w:tcPr>
          <w:p>
            <w:r>
              <w:t>Asymptomatic, no cytoreduction indications</w:t>
            </w:r>
          </w:p>
        </w:tc>
        <w:tc>
          <w:tcPr>
            <w:tcW w:type="dxa" w:w="4824"/>
          </w:tcPr>
          <w:p>
            <w:r>
              <w:t>Continue monitoring</w:t>
            </w:r>
          </w:p>
        </w:tc>
      </w:tr>
      <w:tr>
        <w:tc>
          <w:tcPr>
            <w:tcW w:type="dxa" w:w="4824"/>
          </w:tcPr>
          <w:p>
            <w:r>
              <w:t>Symptomatic / indications present</w:t>
            </w:r>
          </w:p>
        </w:tc>
        <w:tc>
          <w:tcPr>
            <w:tcW w:type="dxa" w:w="4824"/>
          </w:tcPr>
          <w:p>
            <w:r>
              <w:t>Initiate cytoreductive therapy</w:t>
            </w:r>
          </w:p>
        </w:tc>
      </w:tr>
    </w:tbl>
    <w:p>
      <w:r/>
    </w:p>
    <w:p>
      <w:r/>
      <w:r>
        <w:rPr>
          <w:b/>
        </w:rPr>
        <w:t>Potential indications for cytoreduction (Piece B):</w:t>
      </w:r>
      <w:r>
        <w:t xml:space="preserve"> new thrombosis or bleeding; frequent or poorly tolerated phlebotomy; progressive thrombocytosis or leukocytosis; splenomegaly; disease-related symptoms (pruritus, night sweats, fatigue).</w:t>
      </w:r>
      <w:r/>
    </w:p>
    <w:p>
      <w:r/>
      <w:r>
        <w:rPr>
          <w:b/>
        </w:rPr>
        <w:t>Initiate cytoreduction (NCCN language on piece):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Preferred:</w:t>
      </w:r>
      <w:r>
        <w:t xml:space="preserve"> clinical trial </w:t>
      </w:r>
      <w:r>
        <w:rPr>
          <w:b/>
        </w:rPr>
        <w:t>or</w:t>
      </w:r>
      <w:r>
        <w:t xml:space="preserve"> ropeginterferon alfa-2b-njft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Other recommended:</w:t>
      </w:r>
      <w:r>
        <w:t xml:space="preserve"> hydroxyurea </w:t>
      </w:r>
      <w:r>
        <w:rPr>
          <w:b/>
        </w:rPr>
        <w:t>or</w:t>
      </w:r>
      <w:r>
        <w:t xml:space="preserve"> peginterferon alfa-2a</w:t>
      </w:r>
      <w:r/>
      <w:r/>
    </w:p>
    <w:p>
      <w:r/>
      <w:r>
        <w:rPr>
          <w:b/>
        </w:rPr>
        <w:t>HK overlay (must say):</w:t>
      </w:r>
      <w:r>
        <w:t xml:space="preserve"> BESREMi is indicated as </w:t>
      </w:r>
      <w:r>
        <w:rPr>
          <w:b/>
        </w:rPr>
        <w:t>monotherapy in adults with PV without symptomatic splenomegaly</w:t>
      </w:r>
      <w:r>
        <w:t xml:space="preserve">. NCCN “preferred” does </w:t>
      </w:r>
      <w:r>
        <w:rPr>
          <w:b/>
        </w:rPr>
        <w:t>not</w:t>
      </w:r>
      <w:r>
        <w:t xml:space="preserve"> equal HA listing and does </w:t>
      </w:r>
      <w:r>
        <w:rPr>
          <w:b/>
        </w:rPr>
        <w:t>not</w:t>
      </w:r>
      <w:r>
        <w:t xml:space="preserve"> authorize off-label use. If the patient has </w:t>
      </w:r>
      <w:r>
        <w:rPr>
          <w:b/>
        </w:rPr>
        <w:t>symptomatic splenomegaly</w:t>
      </w:r>
      <w:r>
        <w:t>, do not proactively position BESREMi.</w:t>
      </w:r>
      <w:r/>
    </w:p>
    <w:p>
      <w:pPr>
        <w:pStyle w:val="Heading4"/>
      </w:pPr>
      <w:r>
        <w:t>High-risk PV (NCCN as on Piece B)</w:t>
      </w:r>
      <w:r/>
    </w:p>
    <w:p>
      <w:r/>
      <w:r>
        <w:t xml:space="preserve">Same backbone (CV risk, aspirin, phlebotomy to Hct &lt;45%) </w:t>
      </w:r>
      <w:r>
        <w:rPr>
          <w:b/>
        </w:rPr>
        <w:t>plus</w:t>
      </w:r>
      <w:r>
        <w:t xml:space="preserve"> cytoreduction: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Preferred:</w:t>
      </w:r>
      <w:r>
        <w:t xml:space="preserve"> hydroxyurea </w:t>
      </w:r>
      <w:r>
        <w:rPr>
          <w:b/>
        </w:rPr>
        <w:t>or</w:t>
      </w:r>
      <w:r>
        <w:t xml:space="preserve"> ropeginterferon alfa-2b-njft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Other recommended:</w:t>
      </w:r>
      <w:r>
        <w:t xml:space="preserve"> peginterferon alfa-2a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Useful in certain circumstances:</w:t>
      </w:r>
      <w:r>
        <w:t xml:space="preserve"> ruxolitinib</w:t>
      </w:r>
      <w:r/>
      <w:r/>
    </w:p>
    <w:p>
      <w:r/>
      <w:r>
        <w:rPr>
          <w:b/>
        </w:rPr>
        <w:t>If inadequate response or loss of response — preferred change (NCCN on piece):</w:t>
      </w:r>
      <w:r/>
      <w:r/>
    </w:p>
    <w:p>
      <w:pPr>
        <w:pStyle w:val="ListNumber"/>
        <w:spacing w:line="240" w:lineRule="auto"/>
        <w:ind w:left="720"/>
      </w:pPr>
      <w:r/>
      <w:r>
        <w:t xml:space="preserve">Clinical trial </w:t>
      </w:r>
      <w:r>
        <w:rPr>
          <w:b/>
        </w:rPr>
        <w:t>or</w:t>
      </w:r>
      <w:r>
        <w:t xml:space="preserve"> ruxolitinib (NCCN category 1 in high-risk PV after HU resistance/intolerance)</w:t>
      </w:r>
      <w:r/>
    </w:p>
    <w:p>
      <w:pPr>
        <w:pStyle w:val="ListNumber"/>
        <w:spacing w:line="240" w:lineRule="auto"/>
        <w:ind w:left="720"/>
      </w:pPr>
      <w:r/>
      <w:r>
        <w:t>Other recommended if not previously used: ropeginterferon alfa-2b-njft, hydroxyurea, or peginterferon alfa-2a</w:t>
      </w:r>
      <w:r/>
      <w:r/>
    </w:p>
    <w:p>
      <w:r/>
      <w:r>
        <w:rPr>
          <w:b/>
        </w:rPr>
        <w:t>HK overlay:</w:t>
      </w:r>
      <w:r>
        <w:t xml:space="preserve"> Ruxolitinib sequencing is a </w:t>
      </w:r>
      <w:r>
        <w:rPr>
          <w:b/>
        </w:rPr>
        <w:t>guideline</w:t>
      </w:r>
      <w:r>
        <w:t xml:space="preserve"> statement, not a BESREMi comparative claim. Do not claim BESREMi is “better than ruxolitinib.” Do not claim BESREMi is indicated after HU failure unless that use is within the HK PI and Medical-cleared lexicon.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7. Piece B — long-term risk under hydroxyurea (4 min)</w:t>
      </w:r>
      <w:r/>
    </w:p>
    <w:p>
      <w:r/>
      <w:r>
        <w:t xml:space="preserve">As shown on </w:t>
      </w:r>
      <w:r>
        <w:rPr>
          <w:rFonts w:ascii="Courier" w:hAnsi="Courier"/>
        </w:rPr>
        <w:t>PEC-BES-HK020126</w:t>
      </w:r>
      <w:r>
        <w:t xml:space="preserve"> (piece cites Spivak, Mehta, Gisslinger and NCCN in the footer — Medical to keep the exact footnote locked to the approved artwork):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Time on HU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Myelofibrotic transformation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Mortality</w:t>
            </w:r>
          </w:p>
        </w:tc>
      </w:tr>
      <w:tr>
        <w:tc>
          <w:tcPr>
            <w:tcW w:type="dxa" w:w="3216"/>
          </w:tcPr>
          <w:p>
            <w:r>
              <w:t>1 year</w:t>
            </w:r>
          </w:p>
        </w:tc>
        <w:tc>
          <w:tcPr>
            <w:tcW w:type="dxa" w:w="3216"/>
          </w:tcPr>
          <w:p>
            <w:r>
              <w:t>0.9%</w:t>
            </w:r>
          </w:p>
        </w:tc>
        <w:tc>
          <w:tcPr>
            <w:tcW w:type="dxa" w:w="3216"/>
          </w:tcPr>
          <w:p>
            <w:r>
              <w:t>2.4%</w:t>
            </w:r>
          </w:p>
        </w:tc>
      </w:tr>
      <w:tr>
        <w:tc>
          <w:tcPr>
            <w:tcW w:type="dxa" w:w="3216"/>
          </w:tcPr>
          <w:p>
            <w:r>
              <w:t>5 years</w:t>
            </w:r>
          </w:p>
        </w:tc>
        <w:tc>
          <w:tcPr>
            <w:tcW w:type="dxa" w:w="3216"/>
          </w:tcPr>
          <w:p>
            <w:r>
              <w:t>5.0%</w:t>
            </w:r>
          </w:p>
        </w:tc>
        <w:tc>
          <w:tcPr>
            <w:tcW w:type="dxa" w:w="3216"/>
          </w:tcPr>
          <w:p>
            <w:r>
              <w:t>12.6%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10 years</w:t>
            </w:r>
          </w:p>
        </w:tc>
        <w:tc>
          <w:tcPr>
            <w:tcW w:type="dxa" w:w="3216"/>
          </w:tcPr>
          <w:p>
            <w:r>
              <w:rPr>
                <w:b/>
              </w:rPr>
              <w:t>33.7%</w:t>
            </w:r>
          </w:p>
        </w:tc>
        <w:tc>
          <w:tcPr>
            <w:tcW w:type="dxa" w:w="3216"/>
          </w:tcPr>
          <w:p>
            <w:r>
              <w:rPr>
                <w:b/>
              </w:rPr>
              <w:t>56.2%</w:t>
            </w:r>
          </w:p>
        </w:tc>
      </w:tr>
    </w:tbl>
    <w:p>
      <w:r/>
    </w:p>
    <w:p>
      <w:r/>
      <w:r>
        <w:rPr>
          <w:b/>
        </w:rPr>
        <w:t>How to say it:</w:t>
      </w:r>
      <w:r>
        <w:t xml:space="preserve"> “PV is not static. In this referenced HU-treated experience, transformation and mortality rise substantially by year 10. That is why treatment goals include more than a one-year hematocrit snapshot.”</w:t>
      </w:r>
      <w:r/>
    </w:p>
    <w:p>
      <w:r/>
      <w:r>
        <w:rPr>
          <w:b/>
        </w:rPr>
        <w:t>How not to say it:</w:t>
      </w:r>
      <w:r>
        <w:t xml:space="preserve"> “HU causes a one-in-three chance of myelofibrosis” or “HU is unsafe.” These are </w:t>
      </w:r>
      <w:r>
        <w:rPr>
          <w:b/>
        </w:rPr>
        <w:t>risk estimates in a cited cohort</w:t>
      </w:r>
      <w:r>
        <w:t>, not a head-to-head BESREMi safety claim. Do not imply BESREMi has been proven to cut 10-year mortality to a specific number.</w:t>
      </w:r>
      <w:r/>
    </w:p>
    <w:p>
      <w:r/>
      <w:r>
        <w:rPr>
          <w:b/>
        </w:rPr>
        <w:t>Facilitator close:</w:t>
      </w:r>
      <w:r>
        <w:t xml:space="preserve"> “The 6-year RCT is the product story. The HU MF/death numbers on the poster are </w:t>
      </w:r>
      <w:r>
        <w:rPr>
          <w:b/>
        </w:rPr>
        <w:t>why the field cares</w:t>
      </w:r>
      <w:r>
        <w:t>. Do not let the room collapse those two datasets into one sentence.”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 xml:space="preserve">7a. Year-1 honesty — teach this </w:t>
      </w:r>
      <w:r>
        <w:rPr>
          <w:i/>
        </w:rPr>
        <w:t>before</w:t>
      </w:r>
      <w:r>
        <w:t xml:space="preserve"> the 6-year win (6 min)</w:t>
      </w:r>
      <w:r/>
    </w:p>
    <w:p>
      <w:r/>
      <w:r>
        <w:t>A haematologist who saw the original PROUD-PV readout will say “it lost to HU at one year.” If you only show month 72, you look like you cherry-picked.</w:t>
      </w:r>
      <w:r/>
    </w:p>
    <w:p>
      <w:r/>
      <w:r>
        <w:rPr>
          <w:b/>
        </w:rPr>
        <w:t>Must-say, in this order: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PROUD-PV, 12 months:</w:t>
      </w:r>
      <w:r>
        <w:t xml:space="preserve"> </w:t>
      </w:r>
      <w:r>
        <w:rPr>
          <w:b/>
        </w:rPr>
        <w:t>non-inferiority of CHR was not met.</w:t>
      </w:r>
      <w:r>
        <w:t xml:space="preserve"> Ropeg </w:t>
      </w:r>
      <w:r>
        <w:rPr>
          <w:b/>
        </w:rPr>
        <w:t>43.1%</w:t>
      </w:r>
      <w:r>
        <w:t xml:space="preserve"> (48/127) vs HU </w:t>
      </w:r>
      <w:r>
        <w:rPr>
          <w:b/>
        </w:rPr>
        <w:t>46.0%</w:t>
      </w:r>
      <w:r>
        <w:t xml:space="preserve"> (62/127); </w:t>
      </w:r>
      <w:r>
        <w:rPr>
          <w:b/>
        </w:rPr>
        <w:t>p = 0.63</w:t>
      </w:r>
      <w:r>
        <w:t xml:space="preserve">. Same numbers appear in the </w:t>
      </w:r>
      <w:r>
        <w:rPr>
          <w:b/>
        </w:rPr>
        <w:t>HK PI Clinical Studies</w:t>
      </w:r>
      <w:r>
        <w:t xml:space="preserve"> section. Kiladjian </w:t>
      </w:r>
      <w:r>
        <w:rPr>
          <w:i/>
        </w:rPr>
        <w:t>Lancet Haematol</w:t>
      </w:r>
      <w:r>
        <w:t xml:space="preserve"> 2020 / follow-on papers: </w:t>
      </w:r>
      <w:r>
        <w:rPr>
          <w:b/>
        </w:rPr>
        <w:t>43% vs 46%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Why it failed the primary:</w:t>
      </w:r>
      <w:r>
        <w:t xml:space="preserve"> HU is a </w:t>
      </w:r>
      <w:r>
        <w:rPr>
          <w:b/>
        </w:rPr>
        <w:t>fast cytoreductor</w:t>
      </w:r>
      <w:r>
        <w:t xml:space="preserve">. Ropeg at the </w:t>
      </w:r>
      <w:r>
        <w:rPr>
          <w:b/>
        </w:rPr>
        <w:t>PI start of 100 µg q2w</w:t>
      </w:r>
      <w:r>
        <w:t xml:space="preserve"> needs </w:t>
      </w:r>
      <w:r>
        <w:rPr>
          <w:b/>
        </w:rPr>
        <w:t>titration time</w:t>
      </w:r>
      <w:r>
        <w:t xml:space="preserve">. Do </w:t>
      </w:r>
      <w:r>
        <w:rPr>
          <w:b/>
        </w:rPr>
        <w:t>not</w:t>
      </w:r>
      <w:r>
        <w:t xml:space="preserve"> invent a “the study was unfair” story in promo; </w:t>
      </w:r>
      <w:r>
        <w:rPr>
          <w:b/>
        </w:rPr>
        <w:t>do</w:t>
      </w:r>
      <w:r>
        <w:t xml:space="preserve"> explain </w:t>
      </w:r>
      <w:r>
        <w:rPr>
          <w:b/>
        </w:rPr>
        <w:t>pharmacology vs HU kinetics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HIDAT is not the HK start.</w:t>
      </w:r>
      <w:r>
        <w:t xml:space="preserve"> Some </w:t>
      </w:r>
      <w:r>
        <w:rPr>
          <w:b/>
        </w:rPr>
        <w:t>ex-HK / later analyses</w:t>
      </w:r>
      <w:r>
        <w:t xml:space="preserve"> used </w:t>
      </w:r>
      <w:r>
        <w:rPr>
          <w:b/>
        </w:rPr>
        <w:t>250–350–500 µg</w:t>
      </w:r>
      <w:r>
        <w:t xml:space="preserve">. </w:t>
      </w:r>
      <w:r>
        <w:rPr>
          <w:b/>
        </w:rPr>
        <w:t>HK PI = 100 µg</w:t>
      </w:r>
      <w:r>
        <w:t xml:space="preserve"> (50 if already on cytoreductive). Teaching HIDAT as the local start is a </w:t>
      </w:r>
      <w:r>
        <w:rPr>
          <w:b/>
        </w:rPr>
        <w:t>label violation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Then</w:t>
      </w:r>
      <w:r>
        <w:t xml:space="preserve"> show month 36 / 72. Sequence protects you when a senior haematologist says “your Phase 3 missed.”</w:t>
      </w:r>
      <w:r/>
      <w:r/>
    </w:p>
    <w:p>
      <w:r/>
      <w:r>
        <w:rPr>
          <w:b/>
        </w:rPr>
        <w:t>Later timepoints (Gisslinger 2023 Table 1, response-evaluable):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Timepoint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Ropeg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Stats</w:t>
            </w:r>
          </w:p>
        </w:tc>
      </w:tr>
      <w:tr>
        <w:tc>
          <w:tcPr>
            <w:tcW w:type="dxa" w:w="2412"/>
          </w:tcPr>
          <w:p>
            <w:r>
              <w:t>Month 12 CHR (PROUD-PV / PI)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43.1%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46.0%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 = 0.63</w:t>
            </w:r>
            <w:r>
              <w:t xml:space="preserve"> — NS; non-inferiority not met</w:t>
            </w:r>
          </w:p>
        </w:tc>
      </w:tr>
      <w:tr>
        <w:tc>
          <w:tcPr>
            <w:tcW w:type="dxa" w:w="2412"/>
          </w:tcPr>
          <w:p>
            <w:r>
              <w:t>Month 36 CHR</w:t>
            </w:r>
          </w:p>
        </w:tc>
        <w:tc>
          <w:tcPr>
            <w:tcW w:type="dxa" w:w="2412"/>
          </w:tcPr>
          <w:p>
            <w:r>
              <w:rPr>
                <w:b/>
              </w:rPr>
              <w:t>57.0%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37.8%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 = 0.03</w:t>
            </w:r>
          </w:p>
        </w:tc>
      </w:tr>
      <w:tr>
        <w:tc>
          <w:tcPr>
            <w:tcW w:type="dxa" w:w="2412"/>
          </w:tcPr>
          <w:p>
            <w:r>
              <w:t>Month 60 CHR</w:t>
            </w:r>
          </w:p>
        </w:tc>
        <w:tc>
          <w:tcPr>
            <w:tcW w:type="dxa" w:w="2412"/>
          </w:tcPr>
          <w:p>
            <w:r>
              <w:rPr>
                <w:b/>
              </w:rPr>
              <w:t>55.8%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44.0%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 = 0.097 — not significant</w:t>
            </w:r>
          </w:p>
        </w:tc>
      </w:tr>
      <w:tr>
        <w:tc>
          <w:tcPr>
            <w:tcW w:type="dxa" w:w="2412"/>
          </w:tcPr>
          <w:p>
            <w:r>
              <w:t>Month 72 CHR (primary; discontinued = non-responders)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54.5%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34.9%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 = 0.02</w:t>
            </w:r>
          </w:p>
        </w:tc>
      </w:tr>
    </w:tbl>
    <w:p>
      <w:r/>
    </w:p>
    <w:p>
      <w:r/>
      <w:r>
        <w:rPr>
          <w:b/>
        </w:rPr>
        <w:t>Do not</w:t>
      </w:r>
      <w:r>
        <w:t xml:space="preserve"> say “CHR stays significant at 5 years.” The </w:t>
      </w:r>
      <w:r>
        <w:rPr>
          <w:b/>
        </w:rPr>
        <w:t>72-month</w:t>
      </w:r>
      <w:r>
        <w:t xml:space="preserve"> CHR is the significant late timepoint in this paper.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8. Brochure CHR page — walk what they will hold (6 min)</w:t>
      </w:r>
      <w:r/>
    </w:p>
    <w:p>
      <w:r/>
      <w:r>
        <w:rPr>
          <w:b/>
        </w:rPr>
        <w:t>CHR definition (on the page):</w:t>
      </w:r>
      <w:r>
        <w:t xml:space="preserve"> no phlebotomy in the past 3 months; hematocrit &lt;45%; leukocytes &lt;10 × 10⁹/L; platelets &lt;400 × 10⁹/L.</w:t>
      </w:r>
      <w:r/>
    </w:p>
    <w:p>
      <w:r/>
      <w:r>
        <w:rPr>
          <w:b/>
        </w:rPr>
        <w:t>Speak in this order (brochure first, PI second):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Graph:</w:t>
      </w:r>
      <w:r>
        <w:t xml:space="preserve"> HU is ahead at </w:t>
      </w:r>
      <w:r>
        <w:rPr>
          <w:b/>
        </w:rPr>
        <w:t>12 months (~75% vs ~62%)</w:t>
      </w:r>
      <w:r>
        <w:t xml:space="preserve">. Lines </w:t>
      </w:r>
      <w:r>
        <w:rPr>
          <w:b/>
        </w:rPr>
        <w:t>cross by 24 months</w:t>
      </w:r>
      <w:r>
        <w:t xml:space="preserve">. At </w:t>
      </w:r>
      <w:r>
        <w:rPr>
          <w:b/>
        </w:rPr>
        <w:t>60 months ~73% vs ~53%</w:t>
      </w:r>
      <w:r>
        <w:t>. Headline on the art: greater CHR vs control at 24 months, sustained at 60 months.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84.3% (107/127):</w:t>
      </w:r>
      <w:r>
        <w:t xml:space="preserve"> </w:t>
      </w:r>
      <w:r>
        <w:rPr>
          <w:b/>
        </w:rPr>
        <w:t>ever-CHR</w:t>
      </w:r>
      <w:r>
        <w:t xml:space="preserve"> by 36 months — criteria met </w:t>
      </w:r>
      <w:r>
        <w:rPr>
          <w:b/>
        </w:rPr>
        <w:t>at any time</w:t>
      </w:r>
      <w:r>
        <w:t xml:space="preserve"> (footnote). Not “84% still in CHR.”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Major TE 3% (4/127)</w:t>
      </w:r>
      <w:r>
        <w:t xml:space="preserve"> at 36 months — do </w:t>
      </w:r>
      <w:r>
        <w:rPr>
          <w:b/>
        </w:rPr>
        <w:t>not</w:t>
      </w:r>
      <w:r>
        <w:t xml:space="preserve"> mix with EFS 5/95.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PI translation (must still say):</w:t>
      </w:r>
      <w:r>
        <w:t xml:space="preserve"> 12-month primary </w:t>
      </w:r>
      <w:r>
        <w:rPr>
          <w:b/>
        </w:rPr>
        <w:t>43.1% vs 46.0%, p=0.63</w:t>
      </w:r>
      <w:r>
        <w:t xml:space="preserve"> (ITT; discontinued = failure; non-inferiority not met). Late primary </w:t>
      </w:r>
      <w:r>
        <w:rPr>
          <w:b/>
        </w:rPr>
        <w:t>54.5% vs 34.9% at 72 months, p=0.02</w:t>
      </w:r>
      <w:r>
        <w:t xml:space="preserve"> (Gisslinger 2023). LOCF </w:t>
      </w:r>
      <w:r>
        <w:rPr>
          <w:b/>
        </w:rPr>
        <w:t>72.6% vs 47.3%</w:t>
      </w:r>
      <w:r>
        <w:t xml:space="preserve"> is the published analogue of the ~70% graph. Mean time in CHR </w:t>
      </w:r>
      <w:r>
        <w:rPr>
          <w:b/>
        </w:rPr>
        <w:t>60.9% vs 41.2%</w:t>
      </w:r>
      <w:r>
        <w:t xml:space="preserve"> (p=0.04).</w:t>
      </w:r>
      <w:r/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Analysis</w:t>
            </w:r>
          </w:p>
        </w:tc>
        <w:tc>
          <w:tcPr>
            <w:tcW w:type="dxa" w:w="1930"/>
          </w:tcPr>
          <w:p>
            <w:r>
              <w:rPr>
                <w:b/>
              </w:rPr>
              <w:t>BESREMi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Control (HU → BAT)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Stats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1930"/>
          </w:tcPr>
          <w:p>
            <w:r>
              <w:t>Brochure graph, ~M12</w:t>
            </w:r>
          </w:p>
        </w:tc>
        <w:tc>
          <w:tcPr>
            <w:tcW w:type="dxa" w:w="1930"/>
          </w:tcPr>
          <w:p>
            <w:r>
              <w:t>~62%</w:t>
            </w:r>
          </w:p>
        </w:tc>
        <w:tc>
          <w:tcPr>
            <w:tcW w:type="dxa" w:w="1930"/>
          </w:tcPr>
          <w:p>
            <w:r>
              <w:t>~75%</w:t>
            </w:r>
          </w:p>
        </w:tc>
        <w:tc>
          <w:tcPr>
            <w:tcW w:type="dxa" w:w="1930"/>
          </w:tcPr>
          <w:p>
            <w:r>
              <w:t>Visual on leave-behind</w:t>
            </w:r>
          </w:p>
        </w:tc>
        <w:tc>
          <w:tcPr>
            <w:tcW w:type="dxa" w:w="1930"/>
          </w:tcPr>
          <w:p>
            <w:r>
              <w:t>HU faster at 1 year</w:t>
            </w:r>
          </w:p>
        </w:tc>
      </w:tr>
      <w:tr>
        <w:tc>
          <w:tcPr>
            <w:tcW w:type="dxa" w:w="1930"/>
          </w:tcPr>
          <w:p>
            <w:r>
              <w:t>Brochure graph, ~M60</w:t>
            </w:r>
          </w:p>
        </w:tc>
        <w:tc>
          <w:tcPr>
            <w:tcW w:type="dxa" w:w="1930"/>
          </w:tcPr>
          <w:p>
            <w:r>
              <w:t>~73%</w:t>
            </w:r>
          </w:p>
        </w:tc>
        <w:tc>
          <w:tcPr>
            <w:tcW w:type="dxa" w:w="1930"/>
          </w:tcPr>
          <w:p>
            <w:r>
              <w:t>~53%</w:t>
            </w:r>
          </w:p>
        </w:tc>
        <w:tc>
          <w:tcPr>
            <w:tcW w:type="dxa" w:w="1930"/>
          </w:tcPr>
          <w:p>
            <w:r>
              <w:t>Visual on leave-behind</w:t>
            </w:r>
          </w:p>
        </w:tc>
        <w:tc>
          <w:tcPr>
            <w:tcW w:type="dxa" w:w="1930"/>
          </w:tcPr>
          <w:p>
            <w:r>
              <w:t>Long-term curve</w:t>
            </w:r>
          </w:p>
        </w:tc>
      </w:tr>
      <w:tr>
        <w:tc>
          <w:tcPr>
            <w:tcW w:type="dxa" w:w="1930"/>
          </w:tcPr>
          <w:p>
            <w:r>
              <w:t>Ever-CHR by 36 mo</w:t>
            </w:r>
          </w:p>
        </w:tc>
        <w:tc>
          <w:tcPr>
            <w:tcW w:type="dxa" w:w="1930"/>
          </w:tcPr>
          <w:p>
            <w:r>
              <w:rPr>
                <w:b/>
              </w:rPr>
              <w:t>84.3% (107/127)</w:t>
            </w:r>
          </w:p>
        </w:tc>
        <w:tc>
          <w:tcPr>
            <w:tcW w:type="dxa" w:w="1930"/>
          </w:tcPr>
          <w:p>
            <w:r>
              <w:t>—</w:t>
            </w:r>
          </w:p>
        </w:tc>
        <w:tc>
          <w:tcPr>
            <w:tcW w:type="dxa" w:w="1930"/>
          </w:tcPr>
          <w:p>
            <w:r>
              <w:t>Footnote: at any time</w:t>
            </w:r>
          </w:p>
        </w:tc>
        <w:tc>
          <w:tcPr>
            <w:tcW w:type="dxa" w:w="1930"/>
          </w:tcPr>
          <w:p>
            <w:r>
              <w:t>Not a snapshot</w:t>
            </w:r>
          </w:p>
        </w:tc>
      </w:tr>
      <w:tr>
        <w:tc>
          <w:tcPr>
            <w:tcW w:type="dxa" w:w="1930"/>
          </w:tcPr>
          <w:p>
            <w:r>
              <w:t>PI 12-mo primary</w:t>
            </w:r>
          </w:p>
        </w:tc>
        <w:tc>
          <w:tcPr>
            <w:tcW w:type="dxa" w:w="1930"/>
          </w:tcPr>
          <w:p>
            <w:r>
              <w:rPr>
                <w:b/>
              </w:rPr>
              <w:t>43.1%</w:t>
            </w:r>
          </w:p>
        </w:tc>
        <w:tc>
          <w:tcPr>
            <w:tcW w:type="dxa" w:w="1930"/>
          </w:tcPr>
          <w:p>
            <w:r>
              <w:rPr>
                <w:b/>
              </w:rPr>
              <w:t>46.0%</w:t>
            </w:r>
          </w:p>
        </w:tc>
        <w:tc>
          <w:tcPr>
            <w:tcW w:type="dxa" w:w="1930"/>
          </w:tcPr>
          <w:p>
            <w:r>
              <w:rPr>
                <w:b/>
              </w:rPr>
              <w:t>p=0.63</w:t>
            </w:r>
          </w:p>
        </w:tc>
        <w:tc>
          <w:tcPr>
            <w:tcW w:type="dxa" w:w="1930"/>
          </w:tcPr>
          <w:p>
            <w:r>
              <w:t>Honesty</w:t>
            </w:r>
          </w:p>
        </w:tc>
      </w:tr>
      <w:tr>
        <w:tc>
          <w:tcPr>
            <w:tcW w:type="dxa" w:w="1930"/>
          </w:tcPr>
          <w:p>
            <w:r>
              <w:t>72-mo primary (D/C = fail)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54.5%</w:t>
            </w:r>
            <w:r>
              <w:t xml:space="preserve"> (48/88)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34.9%</w:t>
            </w:r>
            <w:r>
              <w:t xml:space="preserve"> (22/63)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p=0.02</w:t>
            </w:r>
          </w:p>
        </w:tc>
        <w:tc>
          <w:tcPr>
            <w:tcW w:type="dxa" w:w="1930"/>
          </w:tcPr>
          <w:p>
            <w:r>
              <w:t>PI-aligned late number</w:t>
            </w:r>
          </w:p>
        </w:tc>
      </w:tr>
      <w:tr>
        <w:tc>
          <w:tcPr>
            <w:tcW w:type="dxa" w:w="1930"/>
          </w:tcPr>
          <w:p>
            <w:r>
              <w:t>LOCF 72 mo</w:t>
            </w:r>
          </w:p>
        </w:tc>
        <w:tc>
          <w:tcPr>
            <w:tcW w:type="dxa" w:w="1930"/>
          </w:tcPr>
          <w:p>
            <w:r>
              <w:t>72.6% (69/95)</w:t>
            </w:r>
          </w:p>
        </w:tc>
        <w:tc>
          <w:tcPr>
            <w:tcW w:type="dxa" w:w="1930"/>
          </w:tcPr>
          <w:p>
            <w:r>
              <w:t>47.3% (35/74)</w:t>
            </w:r>
          </w:p>
        </w:tc>
        <w:tc>
          <w:tcPr>
            <w:tcW w:type="dxa" w:w="1930"/>
          </w:tcPr>
          <w:p>
            <w:r>
              <w:t>p=0.001</w:t>
            </w:r>
          </w:p>
        </w:tc>
        <w:tc>
          <w:tcPr>
            <w:tcW w:type="dxa" w:w="1930"/>
          </w:tcPr>
          <w:p>
            <w:r>
              <w:t>Analogue of the graph</w:t>
            </w:r>
          </w:p>
        </w:tc>
      </w:tr>
    </w:tbl>
    <w:p>
      <w:r/>
    </w:p>
    <w:p>
      <w:r/>
      <w:r>
        <w:rPr>
          <w:b/>
        </w:rPr>
        <w:t>Titration honesty (HK PI):</w:t>
      </w:r>
      <w:r>
        <w:t xml:space="preserve"> ~3.7 vs ~2.6 months. Same pharmacology as the graph’s month-12 HU lead.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8b. Brochure JAK2 page — core when handed over</w:t>
      </w:r>
      <w:r/>
    </w:p>
    <w:p>
      <w:r/>
      <w:r>
        <w:t xml:space="preserve">The leave-behind shows median JAK2 V617F </w:t>
      </w:r>
      <w:r>
        <w:rPr>
          <w:b/>
        </w:rPr>
        <w:t>37% → 8%</w:t>
      </w:r>
      <w:r>
        <w:t xml:space="preserve"> on BESREMi vs </w:t>
      </w:r>
      <w:r>
        <w:rPr>
          <w:b/>
        </w:rPr>
        <w:t>38% → 44%</w:t>
      </w:r>
      <w:r>
        <w:t xml:space="preserve"> on HU/BAT at </w:t>
      </w:r>
      <w:r>
        <w:rPr>
          <w:b/>
        </w:rPr>
        <w:t>60 months</w:t>
      </w:r>
      <w:r>
        <w:t xml:space="preserve"> (HU </w:t>
      </w:r>
      <w:r>
        <w:rPr>
          <w:b/>
        </w:rPr>
        <w:t>rebounds</w:t>
      </w:r>
      <w:r>
        <w:t xml:space="preserve">). Gisslinger 2023 at ~6 years is the same direction: median </w:t>
      </w:r>
      <w:r>
        <w:rPr>
          <w:b/>
        </w:rPr>
        <w:t>8.5% vs 50.4%</w:t>
      </w:r>
      <w:r>
        <w:t xml:space="preserve">; molecular response </w:t>
      </w:r>
      <w:r>
        <w:rPr>
          <w:b/>
        </w:rPr>
        <w:t>66.0% vs 19.4%</w:t>
      </w:r>
      <w:r>
        <w:t xml:space="preserve"> (p&lt;0.0001).</w:t>
      </w:r>
      <w:r/>
    </w:p>
    <w:p>
      <w:r/>
      <w:r>
        <w:rPr>
          <w:b/>
        </w:rPr>
        <w:t>How to say it:</w:t>
      </w:r>
      <w:r>
        <w:t xml:space="preserve"> “Higher mutant allele burden is associated with thrombosis, hemorrhage, and fibrotic progression. In this long-term analysis the ropeg curve keeps falling; the HU/BAT curve comes back up.”</w:t>
        <w:br/>
      </w:r>
      <w:r/>
      <w:r>
        <w:rPr>
          <w:b/>
        </w:rPr>
        <w:t>How not to say it:</w:t>
      </w:r>
      <w:r>
        <w:t xml:space="preserve"> “Selectively depletes HSCs” is </w:t>
      </w:r>
      <w:r>
        <w:rPr>
          <w:b/>
        </w:rPr>
        <w:t>brochure art</w:t>
      </w:r>
      <w:r>
        <w:t xml:space="preserve"> — do not expand to “eradicates the clone,” “cures PV,” or treatment-free remission. Do not use 8% as a stopping rule.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9. Piece B — event-free survival (5 min)</w:t>
      </w:r>
      <w:r/>
    </w:p>
    <w:p>
      <w:r/>
      <w:r>
        <w:rPr>
          <w:b/>
        </w:rPr>
        <w:t>Poster:</w:t>
      </w:r>
      <w:r>
        <w:t xml:space="preserve"> significantly higher probability of EFS over ≥6 years; </w:t>
      </w:r>
      <w:r>
        <w:rPr>
          <w:b/>
        </w:rPr>
        <w:t>p=0.04</w:t>
      </w:r>
      <w:r>
        <w:t>.</w:t>
      </w:r>
      <w:r/>
    </w:p>
    <w:p>
      <w:r/>
      <w:r>
        <w:rPr>
          <w:b/>
        </w:rPr>
        <w:t>Named data (same CONTINUATION-PV analysis):</w:t>
      </w:r>
      <w:r/>
      <w:r/>
    </w:p>
    <w:p>
      <w:pPr>
        <w:pStyle w:val="ListBullet"/>
        <w:spacing w:line="240" w:lineRule="auto"/>
        <w:ind w:left="720"/>
      </w:pPr>
      <w:r/>
      <w:r>
        <w:t xml:space="preserve">EFS probability: </w:t>
      </w:r>
      <w:r>
        <w:rPr>
          <w:b/>
        </w:rPr>
        <w:t>0.94 vs 0.82</w:t>
      </w:r>
      <w:r>
        <w:t xml:space="preserve"> (log-rank p=0.04)</w:t>
      </w:r>
      <w:r/>
    </w:p>
    <w:p>
      <w:pPr>
        <w:pStyle w:val="ListBullet"/>
        <w:spacing w:line="240" w:lineRule="auto"/>
        <w:ind w:left="720"/>
      </w:pPr>
      <w:r/>
      <w:r>
        <w:t xml:space="preserve">HR </w:t>
      </w:r>
      <w:r>
        <w:rPr>
          <w:b/>
        </w:rPr>
        <w:t>0.34</w:t>
      </w:r>
      <w:r>
        <w:t xml:space="preserve"> (95% CI 0.12–0.97)</w:t>
      </w:r>
      <w:r/>
    </w:p>
    <w:p>
      <w:pPr>
        <w:pStyle w:val="ListBullet"/>
        <w:spacing w:line="240" w:lineRule="auto"/>
        <w:ind w:left="720"/>
      </w:pPr>
      <w:r/>
      <w:r>
        <w:t xml:space="preserve">First risk events: </w:t>
      </w:r>
      <w:r>
        <w:rPr>
          <w:b/>
        </w:rPr>
        <w:t>5/95 (5.3%)</w:t>
      </w:r>
      <w:r>
        <w:t xml:space="preserve"> BESREMi vs </w:t>
      </w:r>
      <w:r>
        <w:rPr>
          <w:b/>
        </w:rPr>
        <w:t>12/74 (16.2%)</w:t>
      </w:r>
      <w:r>
        <w:t xml:space="preserve"> control</w:t>
      </w:r>
      <w:r/>
    </w:p>
    <w:p>
      <w:pPr>
        <w:pStyle w:val="ListBullet"/>
        <w:spacing w:line="240" w:lineRule="auto"/>
        <w:ind w:left="720"/>
      </w:pPr>
      <w:r/>
      <w:r>
        <w:t xml:space="preserve">Events on the piece: disease progression, death, thromboembolic events </w:t>
      </w:r>
      <w:r/>
    </w:p>
    <w:p>
      <w:pPr>
        <w:pStyle w:val="ListBullet"/>
        <w:spacing w:line="240" w:lineRule="auto"/>
        <w:ind w:left="720"/>
      </w:pPr>
      <w:r/>
      <w:r>
        <w:t>Published first-event mix (for Medical Q&amp;A, not a promotional bar chart unless lexicon-approved): BESREMi — thrombosis 2, myelofibrosis 1, death 2; control — thrombosis 5, myelofibrosis 2, acute leukemia 2, death 3</w:t>
      </w:r>
      <w:r/>
      <w:r/>
    </w:p>
    <w:p>
      <w:r/>
      <w:r>
        <w:rPr>
          <w:b/>
        </w:rPr>
        <w:t>Do not</w:t>
      </w:r>
      <w:r>
        <w:t xml:space="preserve"> say “prevents death” or “prevents leukemia.” Say: “In this randomized long-term analysis, fewer patients on ropeginterferon experienced a first risk event, and EFS was higher (p=0.04).”</w:t>
      </w:r>
      <w:r/>
    </w:p>
    <w:p>
      <w:r/>
      <w:r>
        <w:rPr>
          <w:b/>
        </w:rPr>
        <w:t>Completeness (Piece B is directionally correct and incomplete — add these lines):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Completeness item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Line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EFS is not OS</w:t>
            </w:r>
          </w:p>
        </w:tc>
        <w:tc>
          <w:tcPr>
            <w:tcW w:type="dxa" w:w="4824"/>
          </w:tcPr>
          <w:p>
            <w:r>
              <w:t xml:space="preserve">Composite of </w:t>
            </w:r>
            <w:r>
              <w:rPr>
                <w:b/>
              </w:rPr>
              <w:t>thromboembolic events, disease progression, and death</w:t>
            </w:r>
            <w:r>
              <w:t xml:space="preserve"> . Median EFS not reached. OS was </w:t>
            </w:r>
            <w:r>
              <w:rPr>
                <w:b/>
              </w:rPr>
              <w:t>not</w:t>
            </w:r>
            <w:r>
              <w:t xml:space="preserve"> an endpoint. Do not say “patients live longer.”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Risk reduction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HR 0.34 (95% CI 0.12–0.97), p = 0.04</w:t>
            </w:r>
            <w:r>
              <w:t xml:space="preserve"> at ~7.3 / 7.2 years median (Gisslinger 2023).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Event mix</w:t>
            </w:r>
          </w:p>
        </w:tc>
        <w:tc>
          <w:tcPr>
            <w:tcW w:type="dxa" w:w="4824"/>
          </w:tcPr>
          <w:p>
            <w:r>
              <w:t xml:space="preserve">Ropeg </w:t>
            </w:r>
            <w:r>
              <w:rPr>
                <w:b/>
              </w:rPr>
              <w:t>n=95:</w:t>
            </w:r>
            <w:r>
              <w:t xml:space="preserve"> TE </w:t>
            </w:r>
            <w:r>
              <w:rPr>
                <w:b/>
              </w:rPr>
              <w:t>2</w:t>
            </w:r>
            <w:r>
              <w:t xml:space="preserve"> , MF </w:t>
            </w:r>
            <w:r>
              <w:rPr>
                <w:b/>
              </w:rPr>
              <w:t>1</w:t>
            </w:r>
            <w:r>
              <w:t xml:space="preserve"> , death </w:t>
            </w:r>
            <w:r>
              <w:rPr>
                <w:b/>
              </w:rPr>
              <w:t>2</w:t>
            </w:r>
            <w:r>
              <w:t xml:space="preserve"> . Control </w:t>
            </w:r>
            <w:r>
              <w:rPr>
                <w:b/>
              </w:rPr>
              <w:t>n=74:</w:t>
            </w:r>
            <w:r>
              <w:t xml:space="preserve"> TE </w:t>
            </w:r>
            <w:r>
              <w:rPr>
                <w:b/>
              </w:rPr>
              <w:t>5</w:t>
            </w:r>
            <w:r>
              <w:t xml:space="preserve"> , MF </w:t>
            </w:r>
            <w:r>
              <w:rPr>
                <w:b/>
              </w:rPr>
              <w:t>2</w:t>
            </w:r>
            <w:r>
              <w:t xml:space="preserve"> , AML </w:t>
            </w:r>
            <w:r>
              <w:rPr>
                <w:b/>
              </w:rPr>
              <w:t>2</w:t>
            </w:r>
            <w:r>
              <w:t xml:space="preserve"> , death </w:t>
            </w:r>
            <w:r>
              <w:rPr>
                <w:b/>
              </w:rPr>
              <w:t>3</w:t>
            </w:r>
            <w:r>
              <w:t xml:space="preserve"> . </w:t>
            </w:r>
            <w:r>
              <w:rPr>
                <w:b/>
              </w:rPr>
              <w:t>Do not slogan “prevents leukemia.”</w:t>
            </w:r>
            <w:r>
              <w:t xml:space="preserve"> AML sat in the </w:t>
            </w:r>
            <w:r>
              <w:rPr>
                <w:b/>
              </w:rPr>
              <w:t>control</w:t>
            </w:r>
            <w:r>
              <w:t xml:space="preserve"> arm in this analysis; </w:t>
            </w:r>
            <w:r>
              <w:rPr>
                <w:b/>
              </w:rPr>
              <w:t>numbers are small.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Time in CHR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60.9% vs 41.2%</w:t>
            </w:r>
            <w:r>
              <w:t xml:space="preserve"> of follow-up — the </w:t>
            </w:r>
            <w:r>
              <w:rPr>
                <w:b/>
              </w:rPr>
              <w:t>durability</w:t>
            </w:r>
            <w:r>
              <w:t xml:space="preserve"> story that sits next to the ~70–80% </w:t>
            </w:r>
            <w:r>
              <w:rPr>
                <w:b/>
              </w:rPr>
              <w:t>LOCF</w:t>
            </w:r>
            <w:r>
              <w:t xml:space="preserve"> graph.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9a. Safety — same meeting as efficacy (6 min)</w:t>
      </w:r>
      <w:r/>
    </w:p>
    <w:p>
      <w:r/>
      <w:r>
        <w:rPr>
          <w:b/>
        </w:rPr>
        <w:t>If the 36-month all-causality table (brochure page 9) is open — use this table, not Edahiro: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Pattern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BESREMi (n=127)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Control (n=127)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How to say it</w:t>
            </w:r>
          </w:p>
        </w:tc>
      </w:tr>
      <w:tr>
        <w:tc>
          <w:tcPr>
            <w:tcW w:type="dxa" w:w="2412"/>
          </w:tcPr>
          <w:p>
            <w:r>
              <w:t>Thrombocytopenia</w:t>
            </w:r>
          </w:p>
        </w:tc>
        <w:tc>
          <w:tcPr>
            <w:tcW w:type="dxa" w:w="2412"/>
          </w:tcPr>
          <w:p>
            <w:r>
              <w:t>21% (G≥3 2%)</w:t>
            </w:r>
          </w:p>
        </w:tc>
        <w:tc>
          <w:tcPr>
            <w:tcW w:type="dxa" w:w="2412"/>
          </w:tcPr>
          <w:p>
            <w:r>
              <w:t>28% (4%)</w:t>
            </w:r>
          </w:p>
        </w:tc>
        <w:tc>
          <w:tcPr>
            <w:tcW w:type="dxa" w:w="2412"/>
          </w:tcPr>
          <w:p>
            <w:r>
              <w:t xml:space="preserve">Cytopenias are </w:t>
            </w:r>
            <w:r>
              <w:rPr>
                <w:b/>
              </w:rPr>
              <w:t>not</w:t>
            </w:r>
            <w:r>
              <w:t xml:space="preserve"> the IFN problem vs HU</w:t>
            </w:r>
          </w:p>
        </w:tc>
      </w:tr>
      <w:tr>
        <w:tc>
          <w:tcPr>
            <w:tcW w:type="dxa" w:w="2412"/>
          </w:tcPr>
          <w:p>
            <w:r>
              <w:t>Leukopenia</w:t>
            </w:r>
          </w:p>
        </w:tc>
        <w:tc>
          <w:tcPr>
            <w:tcW w:type="dxa" w:w="2412"/>
          </w:tcPr>
          <w:p>
            <w:r>
              <w:t>18% (2%)</w:t>
            </w:r>
          </w:p>
        </w:tc>
        <w:tc>
          <w:tcPr>
            <w:tcW w:type="dxa" w:w="2412"/>
          </w:tcPr>
          <w:p>
            <w:r>
              <w:t>22% (5%)</w:t>
            </w:r>
          </w:p>
        </w:tc>
        <w:tc>
          <w:tcPr>
            <w:tcW w:type="dxa" w:w="2412"/>
          </w:tcPr>
          <w:p>
            <w:r>
              <w:t>Same</w:t>
            </w:r>
          </w:p>
        </w:tc>
      </w:tr>
      <w:tr>
        <w:tc>
          <w:tcPr>
            <w:tcW w:type="dxa" w:w="2412"/>
          </w:tcPr>
          <w:p>
            <w:r>
              <w:t>Anaemia</w:t>
            </w:r>
          </w:p>
        </w:tc>
        <w:tc>
          <w:tcPr>
            <w:tcW w:type="dxa" w:w="2412"/>
          </w:tcPr>
          <w:p>
            <w:r>
              <w:t>13% (1%)</w:t>
            </w:r>
          </w:p>
        </w:tc>
        <w:tc>
          <w:tcPr>
            <w:tcW w:type="dxa" w:w="2412"/>
          </w:tcPr>
          <w:p>
            <w:r>
              <w:t>24% (2%)</w:t>
            </w:r>
          </w:p>
        </w:tc>
        <w:tc>
          <w:tcPr>
            <w:tcW w:type="dxa" w:w="2412"/>
          </w:tcPr>
          <w:p>
            <w:r>
              <w:t>Same</w:t>
            </w:r>
          </w:p>
        </w:tc>
      </w:tr>
      <w:tr>
        <w:tc>
          <w:tcPr>
            <w:tcW w:type="dxa" w:w="2412"/>
          </w:tcPr>
          <w:p>
            <w:r>
              <w:t>GGT increase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16% (G≥3 8%)</w:t>
            </w:r>
          </w:p>
        </w:tc>
        <w:tc>
          <w:tcPr>
            <w:tcW w:type="dxa" w:w="2412"/>
          </w:tcPr>
          <w:p>
            <w:r>
              <w:t>2% (2%)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IFN / liver signature</w:t>
            </w:r>
          </w:p>
        </w:tc>
      </w:tr>
      <w:tr>
        <w:tc>
          <w:tcPr>
            <w:tcW w:type="dxa" w:w="2412"/>
          </w:tcPr>
          <w:p>
            <w:r>
              <w:t>ALT increase</w:t>
            </w:r>
          </w:p>
        </w:tc>
        <w:tc>
          <w:tcPr>
            <w:tcW w:type="dxa" w:w="2412"/>
          </w:tcPr>
          <w:p>
            <w:r>
              <w:t>13% (4%)</w:t>
            </w:r>
          </w:p>
        </w:tc>
        <w:tc>
          <w:tcPr>
            <w:tcW w:type="dxa" w:w="2412"/>
          </w:tcPr>
          <w:p>
            <w:r>
              <w:t>2% (0%)</w:t>
            </w:r>
          </w:p>
        </w:tc>
        <w:tc>
          <w:tcPr>
            <w:tcW w:type="dxa" w:w="2412"/>
          </w:tcPr>
          <w:p>
            <w:r>
              <w:t>Monitor LFTs</w:t>
            </w:r>
          </w:p>
        </w:tc>
      </w:tr>
      <w:tr>
        <w:tc>
          <w:tcPr>
            <w:tcW w:type="dxa" w:w="2412"/>
          </w:tcPr>
          <w:p>
            <w:r>
              <w:t>AST increase</w:t>
            </w:r>
          </w:p>
        </w:tc>
        <w:tc>
          <w:tcPr>
            <w:tcW w:type="dxa" w:w="2412"/>
          </w:tcPr>
          <w:p>
            <w:r>
              <w:t>10% (2%)</w:t>
            </w:r>
          </w:p>
        </w:tc>
        <w:tc>
          <w:tcPr>
            <w:tcW w:type="dxa" w:w="2412"/>
          </w:tcPr>
          <w:p>
            <w:r>
              <w:t>2% (0%)</w:t>
            </w:r>
          </w:p>
        </w:tc>
        <w:tc>
          <w:tcPr>
            <w:tcW w:type="dxa" w:w="2412"/>
          </w:tcPr>
          <w:p>
            <w:r>
              <w:t>Monitor LFTs</w:t>
            </w:r>
          </w:p>
        </w:tc>
      </w:tr>
      <w:tr>
        <w:tc>
          <w:tcPr>
            <w:tcW w:type="dxa" w:w="2412"/>
          </w:tcPr>
          <w:p>
            <w:r>
              <w:t>Arthralgia</w:t>
            </w:r>
          </w:p>
        </w:tc>
        <w:tc>
          <w:tcPr>
            <w:tcW w:type="dxa" w:w="2412"/>
          </w:tcPr>
          <w:p>
            <w:r>
              <w:t>12% (1%)</w:t>
            </w:r>
          </w:p>
        </w:tc>
        <w:tc>
          <w:tcPr>
            <w:tcW w:type="dxa" w:w="2412"/>
          </w:tcPr>
          <w:p>
            <w:r>
              <w:t>4% (0%)</w:t>
            </w:r>
          </w:p>
        </w:tc>
        <w:tc>
          <w:tcPr>
            <w:tcW w:type="dxa" w:w="2412"/>
          </w:tcPr>
          <w:p>
            <w:r>
              <w:t>IFN-class</w:t>
            </w:r>
          </w:p>
        </w:tc>
      </w:tr>
      <w:tr>
        <w:tc>
          <w:tcPr>
            <w:tcW w:type="dxa" w:w="2412"/>
          </w:tcPr>
          <w:p>
            <w:r>
              <w:t>Fatigue</w:t>
            </w:r>
          </w:p>
        </w:tc>
        <w:tc>
          <w:tcPr>
            <w:tcW w:type="dxa" w:w="2412"/>
          </w:tcPr>
          <w:p>
            <w:r>
              <w:t>13% (0%)</w:t>
            </w:r>
          </w:p>
        </w:tc>
        <w:tc>
          <w:tcPr>
            <w:tcW w:type="dxa" w:w="2412"/>
          </w:tcPr>
          <w:p>
            <w:r>
              <w:t>13% (1%)</w:t>
            </w:r>
          </w:p>
        </w:tc>
        <w:tc>
          <w:tcPr>
            <w:tcW w:type="dxa" w:w="2412"/>
          </w:tcPr>
          <w:p>
            <w:r>
              <w:t>Balanced</w:t>
            </w:r>
          </w:p>
        </w:tc>
      </w:tr>
      <w:tr>
        <w:tc>
          <w:tcPr>
            <w:tcW w:type="dxa" w:w="2412"/>
          </w:tcPr>
          <w:p>
            <w:r>
              <w:t>Headache</w:t>
            </w:r>
          </w:p>
        </w:tc>
        <w:tc>
          <w:tcPr>
            <w:tcW w:type="dxa" w:w="2412"/>
          </w:tcPr>
          <w:p>
            <w:r>
              <w:t>12%</w:t>
            </w:r>
          </w:p>
        </w:tc>
        <w:tc>
          <w:tcPr>
            <w:tcW w:type="dxa" w:w="2412"/>
          </w:tcPr>
          <w:p>
            <w:r>
              <w:t>13%</w:t>
            </w:r>
          </w:p>
        </w:tc>
        <w:tc>
          <w:tcPr>
            <w:tcW w:type="dxa" w:w="2412"/>
          </w:tcPr>
          <w:p>
            <w:r>
              <w:t>Balanced</w:t>
            </w:r>
          </w:p>
        </w:tc>
      </w:tr>
    </w:tbl>
    <w:p>
      <w:r/>
    </w:p>
    <w:p>
      <w:r/>
      <w:r>
        <w:t xml:space="preserve">This table is </w:t>
      </w:r>
      <w:r>
        <w:rPr>
          <w:b/>
        </w:rPr>
        <w:t>regardless of causality</w:t>
      </w:r>
      <w:r>
        <w:t xml:space="preserve">. </w:t>
      </w:r>
      <w:r>
        <w:rPr>
          <w:b/>
        </w:rPr>
        <w:t>Drug-related discontinuation ~11% vs 2–3%</w:t>
      </w:r>
      <w:r>
        <w:t xml:space="preserve"> is a different cut — use it for “will they stay on drug?”</w:t>
        <w:br/>
      </w:r>
      <w:r/>
      <w:r>
        <w:rPr>
          <w:b/>
        </w:rPr>
        <w:t>Do not</w:t>
      </w:r>
      <w:r>
        <w:t xml:space="preserve"> put Edahiro </w:t>
      </w:r>
      <w:r>
        <w:rPr>
          <w:b/>
        </w:rPr>
        <w:t>alopecia 55.2%</w:t>
      </w:r>
      <w:r>
        <w:t xml:space="preserve"> (Japan Ph2 n=29) onto page 9. PI / this brochure lists alopecia around </w:t>
      </w:r>
      <w:r>
        <w:rPr>
          <w:b/>
        </w:rPr>
        <w:t>6–7%</w:t>
      </w:r>
      <w:r>
        <w:t>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3216"/>
          </w:tcPr>
          <w:p>
            <w:r>
              <w:rPr>
                <w:b/>
              </w:rPr>
              <w:t>Line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Grade ≥3 TRAEs ~balanced</w:t>
            </w:r>
          </w:p>
        </w:tc>
        <w:tc>
          <w:tcPr>
            <w:tcW w:type="dxa" w:w="3216"/>
          </w:tcPr>
          <w:p>
            <w:r>
              <w:rPr>
                <w:b/>
              </w:rPr>
              <w:t>~16.5% vs 16.7%</w:t>
            </w:r>
            <w:r>
              <w:t xml:space="preserve"> (treatment-related)</w:t>
            </w:r>
          </w:p>
        </w:tc>
        <w:tc>
          <w:tcPr>
            <w:tcW w:type="dxa" w:w="3216"/>
          </w:tcPr>
          <w:p>
            <w:r>
              <w:t>Kiladjian; Gisslinger 2023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Drug-related discontinuation</w:t>
            </w:r>
          </w:p>
        </w:tc>
        <w:tc>
          <w:tcPr>
            <w:tcW w:type="dxa" w:w="3216"/>
          </w:tcPr>
          <w:p>
            <w:r>
              <w:t xml:space="preserve">Ropeg </w:t>
            </w:r>
            <w:r>
              <w:rPr>
                <w:b/>
              </w:rPr>
              <w:t>~8–11%</w:t>
            </w:r>
            <w:r>
              <w:t xml:space="preserve"> vs HU </w:t>
            </w:r>
            <w:r>
              <w:rPr>
                <w:b/>
              </w:rPr>
              <w:t>~2–4%</w:t>
            </w:r>
          </w:p>
        </w:tc>
        <w:tc>
          <w:tcPr>
            <w:tcW w:type="dxa" w:w="3216"/>
          </w:tcPr>
          <w:p>
            <w:r>
              <w:t xml:space="preserve">Kiladjian; HK PI ~ </w:t>
            </w:r>
            <w:r>
              <w:rPr>
                <w:b/>
              </w:rPr>
              <w:t>11.4% vs 2.4%</w:t>
            </w:r>
            <w:r>
              <w:t xml:space="preserve"> ; Gisslinger letter </w:t>
            </w:r>
            <w:r>
              <w:rPr>
                <w:b/>
              </w:rPr>
              <w:t>11.0% vs 2.4%</w:t>
            </w:r>
            <w:r>
              <w:t xml:space="preserve"> to 7.3 y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Japan Ph2, PI-like start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n=29</w:t>
            </w:r>
            <w:r>
              <w:t xml:space="preserve"> , start </w:t>
            </w:r>
            <w:r>
              <w:rPr>
                <w:b/>
              </w:rPr>
              <w:t>100 µg</w:t>
            </w:r>
            <w:r>
              <w:t xml:space="preserve"> ; </w:t>
            </w:r>
            <w:r>
              <w:rPr>
                <w:b/>
              </w:rPr>
              <w:t>alopecia 55.2%</w:t>
            </w:r>
            <w:r>
              <w:t xml:space="preserve"> — </w:t>
            </w:r>
            <w:r>
              <w:rPr>
                <w:b/>
              </w:rPr>
              <w:t>Medical gate:</w:t>
            </w:r>
            <w:r>
              <w:t xml:space="preserve"> Q&amp;A only unless cleared; </w:t>
            </w:r>
            <w:r>
              <w:rPr>
                <w:b/>
              </w:rPr>
              <w:t>not</w:t>
            </w:r>
            <w:r>
              <w:t xml:space="preserve"> on the 36-month table</w:t>
            </w:r>
          </w:p>
        </w:tc>
        <w:tc>
          <w:tcPr>
            <w:tcW w:type="dxa" w:w="3216"/>
          </w:tcPr>
          <w:p>
            <w:r>
              <w:t>Edahiro 2022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Pregnancy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Do not</w:t>
            </w:r>
            <w:r>
              <w:t xml:space="preserve"> use Bang 2023 (n=1). HK PI: not recommended; contraception during treatment and </w:t>
            </w:r>
            <w:r>
              <w:rPr>
                <w:b/>
              </w:rPr>
              <w:t>≥14 days after last dose</w:t>
            </w:r>
          </w:p>
        </w:tc>
        <w:tc>
          <w:tcPr>
            <w:tcW w:type="dxa" w:w="3216"/>
          </w:tcPr>
          <w:p>
            <w:r>
              <w:t>Label</w:t>
            </w:r>
          </w:p>
        </w:tc>
      </w:tr>
    </w:tbl>
    <w:p>
      <w:r/>
    </w:p>
    <w:p>
      <w:r/>
      <w:r>
        <w:rPr>
          <w:b/>
        </w:rPr>
        <w:t>Talk-track:</w:t>
      </w:r>
      <w:r>
        <w:t xml:space="preserve"> “Efficacy at 6 years is the reason to consider the product. Liver enzymes and IFN-class monitoring are the reason we </w:t>
      </w:r>
      <w:r>
        <w:rPr>
          <w:b/>
        </w:rPr>
        <w:t>start and titrate by the PI</w:t>
      </w:r>
      <w:r>
        <w:t>.”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10. HK product box — what to prescribe (5 min)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HK PI</w:t>
            </w:r>
          </w:p>
        </w:tc>
      </w:tr>
      <w:tr>
        <w:tc>
          <w:tcPr>
            <w:tcW w:type="dxa" w:w="4824"/>
          </w:tcPr>
          <w:p>
            <w:r>
              <w:t>Product</w:t>
            </w:r>
          </w:p>
        </w:tc>
        <w:tc>
          <w:tcPr>
            <w:tcW w:type="dxa" w:w="4824"/>
          </w:tcPr>
          <w:p>
            <w:r>
              <w:t>Besremi® ropeginterferon alfa-2b, 500 mcg/mL prefilled syringe (1 mL), SC</w:t>
            </w:r>
          </w:p>
        </w:tc>
      </w:tr>
      <w:tr>
        <w:tc>
          <w:tcPr>
            <w:tcW w:type="dxa" w:w="4824"/>
          </w:tcPr>
          <w:p>
            <w:r>
              <w:t>Indication</w:t>
            </w:r>
          </w:p>
        </w:tc>
        <w:tc>
          <w:tcPr>
            <w:tcW w:type="dxa" w:w="4824"/>
          </w:tcPr>
          <w:p>
            <w:r>
              <w:t xml:space="preserve">Monotherapy in adults for PV </w:t>
            </w:r>
            <w:r>
              <w:rPr>
                <w:b/>
              </w:rPr>
              <w:t>without symptomatic splenomegaly</w:t>
            </w:r>
          </w:p>
        </w:tc>
      </w:tr>
      <w:tr>
        <w:tc>
          <w:tcPr>
            <w:tcW w:type="dxa" w:w="4824"/>
          </w:tcPr>
          <w:p>
            <w:r>
              <w:t>Start</w:t>
            </w:r>
          </w:p>
        </w:tc>
        <w:tc>
          <w:tcPr>
            <w:tcW w:type="dxa" w:w="4824"/>
          </w:tcPr>
          <w:p>
            <w:r>
              <w:t xml:space="preserve">100 mcg q2w (50 mcg if already on another cytoreductive; also </w:t>
            </w:r>
            <w:r>
              <w:rPr>
                <w:b/>
              </w:rPr>
              <w:t>50 mcg</w:t>
            </w:r>
            <w:r>
              <w:t xml:space="preserve"> if severe renal impairment GFR 15–29)</w:t>
            </w:r>
          </w:p>
        </w:tc>
      </w:tr>
      <w:tr>
        <w:tc>
          <w:tcPr>
            <w:tcW w:type="dxa" w:w="4824"/>
          </w:tcPr>
          <w:p>
            <w:r>
              <w:t>Titration</w:t>
            </w:r>
          </w:p>
        </w:tc>
        <w:tc>
          <w:tcPr>
            <w:tcW w:type="dxa" w:w="4824"/>
          </w:tcPr>
          <w:p>
            <w:r>
              <w:t>+50 mcg every 2 weeks; taper the other cytoreductive in parallel</w:t>
            </w:r>
          </w:p>
        </w:tc>
      </w:tr>
      <w:tr>
        <w:tc>
          <w:tcPr>
            <w:tcW w:type="dxa" w:w="4824"/>
          </w:tcPr>
          <w:p>
            <w:r>
              <w:t>Targets</w:t>
            </w:r>
          </w:p>
        </w:tc>
        <w:tc>
          <w:tcPr>
            <w:tcW w:type="dxa" w:w="4824"/>
          </w:tcPr>
          <w:p>
            <w:r>
              <w:t>Hct &lt;45%; platelets &lt;400 × 10⁹/L; WBC &lt;10 × 10⁹/L</w:t>
            </w:r>
          </w:p>
        </w:tc>
      </w:tr>
      <w:tr>
        <w:tc>
          <w:tcPr>
            <w:tcW w:type="dxa" w:w="4824"/>
          </w:tcPr>
          <w:p>
            <w:r>
              <w:t>Max</w:t>
            </w:r>
          </w:p>
        </w:tc>
        <w:tc>
          <w:tcPr>
            <w:tcW w:type="dxa" w:w="4824"/>
          </w:tcPr>
          <w:p>
            <w:r>
              <w:t>500 mcg q2w</w:t>
            </w:r>
          </w:p>
        </w:tc>
      </w:tr>
      <w:tr>
        <w:tc>
          <w:tcPr>
            <w:tcW w:type="dxa" w:w="4824"/>
          </w:tcPr>
          <w:p>
            <w:r>
              <w:t>Maintenance</w:t>
            </w:r>
          </w:p>
        </w:tc>
        <w:tc>
          <w:tcPr>
            <w:tcW w:type="dxa" w:w="4824"/>
          </w:tcPr>
          <w:p>
            <w:r>
              <w:t xml:space="preserve">q2w for ≥1.5 years at stable dose; may extend to </w:t>
            </w:r>
            <w:r>
              <w:rPr>
                <w:b/>
              </w:rPr>
              <w:t>q4w</w:t>
            </w:r>
          </w:p>
        </w:tc>
      </w:tr>
      <w:tr>
        <w:tc>
          <w:tcPr>
            <w:tcW w:type="dxa" w:w="4824"/>
          </w:tcPr>
          <w:p>
            <w:r>
              <w:t>Injection</w:t>
            </w:r>
          </w:p>
        </w:tc>
        <w:tc>
          <w:tcPr>
            <w:tcW w:type="dxa" w:w="4824"/>
          </w:tcPr>
          <w:p>
            <w:r>
              <w:t>SC abdomen (≥5 cm from navel) or thigh; may be self-administered after training</w:t>
            </w:r>
          </w:p>
        </w:tc>
      </w:tr>
    </w:tbl>
    <w:p>
      <w:r/>
    </w:p>
    <w:p>
      <w:r/>
      <w:r>
        <w:rPr>
          <w:b/>
        </w:rPr>
        <w:t>Key contraindications (abbreviate verbally; full list on leave-behind):</w:t>
      </w:r>
      <w:r>
        <w:t xml:space="preserve"> hypersensitivity; </w:t>
      </w:r>
      <w:r>
        <w:rPr>
          <w:b/>
        </w:rPr>
        <w:t>pre-existing thyroid disease unless controlled</w:t>
      </w:r>
      <w:r>
        <w:t xml:space="preserve">; decompensated cirrhosis (Child-Pugh B/C); ESRD (GFR &lt;15); severe psychiatric history; severe uncontrolled CV disease; autoimmune disease; transplant immunosuppression; telbivudine combination. Child-Pugh A: no dose adjustment. Elderly: no adjustment. Paediatric: not established. Excipients of known effect: benzyl alcohol 10 mg/mL </w:t>
      </w:r>
      <w:r>
        <w:rPr>
          <w:b/>
        </w:rPr>
        <w:t>and</w:t>
      </w:r>
      <w:r>
        <w:t xml:space="preserve"> polysorbate 80.</w:t>
      </w:r>
      <w:r/>
    </w:p>
    <w:p>
      <w:r/>
      <w:r>
        <w:rPr>
          <w:b/>
        </w:rPr>
        <w:t>ADR:</w:t>
      </w:r>
      <w:r>
        <w:t xml:space="preserve"> suspected ADRs via Drug Office — http://www.drugoffice.gov.hk/adr.html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11. Access (field-only; not on HCP slide unless Medical-approved PSP wording exists)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Private now → HA Drug Formulary is the public-access goal.</w:t>
      </w:r>
      <w:r>
        <w:t xml:space="preserve"> Do not announce a listing date.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PSP:</w:t>
      </w:r>
      <w:r>
        <w:t xml:space="preserve"> Base Case (buy 5 get 1); Private Sector (buy 2 get 1, private only, first year, expires </w:t>
      </w:r>
      <w:r>
        <w:rPr>
          <w:b/>
        </w:rPr>
        <w:t>end 2026</w:t>
      </w:r>
      <w:r>
        <w:t xml:space="preserve">). Confirm current eligibility with market access </w:t>
      </w:r>
      <w:r>
        <w:rPr>
          <w:b/>
        </w:rPr>
        <w:t>before</w:t>
      </w:r>
      <w:r>
        <w:t xml:space="preserve"> quoting a physician.</w:t>
      </w:r>
      <w:r/>
    </w:p>
    <w:p>
      <w:pPr>
        <w:pStyle w:val="ListBullet"/>
        <w:spacing w:line="240" w:lineRule="auto"/>
        <w:ind w:left="720"/>
      </w:pPr>
      <w:r/>
      <w:r>
        <w:t xml:space="preserve">List price and PSP economics stay </w:t>
      </w:r>
      <w:r>
        <w:rPr>
          <w:b/>
        </w:rPr>
        <w:t>internal</w:t>
      </w:r>
      <w:r>
        <w:t>. Do not volunteer HK$ figures on a promotional slide.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 xml:space="preserve">11a. Low-PV — </w:t>
      </w:r>
      <w:r>
        <w:rPr>
          <w:b/>
        </w:rPr>
        <w:t>Medical-gated</w:t>
      </w:r>
      <w:r>
        <w:t xml:space="preserve"> (Barbui </w:t>
      </w:r>
      <w:r>
        <w:rPr>
          <w:i/>
        </w:rPr>
        <w:t>NEJM Evid</w:t>
      </w:r>
      <w:r>
        <w:t xml:space="preserve"> 2023) — skip unless Medical says yes (7 min)</w:t>
      </w:r>
      <w:r/>
    </w:p>
    <w:p>
      <w:r/>
      <w:r>
        <w:rPr>
          <w:b/>
        </w:rPr>
        <w:t>Gate for 26 Aug:</w:t>
      </w:r>
      <w:r>
        <w:t xml:space="preserve"> Medical Affairs </w:t>
      </w:r>
      <w:r>
        <w:rPr>
          <w:b/>
        </w:rPr>
        <w:t>yes / notes-only / out</w:t>
      </w:r>
      <w:r>
        <w:t xml:space="preserve"> in the room. If </w:t>
      </w:r>
      <w:r>
        <w:rPr>
          <w:b/>
        </w:rPr>
        <w:t>out</w:t>
      </w:r>
      <w:r>
        <w:t xml:space="preserve"> or </w:t>
      </w:r>
      <w:r>
        <w:rPr>
          <w:b/>
        </w:rPr>
        <w:t>notes-only</w:t>
      </w:r>
      <w:r>
        <w:t xml:space="preserve">, do </w:t>
      </w:r>
      <w:r>
        <w:rPr>
          <w:b/>
        </w:rPr>
        <w:t>not</w:t>
      </w:r>
      <w:r>
        <w:t xml:space="preserve"> put this on the projected core deck. If </w:t>
      </w:r>
      <w:r>
        <w:rPr>
          <w:b/>
        </w:rPr>
        <w:t>yes</w:t>
      </w:r>
      <w:r>
        <w:t xml:space="preserve">, use the </w:t>
      </w:r>
      <w:r>
        <w:rPr>
          <w:b/>
        </w:rPr>
        <w:t>two-regimen banner</w:t>
      </w:r>
      <w:r>
        <w:t xml:space="preserve"> and the </w:t>
      </w:r>
      <w:r>
        <w:rPr>
          <w:b/>
        </w:rPr>
        <w:t>n=36</w:t>
      </w:r>
      <w:r>
        <w:t xml:space="preserve"> caveat.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Must-say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Must-not</w:t>
            </w:r>
          </w:p>
        </w:tc>
      </w:tr>
      <w:tr>
        <w:tc>
          <w:tcPr>
            <w:tcW w:type="dxa" w:w="4824"/>
          </w:tcPr>
          <w:p>
            <w:r>
              <w:t xml:space="preserve">Low-risk PV, </w:t>
            </w:r>
            <w:r>
              <w:rPr>
                <w:b/>
              </w:rPr>
              <w:t>phlebotomy ± aspirin</w:t>
            </w:r>
            <w:r>
              <w:t xml:space="preserve"> vs </w:t>
            </w:r>
            <w:r>
              <w:rPr>
                <w:b/>
              </w:rPr>
              <w:t>ropeg 100 µg q2w fixed</w:t>
            </w:r>
          </w:p>
        </w:tc>
        <w:tc>
          <w:tcPr>
            <w:tcW w:type="dxa" w:w="4824"/>
          </w:tcPr>
          <w:p>
            <w:r>
              <w:t>“This is the HK PI regimen”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Primary 12-month:</w:t>
            </w:r>
            <w:r>
              <w:t xml:space="preserve"> </w:t>
            </w:r>
            <w:r>
              <w:rPr>
                <w:b/>
              </w:rPr>
              <w:t>81.3% vs 50.8%</w:t>
            </w:r>
            <w:r>
              <w:t xml:space="preserve"> composite (Hct control without phlebotomy + other criteria in the paper)</w:t>
            </w:r>
          </w:p>
        </w:tc>
        <w:tc>
          <w:tcPr>
            <w:tcW w:type="dxa" w:w="4824"/>
          </w:tcPr>
          <w:p>
            <w:r>
              <w:t xml:space="preserve">Quote </w:t>
            </w:r>
            <w:r>
              <w:rPr>
                <w:b/>
              </w:rPr>
              <w:t>94%</w:t>
            </w:r>
            <w:r>
              <w:t xml:space="preserve"> as if it were </w:t>
            </w:r>
            <w:r>
              <w:rPr>
                <w:b/>
              </w:rPr>
              <w:t>ITT 5-year response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5-year on-drug:</w:t>
            </w:r>
            <w:r>
              <w:t xml:space="preserve"> </w:t>
            </w:r>
            <w:r>
              <w:rPr>
                <w:b/>
              </w:rPr>
              <w:t>~94%</w:t>
            </w:r>
            <w:r>
              <w:t xml:space="preserve"> of </w:t>
            </w:r>
            <w:r>
              <w:rPr>
                <w:b/>
              </w:rPr>
              <w:t>n=36 still on treatment</w:t>
            </w:r>
            <w:r>
              <w:t xml:space="preserve"> maintained the composite; </w:t>
            </w:r>
            <w:r>
              <w:rPr>
                <w:b/>
              </w:rPr>
              <w:t>KM treatment survival ~58%</w:t>
            </w:r>
            <w:r>
              <w:t xml:space="preserve"> — people </w:t>
            </w:r>
            <w:r>
              <w:rPr>
                <w:b/>
              </w:rPr>
              <w:t>stopped</w:t>
            </w:r>
          </w:p>
        </w:tc>
        <w:tc>
          <w:tcPr>
            <w:tcW w:type="dxa" w:w="4824"/>
          </w:tcPr>
          <w:p>
            <w:r>
              <w:t>“94% of everyone randomized still responds at 5 years”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Role:</w:t>
            </w:r>
            <w:r>
              <w:t xml:space="preserve"> option when the question is </w:t>
            </w:r>
            <w:r>
              <w:rPr>
                <w:b/>
              </w:rPr>
              <w:t>early cytoreduction vs watch-and-phlebotomize</w:t>
            </w:r>
          </w:p>
        </w:tc>
        <w:tc>
          <w:tcPr>
            <w:tcW w:type="dxa" w:w="4824"/>
          </w:tcPr>
          <w:p>
            <w:r>
              <w:t xml:space="preserve">Replace </w:t>
            </w:r>
            <w:r>
              <w:rPr>
                <w:b/>
              </w:rPr>
              <w:t>PROUD-PV / CONTINUATION-PV</w:t>
            </w:r>
            <w:r>
              <w:t xml:space="preserve"> as the </w:t>
            </w:r>
            <w:r>
              <w:rPr>
                <w:b/>
              </w:rPr>
              <w:t>registrational</w:t>
            </w:r>
            <w:r>
              <w:t xml:space="preserve"> story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Two regimens:</w:t>
            </w:r>
            <w:r>
              <w:t xml:space="preserve"> Low-PV </w:t>
            </w:r>
            <w:r>
              <w:rPr>
                <w:b/>
              </w:rPr>
              <w:t>fixed 100 µg</w:t>
            </w:r>
            <w:r>
              <w:t xml:space="preserve"> ≠ HK PI </w:t>
            </w:r>
            <w:r>
              <w:rPr>
                <w:b/>
              </w:rPr>
              <w:t>100/50 +50 titration to 500</w:t>
            </w:r>
          </w:p>
        </w:tc>
        <w:tc>
          <w:tcPr>
            <w:tcW w:type="dxa" w:w="4824"/>
          </w:tcPr>
          <w:p>
            <w:r>
              <w:t>Flatten doses so a high-risk / HU-pretreated patient stays on 100 µg forever</w:t>
            </w:r>
          </w:p>
        </w:tc>
      </w:tr>
    </w:tbl>
    <w:p>
      <w:r/>
    </w:p>
    <w:p>
      <w:r/>
      <w:r>
        <w:t xml:space="preserve">NCCN </w:t>
      </w:r>
      <w:r>
        <w:rPr>
          <w:b/>
        </w:rPr>
        <w:t>low-risk</w:t>
      </w:r>
      <w:r>
        <w:t xml:space="preserve"> on Piece B still lists </w:t>
      </w:r>
      <w:r>
        <w:rPr>
          <w:b/>
        </w:rPr>
        <w:t>aspirin ± phlebotomy</w:t>
      </w:r>
      <w:r>
        <w:t xml:space="preserve"> and </w:t>
      </w:r>
      <w:r>
        <w:rPr>
          <w:b/>
        </w:rPr>
        <w:t>IFN if indicated</w:t>
      </w:r>
      <w:r>
        <w:t xml:space="preserve">. Low-PV is </w:t>
      </w:r>
      <w:r>
        <w:rPr>
          <w:b/>
        </w:rPr>
        <w:t>evidence under that fork</w:t>
      </w:r>
      <w:r>
        <w:t xml:space="preserve">, not a </w:t>
      </w:r>
      <w:r>
        <w:rPr>
          <w:b/>
        </w:rPr>
        <w:t>rewrite of NCCN</w:t>
      </w:r>
      <w:r>
        <w:t>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12. Objection handling (10 min)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Physician says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Compliant response</w:t>
            </w:r>
          </w:p>
        </w:tc>
      </w:tr>
      <w:tr>
        <w:tc>
          <w:tcPr>
            <w:tcW w:type="dxa" w:w="4824"/>
          </w:tcPr>
          <w:p>
            <w:r>
              <w:t>“NCCN prefers ropeg in low-risk — so I should start everyone.”</w:t>
            </w:r>
          </w:p>
        </w:tc>
        <w:tc>
          <w:tcPr>
            <w:tcW w:type="dxa" w:w="4824"/>
          </w:tcPr>
          <w:p>
            <w:r>
              <w:t xml:space="preserve">NCCN is US context on </w:t>
            </w:r>
            <w:r>
              <w:rPr>
                <w:rFonts w:ascii="Courier" w:hAnsi="Courier"/>
              </w:rPr>
              <w:t>PEC-BES-HK020126</w:t>
            </w:r>
            <w:r>
              <w:t xml:space="preserve"> . HK indication is adult PV </w:t>
            </w:r>
            <w:r>
              <w:rPr>
                <w:b/>
              </w:rPr>
              <w:t>without symptomatic splenomegaly</w:t>
            </w:r>
            <w:r>
              <w:t xml:space="preserve"> . Low-risk patients still need cytoreduction </w:t>
            </w:r>
            <w:r>
              <w:rPr>
                <w:b/>
              </w:rPr>
              <w:t>indications</w:t>
            </w:r>
            <w:r>
              <w:t xml:space="preserve"> (symptoms, phlebotomy intolerance, progressive counts, etc.).</w:t>
            </w:r>
          </w:p>
        </w:tc>
      </w:tr>
      <w:tr>
        <w:tc>
          <w:tcPr>
            <w:tcW w:type="dxa" w:w="4824"/>
          </w:tcPr>
          <w:p>
            <w:r>
              <w:t>“It failed at one year / lost to HU.”</w:t>
            </w:r>
          </w:p>
        </w:tc>
        <w:tc>
          <w:tcPr>
            <w:tcW w:type="dxa" w:w="4824"/>
          </w:tcPr>
          <w:p>
            <w:r>
              <w:t xml:space="preserve">Agree the </w:t>
            </w:r>
            <w:r>
              <w:rPr>
                <w:b/>
              </w:rPr>
              <w:t>12-month</w:t>
            </w:r>
            <w:r>
              <w:t xml:space="preserve"> CHR was </w:t>
            </w:r>
            <w:r>
              <w:rPr>
                <w:b/>
              </w:rPr>
              <w:t>43.1% vs 46.0%, p=0.63</w:t>
            </w:r>
            <w:r>
              <w:t xml:space="preserve"> — non-inferiority </w:t>
            </w:r>
            <w:r>
              <w:rPr>
                <w:b/>
              </w:rPr>
              <w:t>not met</w:t>
            </w:r>
            <w:r>
              <w:t xml:space="preserve"> . HU is faster. The reason to consider ropeg is </w:t>
            </w:r>
            <w:r>
              <w:rPr>
                <w:b/>
              </w:rPr>
              <w:t>72-month CHR 54.5% vs 34.9% (p=0.02)</w:t>
            </w:r>
            <w:r>
              <w:t xml:space="preserve"> and </w:t>
            </w:r>
            <w:r>
              <w:rPr>
                <w:b/>
              </w:rPr>
              <w:t>EFS 0.94 vs 0.82 (p=0.04)</w:t>
            </w:r>
            <w:r>
              <w:t xml:space="preserve"> — not a 12-month snapshot.</w:t>
            </w:r>
          </w:p>
        </w:tc>
      </w:tr>
      <w:tr>
        <w:tc>
          <w:tcPr>
            <w:tcW w:type="dxa" w:w="4824"/>
          </w:tcPr>
          <w:p>
            <w:r>
              <w:t>“HU is cheaper and faster.”</w:t>
            </w:r>
          </w:p>
        </w:tc>
        <w:tc>
          <w:tcPr>
            <w:tcW w:type="dxa" w:w="4824"/>
          </w:tcPr>
          <w:p>
            <w:r>
              <w:t>Agree that HU often drops counts faster (PI: ~2.6 vs ~3.7 months titration). Then: CHR at 72 months 54.5% vs 34.9% (p=0.02) and EFS 0.94 vs 0.82 (p=0.04) in PROUD-PV / CONTINUATION-PV. Match the drug to the time horizon and the patient.</w:t>
            </w:r>
          </w:p>
        </w:tc>
      </w:tr>
      <w:tr>
        <w:tc>
          <w:tcPr>
            <w:tcW w:type="dxa" w:w="4824"/>
          </w:tcPr>
          <w:p>
            <w:r>
              <w:t>“Start at 250–350–500 like HIDAT / China / SURPASS-ET.”</w:t>
            </w:r>
          </w:p>
        </w:tc>
        <w:tc>
          <w:tcPr>
            <w:tcW w:type="dxa" w:w="4824"/>
          </w:tcPr>
          <w:p>
            <w:r>
              <w:rPr>
                <w:b/>
              </w:rPr>
              <w:t>HK PI start is 100 µg</w:t>
            </w:r>
            <w:r>
              <w:t xml:space="preserve"> (50 if already on cytoreductive), +50 q2w, max 500. HIDAT and Jin 2023 China Ph2 are </w:t>
            </w:r>
            <w:r>
              <w:rPr>
                <w:b/>
              </w:rPr>
              <w:t>not</w:t>
            </w:r>
            <w:r>
              <w:t xml:space="preserve"> the local label. Jin is a </w:t>
            </w:r>
            <w:r>
              <w:rPr>
                <w:b/>
              </w:rPr>
              <w:t>protocol with no results</w:t>
            </w:r>
            <w:r>
              <w:t xml:space="preserve"> in our library — do not invent Chinese efficacy.</w:t>
            </w:r>
          </w:p>
        </w:tc>
      </w:tr>
      <w:tr>
        <w:tc>
          <w:tcPr>
            <w:tcW w:type="dxa" w:w="4824"/>
          </w:tcPr>
          <w:p>
            <w:r>
              <w:t>“Why is this so much more than Pegasys / China ropeg / traditional IFN?”</w:t>
            </w:r>
          </w:p>
        </w:tc>
        <w:tc>
          <w:tcPr>
            <w:tcW w:type="dxa" w:w="4824"/>
          </w:tcPr>
          <w:p>
            <w:r>
              <w:t>No head-to-head. PI forbids potency comparisons across the IFN class. Stay on PV evidence, q2w/q4w dosing, and named HU/phlebotomy data. Log the exchange.</w:t>
            </w:r>
          </w:p>
        </w:tc>
      </w:tr>
      <w:tr>
        <w:tc>
          <w:tcPr>
            <w:tcW w:type="dxa" w:w="4824"/>
          </w:tcPr>
          <w:p>
            <w:r>
              <w:t>“I want it for ET / MF.”</w:t>
            </w:r>
          </w:p>
        </w:tc>
        <w:tc>
          <w:tcPr>
            <w:tcW w:type="dxa" w:w="4824"/>
          </w:tcPr>
          <w:p>
            <w:r>
              <w:t xml:space="preserve">Not in HK PI. Reactive scientific exchange only; document in Veeva; do not leave Piece A’s ET/PMF columns as a mini-detail-aid. SURPASS-ET is an </w:t>
            </w:r>
            <w:r>
              <w:rPr>
                <w:b/>
              </w:rPr>
              <w:t>ET protocol, off-label here</w:t>
            </w:r>
            <w:r>
              <w:t xml:space="preserve"> .</w:t>
            </w:r>
          </w:p>
        </w:tc>
      </w:tr>
      <w:tr>
        <w:tc>
          <w:tcPr>
            <w:tcW w:type="dxa" w:w="4824"/>
          </w:tcPr>
          <w:p>
            <w:r>
              <w:t>“The poster shows ~80% CHR.” / “This page says 84.3%.”</w:t>
            </w:r>
          </w:p>
        </w:tc>
        <w:tc>
          <w:tcPr>
            <w:tcW w:type="dxa" w:w="4824"/>
          </w:tcPr>
          <w:p>
            <w:r>
              <w:rPr>
                <w:b/>
              </w:rPr>
              <w:t>84.3% (107/127)</w:t>
            </w:r>
            <w:r>
              <w:t xml:space="preserve"> is </w:t>
            </w:r>
            <w:r>
              <w:rPr>
                <w:b/>
              </w:rPr>
              <w:t>ever-CHR by 36 months</w:t>
            </w:r>
            <w:r>
              <w:t xml:space="preserve"> (footnote: criteria met at any time). The </w:t>
            </w:r>
            <w:r>
              <w:rPr>
                <w:b/>
              </w:rPr>
              <w:t>graph</w:t>
            </w:r>
            <w:r>
              <w:t xml:space="preserve"> is a snapshot/LOCF-style curve (~73% at 60 months). The </w:t>
            </w:r>
            <w:r>
              <w:rPr>
                <w:b/>
              </w:rPr>
              <w:t>PI-aligned primary</w:t>
            </w:r>
            <w:r>
              <w:t xml:space="preserve"> at 72 months is </w:t>
            </w:r>
            <w:r>
              <w:rPr>
                <w:b/>
              </w:rPr>
              <w:t>54.5% vs 34.9%</w:t>
            </w:r>
            <w:r>
              <w:t xml:space="preserve"> . Name which one you are quoting.</w:t>
            </w:r>
          </w:p>
        </w:tc>
      </w:tr>
      <w:tr>
        <w:tc>
          <w:tcPr>
            <w:tcW w:type="dxa" w:w="4824"/>
          </w:tcPr>
          <w:p>
            <w:r>
              <w:t>“Your graph shows 62% at 1 year, not 43%.”</w:t>
            </w:r>
          </w:p>
        </w:tc>
        <w:tc>
          <w:tcPr>
            <w:tcW w:type="dxa" w:w="4824"/>
          </w:tcPr>
          <w:p>
            <w:r>
              <w:t xml:space="preserve">Both are PROUD-PV/CONTINUATION-PV. </w:t>
            </w:r>
            <w:r>
              <w:rPr>
                <w:b/>
              </w:rPr>
              <w:t>43.1% vs 46%</w:t>
            </w:r>
            <w:r>
              <w:t xml:space="preserve"> is the </w:t>
            </w:r>
            <w:r>
              <w:rPr>
                <w:b/>
              </w:rPr>
              <w:t>ITT primary</w:t>
            </w:r>
            <w:r>
              <w:t xml:space="preserve"> (discontinued = failure). The </w:t>
            </w:r>
            <w:r>
              <w:rPr>
                <w:b/>
              </w:rPr>
              <w:t>green/yellow graph</w:t>
            </w:r>
            <w:r>
              <w:t xml:space="preserve"> is the 5-year CHR curve used on the leave-behind — HU is ahead at month 12 on that curve, which is the same clinical point as “HU is faster.”</w:t>
            </w:r>
          </w:p>
        </w:tc>
      </w:tr>
      <w:tr>
        <w:tc>
          <w:tcPr>
            <w:tcW w:type="dxa" w:w="4824"/>
          </w:tcPr>
          <w:p>
            <w:r>
              <w:t>“CHR is still significant at 5 years.”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</w:t>
            </w:r>
            <w:r>
              <w:t xml:space="preserve"> for the Gisslinger primary snapshot at month 60 ( </w:t>
            </w:r>
            <w:r>
              <w:rPr>
                <w:b/>
              </w:rPr>
              <w:t>55.8% vs 44.0%, p=0.097</w:t>
            </w:r>
            <w:r>
              <w:t xml:space="preserve"> ). The brochure graph is a </w:t>
            </w:r>
            <w:r>
              <w:rPr>
                <w:b/>
              </w:rPr>
              <w:t>different analysis</w:t>
            </w:r>
            <w:r>
              <w:t xml:space="preserve"> . Do not call the PI 5-year CHR significant.</w:t>
            </w:r>
          </w:p>
        </w:tc>
      </w:tr>
      <w:tr>
        <w:tc>
          <w:tcPr>
            <w:tcW w:type="dxa" w:w="4824"/>
          </w:tcPr>
          <w:p>
            <w:r>
              <w:t>“JAK2 went to 8% — can I stop?”</w:t>
            </w:r>
          </w:p>
        </w:tc>
        <w:tc>
          <w:tcPr>
            <w:tcW w:type="dxa" w:w="4824"/>
          </w:tcPr>
          <w:p>
            <w:r>
              <w:t xml:space="preserve">No TFR claim. 8% vs 44% at 60 months is </w:t>
            </w:r>
            <w:r>
              <w:rPr>
                <w:b/>
              </w:rPr>
              <w:t>allele-burden reduction on the brochure</w:t>
            </w:r>
            <w:r>
              <w:t xml:space="preserve"> , not a stopping rule.</w:t>
            </w:r>
          </w:p>
        </w:tc>
      </w:tr>
      <w:tr>
        <w:tc>
          <w:tcPr>
            <w:tcW w:type="dxa" w:w="4824"/>
          </w:tcPr>
          <w:p>
            <w:r>
              <w:t>“Will HA pay?”</w:t>
            </w:r>
          </w:p>
        </w:tc>
        <w:tc>
          <w:tcPr>
            <w:tcW w:type="dxa" w:w="4824"/>
          </w:tcPr>
          <w:p>
            <w:r>
              <w:t>Not listed as of this module. Private + PSP bridge. Formulary is the company milestone — no promised date.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Knowledge check (pass = all nine)</w:t>
      </w:r>
      <w:r/>
      <w:r/>
    </w:p>
    <w:p>
      <w:pPr>
        <w:pStyle w:val="ListNumber"/>
        <w:spacing w:line="240" w:lineRule="auto"/>
        <w:ind w:left="720"/>
      </w:pPr>
      <w:r/>
      <w:r>
        <w:t xml:space="preserve">HK indication in one sentence? </w:t>
      </w:r>
      <w:r/>
    </w:p>
    <w:p>
      <w:pPr>
        <w:pStyle w:val="ListNumber"/>
        <w:spacing w:line="240" w:lineRule="auto"/>
        <w:ind w:left="720"/>
      </w:pPr>
      <w:r/>
      <w:r>
        <w:t xml:space="preserve">Who is low-risk PV on Piece A? </w:t>
      </w:r>
      <w:r/>
    </w:p>
    <w:p>
      <w:pPr>
        <w:pStyle w:val="ListNumber"/>
        <w:spacing w:line="240" w:lineRule="auto"/>
        <w:ind w:left="720"/>
      </w:pPr>
      <w:r/>
      <w:r>
        <w:t xml:space="preserve">Year-1 PROUD-PV CHR vs HU, with p-value? </w:t>
      </w:r>
      <w:r/>
    </w:p>
    <w:p>
      <w:pPr>
        <w:pStyle w:val="ListNumber"/>
        <w:spacing w:line="240" w:lineRule="auto"/>
        <w:ind w:left="720"/>
      </w:pPr>
      <w:r/>
      <w:r>
        <w:t xml:space="preserve">Primary CHR at 72 months vs control, with p-value? </w:t>
      </w:r>
      <w:r/>
    </w:p>
    <w:p>
      <w:pPr>
        <w:pStyle w:val="ListNumber"/>
        <w:spacing w:line="240" w:lineRule="auto"/>
        <w:ind w:left="720"/>
      </w:pPr>
      <w:r/>
      <w:r>
        <w:t xml:space="preserve">What is </w:t>
      </w:r>
      <w:r>
        <w:rPr>
          <w:b/>
        </w:rPr>
        <w:t>84.3% (107/127)</w:t>
      </w:r>
      <w:r>
        <w:t xml:space="preserve"> on the brochure — snapshot or ever-response? </w:t>
      </w:r>
      <w:r/>
    </w:p>
    <w:p>
      <w:pPr>
        <w:pStyle w:val="ListNumber"/>
        <w:spacing w:line="240" w:lineRule="auto"/>
        <w:ind w:left="720"/>
      </w:pPr>
      <w:r/>
      <w:r>
        <w:t xml:space="preserve">EFS probabilities, p-value, and why EFS ≠ OS? </w:t>
      </w:r>
      <w:r/>
    </w:p>
    <w:p>
      <w:pPr>
        <w:pStyle w:val="ListNumber"/>
        <w:spacing w:line="240" w:lineRule="auto"/>
        <w:ind w:left="720"/>
      </w:pPr>
      <w:r/>
      <w:r>
        <w:t xml:space="preserve">HK start dose — and what HIDAT number you must </w:t>
      </w:r>
      <w:r>
        <w:rPr>
          <w:b/>
        </w:rPr>
        <w:t>not</w:t>
      </w:r>
      <w:r>
        <w:t xml:space="preserve"> teach as the local start? </w:t>
      </w:r>
      <w:r/>
    </w:p>
    <w:p>
      <w:pPr>
        <w:pStyle w:val="ListNumber"/>
        <w:spacing w:line="240" w:lineRule="auto"/>
        <w:ind w:left="720"/>
      </w:pPr>
      <w:r/>
      <w:r>
        <w:t xml:space="preserve">What is forbidden when a physician asks about Pegasys? </w:t>
      </w:r>
      <w:r/>
    </w:p>
    <w:p>
      <w:pPr>
        <w:pStyle w:val="ListNumber"/>
        <w:spacing w:line="240" w:lineRule="auto"/>
        <w:ind w:left="720"/>
      </w:pPr>
      <w:r/>
      <w:r>
        <w:t>Low-PV 100 µg vs PI titration — same regimen or two regimens, and who gates the slide?</w:t>
      </w:r>
      <w:r/>
      <w:r/>
    </w:p>
    <w:p>
      <w:r/>
      <w:r>
        <w:rPr>
          <w:b/>
        </w:rPr>
        <w:t>Answers:</w:t>
      </w:r>
      <w:r>
        <w:t xml:space="preserve"> (1) Adult monotherapy for PV without symptomatic splenomegaly. (2) Age &lt;60 </w:t>
      </w:r>
      <w:r>
        <w:rPr>
          <w:b/>
        </w:rPr>
        <w:t>and</w:t>
      </w:r>
      <w:r>
        <w:t xml:space="preserve"> no thrombosis history. (3) </w:t>
      </w:r>
      <w:r>
        <w:rPr>
          <w:b/>
        </w:rPr>
        <w:t>43.1% vs 46.0%, p=0.63</w:t>
      </w:r>
      <w:r>
        <w:t xml:space="preserve"> (NS; non-inferiority not met). (4) 54.5% vs 34.9%, p=0.02. (5) </w:t>
      </w:r>
      <w:r>
        <w:rPr>
          <w:b/>
        </w:rPr>
        <w:t>Ever-CHR by 36 months</w:t>
      </w:r>
      <w:r>
        <w:t xml:space="preserve"> (criteria met at any time) — </w:t>
      </w:r>
      <w:r>
        <w:rPr>
          <w:b/>
        </w:rPr>
        <w:t>not</w:t>
      </w:r>
      <w:r>
        <w:t xml:space="preserve"> the 5-year graph snapshot and </w:t>
      </w:r>
      <w:r>
        <w:rPr>
          <w:b/>
        </w:rPr>
        <w:t>not</w:t>
      </w:r>
      <w:r>
        <w:t xml:space="preserve"> the 72-month primary. (6) 0.94 vs 0.82, p=0.04; composite of TE / progression / death — </w:t>
      </w:r>
      <w:r>
        <w:rPr>
          <w:b/>
        </w:rPr>
        <w:t>not</w:t>
      </w:r>
      <w:r>
        <w:t xml:space="preserve"> overall survival. (7) </w:t>
      </w:r>
      <w:r>
        <w:rPr>
          <w:b/>
        </w:rPr>
        <w:t>100 µg</w:t>
      </w:r>
      <w:r>
        <w:t xml:space="preserve"> q2w (50 if already on cytoreductive or GFR 15–29); </w:t>
      </w:r>
      <w:r>
        <w:rPr>
          <w:b/>
        </w:rPr>
        <w:t>do not</w:t>
      </w:r>
      <w:r>
        <w:t xml:space="preserve"> teach </w:t>
      </w:r>
      <w:r>
        <w:rPr>
          <w:b/>
        </w:rPr>
        <w:t>250–350–500</w:t>
      </w:r>
      <w:r>
        <w:t xml:space="preserve"> as HK start. (8) IFN-to-IFN superiority / potency comparison. (9) </w:t>
      </w:r>
      <w:r>
        <w:rPr>
          <w:b/>
        </w:rPr>
        <w:t>Two regimens</w:t>
      </w:r>
      <w:r>
        <w:t>; Medical yes/no in the room.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Abbreviated PI block (required on HCP-facing leave-behinds)</w:t>
      </w:r>
      <w:r/>
    </w:p>
    <w:p>
      <w:r/>
      <w:r>
        <w:rPr>
          <w:b/>
        </w:rPr>
        <w:t>Besremi® (ropeginterferon alfa-2b)</w:t>
      </w:r>
      <w:r>
        <w:t xml:space="preserve"> solution for injection, 500 mcg/mL prefilled syringe.</w:t>
        <w:br/>
      </w:r>
      <w:r/>
      <w:r>
        <w:rPr>
          <w:b/>
        </w:rPr>
        <w:t>Indication (HK):</w:t>
      </w:r>
      <w:r>
        <w:t xml:space="preserve"> monotherapy in adults for polycythaemia vera without symptomatic splenomegaly.</w:t>
        <w:br/>
      </w:r>
      <w:r/>
      <w:r>
        <w:rPr>
          <w:b/>
        </w:rPr>
        <w:t>Dosage:</w:t>
      </w:r>
      <w:r>
        <w:t xml:space="preserve"> start 100 mcg SC q2w (50 mcg if switching from other cytoreductive); increase by 50 mcg q2w to hematologic targets; max 500 mcg q2w; may extend to q4w after ≥1.5 years stable.</w:t>
        <w:br/>
      </w:r>
      <w:r/>
      <w:r>
        <w:rPr>
          <w:b/>
        </w:rPr>
        <w:t>Contraindications:</w:t>
      </w:r>
      <w:r>
        <w:t xml:space="preserve"> include decompensated cirrhosis, ESRD GFR &lt;15, severe psychiatric disease, severe uncontrolled CV disease, autoimmune disease, immunosuppression after transplant, telbivudine, hypersensitivity.</w:t>
        <w:br/>
      </w:r>
      <w:r/>
      <w:r>
        <w:rPr>
          <w:b/>
        </w:rPr>
        <w:t>Undesirable effects:</w:t>
      </w:r>
      <w:r>
        <w:t xml:space="preserve"> interferon-class effects (influenza-like symptoms, liver enzyme elevation, cytopenias, psychiatric, autoimmune, ischemic) — see full PI.</w:t>
        <w:br/>
      </w:r>
      <w:r/>
      <w:r>
        <w:rPr>
          <w:b/>
        </w:rPr>
        <w:t>ADR reporting:</w:t>
      </w:r>
      <w:r>
        <w:t xml:space="preserve"> http://www.drugoffice.gov.hk/adr.html</w:t>
        <w:br/>
      </w:r>
      <w:r/>
      <w:r>
        <w:rPr>
          <w:b/>
        </w:rPr>
        <w:t>Approval / PI date:</w:t>
      </w:r>
      <w:r>
        <w:t xml:space="preserve"> insert current HK registered PI date before print.</w:t>
        <w:br/>
      </w:r>
      <w:r/>
      <w:r>
        <w:rPr>
          <w:i/>
        </w:rPr>
        <w:t>This training module is not the PI. Always refer to the current Hong Kong package insert.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HA formulary impact</w:t>
      </w:r>
      <w:r/>
    </w:p>
    <w:p>
      <w:r/>
      <w:r>
        <w:t xml:space="preserve">A certified, lexicon-aligned physician narrative (CHR + EFS vs HU, disease-modification goals, honest titration) is the same evidence spine as the HA dossier. Misuse of NCCN “preferred” or HU scare statistics in the private market creates a </w:t>
      </w:r>
      <w:r>
        <w:rPr>
          <w:b/>
        </w:rPr>
        <w:t>compliance and credibility risk</w:t>
      </w:r>
      <w:r>
        <w:t xml:space="preserve"> that can follow the brand into formulary Q&amp;A. Keep private-market talk-tracks identical in substance to what Medical will defend at HA.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PSP reminder</w:t>
      </w:r>
      <w:r/>
    </w:p>
    <w:p>
      <w:r/>
      <w:r>
        <w:t xml:space="preserve">Quote only live programs: Base Case (buy 5 get 1) and Private Sector (buy 2 get 1, private, first year, </w:t>
      </w:r>
      <w:r>
        <w:rPr>
          <w:b/>
        </w:rPr>
        <w:t>ends 2026</w:t>
      </w:r>
      <w:r>
        <w:t>). Re-confirm with market access before each HCP conversation as the 2026 expiry approaches.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Assumptions</w:t>
      </w:r>
      <w:r/>
      <w:r/>
    </w:p>
    <w:p>
      <w:pPr>
        <w:pStyle w:val="ListBullet"/>
        <w:spacing w:line="240" w:lineRule="auto"/>
        <w:ind w:left="720"/>
      </w:pPr>
      <w:r/>
      <w:r>
        <w:t>~500 PV patients in HK (planning figure in role memory).</w:t>
      </w:r>
      <w:r/>
    </w:p>
    <w:p>
      <w:pPr>
        <w:pStyle w:val="ListBullet"/>
        <w:spacing w:line="240" w:lineRule="auto"/>
        <w:ind w:left="720"/>
      </w:pPr>
      <w:r/>
      <w:r>
        <w:t xml:space="preserve">Pieces A and B are the attached approved-style artworks; Piece B reference code </w:t>
      </w:r>
      <w:r>
        <w:rPr>
          <w:rFonts w:ascii="Courier" w:hAnsi="Courier"/>
        </w:rPr>
        <w:t>PEC-BES-HK020126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t>Global lexicon still permits named PROUD-PV / CONTINUATION-PV CHR and EFS claims vs HU/BAT.</w:t>
      </w:r>
      <w:r/>
    </w:p>
    <w:p>
      <w:pPr>
        <w:pStyle w:val="ListBullet"/>
        <w:spacing w:line="240" w:lineRule="auto"/>
        <w:ind w:left="720"/>
      </w:pPr>
      <w:r/>
      <w:r>
        <w:t xml:space="preserve">NCCN language on Piece B has already been artwork-approved for HK scientific use; this module does </w:t>
      </w:r>
      <w:r>
        <w:rPr>
          <w:b/>
        </w:rPr>
        <w:t>not</w:t>
      </w:r>
      <w:r>
        <w:t xml:space="preserve"> newly adopt NCCN as a local claim.</w:t>
      </w:r>
      <w:r/>
      <w:r/>
    </w:p>
    <w:p>
      <w:pPr>
        <w:pStyle w:val="Heading2"/>
      </w:pPr>
      <w:r>
        <w:t>Risks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Compliance:</w:t>
      </w:r>
      <w:r>
        <w:t xml:space="preserve"> NCCN “preferred,” HU 10-year mortality/MF percentages, and the CHR line graph can all over-claim if the field paraphrases them. Mitigant: primary 54.5% + EFS p=0.04 as the only comparative headlines; posters as visual support with footnotes.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Cherry-pick accusation:</w:t>
      </w:r>
      <w:r>
        <w:t xml:space="preserve"> Showing only month 72 without </w:t>
      </w:r>
      <w:r>
        <w:rPr>
          <w:b/>
        </w:rPr>
        <w:t>43% vs 46%</w:t>
      </w:r>
      <w:r>
        <w:t xml:space="preserve"> at month 12. Mitigant: year-1 slide </w:t>
      </w:r>
      <w:r>
        <w:rPr>
          <w:b/>
        </w:rPr>
        <w:t>before</w:t>
      </w:r>
      <w:r>
        <w:t xml:space="preserve"> the win.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Off-label drift:</w:t>
      </w:r>
      <w:r>
        <w:t xml:space="preserve"> Piece A’s ET/PMF columns invite “do you have data in ET?” Mitigant: 80/20 PV time split; reactive-only script.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Dose mix-up:</w:t>
      </w:r>
      <w:r>
        <w:t xml:space="preserve"> Low-PV </w:t>
      </w:r>
      <w:r>
        <w:rPr>
          <w:b/>
        </w:rPr>
        <w:t>fixed 100 µg</w:t>
      </w:r>
      <w:r>
        <w:t xml:space="preserve"> taught as if it were the HK PI titration. Mitigant: Medical gate + two-regimen banner; HIDAT 250–350–500 certified as </w:t>
      </w:r>
      <w:r>
        <w:rPr>
          <w:b/>
        </w:rPr>
        <w:t>do-not-use</w:t>
      </w:r>
      <w:r>
        <w:t>.</w:t>
      </w:r>
      <w:r/>
      <w:r/>
    </w:p>
    <w:p>
      <w:pPr>
        <w:pStyle w:val="Heading2"/>
      </w:pPr>
      <w:r>
        <w:t>Next actions (role owners)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For 26 Aug</w:t>
            </w:r>
          </w:p>
        </w:tc>
      </w:tr>
      <w:tr>
        <w:tc>
          <w:tcPr>
            <w:tcW w:type="dxa" w:w="3216"/>
          </w:tcPr>
          <w:p>
            <w:r>
              <w:t xml:space="preserve">Capture Low-PV gate: </w:t>
            </w:r>
            <w:r>
              <w:rPr>
                <w:b/>
              </w:rPr>
              <w:t>core / notes-only / out</w:t>
            </w:r>
          </w:p>
        </w:tc>
        <w:tc>
          <w:tcPr>
            <w:tcW w:type="dxa" w:w="3216"/>
          </w:tcPr>
          <w:p>
            <w:r>
              <w:t>Medical</w:t>
            </w:r>
          </w:p>
        </w:tc>
        <w:tc>
          <w:tcPr>
            <w:tcW w:type="dxa" w:w="3216"/>
          </w:tcPr>
          <w:p>
            <w:r>
              <w:t>In the room</w:t>
            </w:r>
          </w:p>
        </w:tc>
      </w:tr>
      <w:tr>
        <w:tc>
          <w:tcPr>
            <w:tcW w:type="dxa" w:w="3216"/>
          </w:tcPr>
          <w:p>
            <w:r>
              <w:t xml:space="preserve">Edahiro alopecia 55.2%: </w:t>
            </w:r>
            <w:r>
              <w:rPr>
                <w:b/>
              </w:rPr>
              <w:t>say / Q&amp;A only</w:t>
            </w:r>
          </w:p>
        </w:tc>
        <w:tc>
          <w:tcPr>
            <w:tcW w:type="dxa" w:w="3216"/>
          </w:tcPr>
          <w:p>
            <w:r>
              <w:t>Medical</w:t>
            </w:r>
          </w:p>
        </w:tc>
        <w:tc>
          <w:tcPr>
            <w:tcW w:type="dxa" w:w="3216"/>
          </w:tcPr>
          <w:p>
            <w:r>
              <w:t>In the room</w:t>
            </w:r>
          </w:p>
        </w:tc>
      </w:tr>
      <w:tr>
        <w:tc>
          <w:tcPr>
            <w:tcW w:type="dxa" w:w="3216"/>
          </w:tcPr>
          <w:p>
            <w:r>
              <w:t>Confirm audience is internal-only vs HCP present (if HCP: abbreviated PI; ≥2/3 science)</w:t>
            </w:r>
          </w:p>
        </w:tc>
        <w:tc>
          <w:tcPr>
            <w:tcW w:type="dxa" w:w="3216"/>
          </w:tcPr>
          <w:p>
            <w:r>
              <w:t>PM + Compliance</w:t>
            </w:r>
          </w:p>
        </w:tc>
        <w:tc>
          <w:tcPr>
            <w:tcW w:type="dxa" w:w="3216"/>
          </w:tcPr>
          <w:p>
            <w:r>
              <w:t>Before open</w:t>
            </w:r>
          </w:p>
        </w:tc>
      </w:tr>
      <w:tr>
        <w:tc>
          <w:tcPr>
            <w:tcW w:type="dxa" w:w="3216"/>
          </w:tcPr>
          <w:p>
            <w:r>
              <w:t>Clear this module + Piece A/B talk-tracks vs current global lexicon and HK PI</w:t>
            </w:r>
          </w:p>
        </w:tc>
        <w:tc>
          <w:tcPr>
            <w:tcW w:type="dxa" w:w="3216"/>
          </w:tcPr>
          <w:p>
            <w:r>
              <w:t>Medical / Regulatory</w:t>
            </w:r>
          </w:p>
        </w:tc>
        <w:tc>
          <w:tcPr>
            <w:tcW w:type="dxa" w:w="3216"/>
          </w:tcPr>
          <w:p>
            <w:r>
              <w:t>After dry-run edits</w:t>
            </w:r>
          </w:p>
        </w:tc>
      </w:tr>
      <w:tr>
        <w:tc>
          <w:tcPr>
            <w:tcW w:type="dxa" w:w="3216"/>
          </w:tcPr>
          <w:p>
            <w:r>
              <w:t>HKAPI/UMAO review of HCP slide HTML and any printed leave-behind</w:t>
            </w:r>
          </w:p>
        </w:tc>
        <w:tc>
          <w:tcPr>
            <w:tcW w:type="dxa" w:w="3216"/>
          </w:tcPr>
          <w:p>
            <w:r>
              <w:t>Legal / Compliance</w:t>
            </w:r>
          </w:p>
        </w:tc>
        <w:tc>
          <w:tcPr>
            <w:tcW w:type="dxa" w:w="3216"/>
          </w:tcPr>
          <w:p>
            <w:r>
              <w:t>Before field use</w:t>
            </w:r>
          </w:p>
        </w:tc>
      </w:tr>
      <w:tr>
        <w:tc>
          <w:tcPr>
            <w:tcW w:type="dxa" w:w="3216"/>
          </w:tcPr>
          <w:p>
            <w:r>
              <w:t>Insert current PI approval date into abbreviated PI block</w:t>
            </w:r>
          </w:p>
        </w:tc>
        <w:tc>
          <w:tcPr>
            <w:tcW w:type="dxa" w:w="3216"/>
          </w:tcPr>
          <w:p>
            <w:r>
              <w:t>PM</w:t>
            </w:r>
          </w:p>
        </w:tc>
        <w:tc>
          <w:tcPr>
            <w:tcW w:type="dxa" w:w="3216"/>
          </w:tcPr>
          <w:p>
            <w:r>
              <w:t>Before print</w:t>
            </w:r>
          </w:p>
        </w:tc>
      </w:tr>
      <w:tr>
        <w:tc>
          <w:tcPr>
            <w:tcW w:type="dxa" w:w="3216"/>
          </w:tcPr>
          <w:p>
            <w:r>
              <w:t>Field certification (eight-question knowledge check) before first HCP use</w:t>
            </w:r>
          </w:p>
        </w:tc>
        <w:tc>
          <w:tcPr>
            <w:tcW w:type="dxa" w:w="3216"/>
          </w:tcPr>
          <w:p>
            <w:r>
              <w:t>PM + sales lead</w:t>
            </w:r>
          </w:p>
        </w:tc>
        <w:tc>
          <w:tcPr>
            <w:tcW w:type="dxa" w:w="3216"/>
          </w:tcPr>
          <w:p>
            <w:r>
              <w:t>After Medical tick</w:t>
            </w:r>
          </w:p>
        </w:tc>
      </w:tr>
      <w:tr>
        <w:tc>
          <w:tcPr>
            <w:tcW w:type="dxa" w:w="3216"/>
          </w:tcPr>
          <w:p>
            <w:r>
              <w:t>Confirm PSP scripts still match live terms</w:t>
            </w:r>
          </w:p>
        </w:tc>
        <w:tc>
          <w:tcPr>
            <w:tcW w:type="dxa" w:w="3216"/>
          </w:tcPr>
          <w:p>
            <w:r>
              <w:t>Market access / finance</w:t>
            </w:r>
          </w:p>
        </w:tc>
        <w:tc>
          <w:tcPr>
            <w:tcW w:type="dxa" w:w="3216"/>
          </w:tcPr>
          <w:p>
            <w:r>
              <w:t>Before quoting</w:t>
            </w:r>
          </w:p>
        </w:tc>
      </w:tr>
      <w:tr>
        <w:tc>
          <w:tcPr>
            <w:tcW w:type="dxa" w:w="3216"/>
          </w:tcPr>
          <w:p>
            <w:r>
              <w:t xml:space="preserve">Do </w:t>
            </w:r>
            <w:r>
              <w:rPr>
                <w:b/>
              </w:rPr>
              <w:t>not</w:t>
            </w:r>
            <w:r>
              <w:t xml:space="preserve"> add ET/MF efficacy, HIDAT start, pregnancy, or Novartis early-MF PDF</w:t>
            </w:r>
          </w:p>
        </w:tc>
        <w:tc>
          <w:tcPr>
            <w:tcW w:type="dxa" w:w="3216"/>
          </w:tcPr>
          <w:p>
            <w:r>
              <w:t>All</w:t>
            </w:r>
          </w:p>
        </w:tc>
        <w:tc>
          <w:tcPr>
            <w:tcW w:type="dxa" w:w="3216"/>
          </w:tcPr>
          <w:p>
            <w:r>
              <w:t>Always</w:t>
            </w:r>
          </w:p>
        </w:tc>
      </w:tr>
    </w:tbl>
    <w:p>
      <w:r/>
    </w:p>
    <w:p>
      <w:pPr>
        <w:pStyle w:val="Heading2"/>
      </w:pPr>
      <w:r>
        <w:t>References (training, not a promotional footnote block)</w:t>
      </w:r>
      <w:r/>
      <w:r/>
    </w:p>
    <w:p>
      <w:pPr>
        <w:pStyle w:val="ListBullet"/>
        <w:spacing w:line="240" w:lineRule="auto"/>
        <w:ind w:left="720"/>
      </w:pPr>
      <w:r/>
      <w:r>
        <w:t xml:space="preserve">Piece B artwork </w:t>
      </w:r>
      <w:r>
        <w:rPr>
          <w:rFonts w:ascii="Courier" w:hAnsi="Courier"/>
        </w:rPr>
        <w:t>PEC-BES-HK020126</w:t>
      </w:r>
      <w:r>
        <w:t xml:space="preserve"> (NCCN pathway, HU long-term rates, CHR/EFS visuals)</w:t>
      </w:r>
      <w:r/>
    </w:p>
    <w:p>
      <w:pPr>
        <w:pStyle w:val="ListBullet"/>
        <w:spacing w:line="240" w:lineRule="auto"/>
        <w:ind w:left="720"/>
      </w:pPr>
      <w:r/>
      <w:r>
        <w:t xml:space="preserve">Gisslinger H, et al. </w:t>
      </w:r>
      <w:r>
        <w:rPr>
          <w:i/>
        </w:rPr>
        <w:t>Leukemia</w:t>
      </w:r>
      <w:r>
        <w:t>. 2023. PROUD-PV / CONTINUATION-PV EFS and CHR (including LOCF sensitivity)</w:t>
      </w:r>
      <w:r/>
    </w:p>
    <w:p>
      <w:pPr>
        <w:pStyle w:val="ListBullet"/>
        <w:spacing w:line="240" w:lineRule="auto"/>
        <w:ind w:left="720"/>
      </w:pPr>
      <w:r/>
      <w:r>
        <w:t xml:space="preserve">Kiladjian J-J, et al. </w:t>
      </w:r>
      <w:r>
        <w:rPr>
          <w:i/>
        </w:rPr>
        <w:t>Lancet Haematol</w:t>
      </w:r>
      <w:r>
        <w:t>. (PROUD-PV 12-month CHR 43% vs 46%; safety)</w:t>
      </w:r>
      <w:r/>
    </w:p>
    <w:p>
      <w:pPr>
        <w:pStyle w:val="ListBullet"/>
        <w:spacing w:line="240" w:lineRule="auto"/>
        <w:ind w:left="720"/>
      </w:pPr>
      <w:r/>
      <w:r>
        <w:t xml:space="preserve">Barbui T, et al. </w:t>
      </w:r>
      <w:r>
        <w:rPr>
          <w:i/>
        </w:rPr>
        <w:t>NEJM Evidence</w:t>
      </w:r>
      <w:r>
        <w:t xml:space="preserve">. 2023. Low-PV vs phlebotomy — </w:t>
      </w:r>
      <w:r>
        <w:rPr>
          <w:b/>
        </w:rPr>
        <w:t>gated</w:t>
      </w:r>
      <w:r/>
    </w:p>
    <w:p>
      <w:pPr>
        <w:pStyle w:val="ListBullet"/>
        <w:spacing w:line="240" w:lineRule="auto"/>
        <w:ind w:left="720"/>
      </w:pPr>
      <w:r/>
      <w:r>
        <w:t xml:space="preserve">Edahiro Y, et al. 2022. Japan Ph2, PI-like 100 µg start; alopecia 55.2% — </w:t>
      </w:r>
      <w:r>
        <w:rPr>
          <w:b/>
        </w:rPr>
        <w:t>Medical gate</w:t>
      </w:r>
      <w:r/>
    </w:p>
    <w:p>
      <w:pPr>
        <w:pStyle w:val="ListBullet"/>
        <w:spacing w:line="240" w:lineRule="auto"/>
        <w:ind w:left="720"/>
      </w:pPr>
      <w:r/>
      <w:r>
        <w:t>AMWG 2023 (Gill, Kwong, HKU) — Asia overlay, not HA</w:t>
      </w:r>
      <w:r/>
    </w:p>
    <w:p>
      <w:pPr>
        <w:pStyle w:val="ListBullet"/>
        <w:spacing w:line="240" w:lineRule="auto"/>
        <w:ind w:left="720"/>
      </w:pPr>
      <w:r/>
      <w:r>
        <w:t xml:space="preserve">HK PI — Besremi (see </w:t>
      </w:r>
      <w:r>
        <w:rPr>
          <w:rFonts w:ascii="Courier" w:hAnsi="Courier"/>
        </w:rPr>
        <w:t>besremi-hk-pi-summary.md</w:t>
      </w:r>
      <w:r>
        <w:t>)</w:t>
      </w:r>
      <w:r/>
    </w:p>
    <w:p>
      <w:pPr>
        <w:pStyle w:val="ListBullet"/>
        <w:spacing w:line="240" w:lineRule="auto"/>
        <w:ind w:left="720"/>
      </w:pPr>
      <w:r/>
      <w:r>
        <w:t>NCCN Guidelines — Myeloproliferative Neoplasms (US; as depicted on Piece B)</w:t>
      </w:r>
      <w:r/>
    </w:p>
    <w:p>
      <w:pPr>
        <w:pStyle w:val="ListBullet"/>
        <w:spacing w:line="240" w:lineRule="auto"/>
        <w:ind w:left="720"/>
      </w:pPr>
      <w:r/>
      <w:r>
        <w:t>WHO 2016 PV diagnostic criteria (as depicted on Piece A)</w:t>
      </w:r>
      <w:r/>
    </w:p>
    <w:p>
      <w:pPr>
        <w:pStyle w:val="ListBullet"/>
        <w:spacing w:line="240" w:lineRule="auto"/>
        <w:ind w:left="720"/>
      </w:pPr>
      <w:r/>
      <w:r>
        <w:t>HKAPI Code of Practice 21st ed. §§3.5, 4, 5; UMAO Cap. 231</w:t>
      </w:r>
      <w:r/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PharmaEssentia Asia (Hong Kong) Limited  ·  Mid sensitivity  ·  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E07A2F"/>
        <w:sz w:val="18"/>
      </w:rPr>
      <w:t>DRAFT — NOT FOR FIELD USE  |  BESREMi physician training v3  |  brochure-first  |  26 Aug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physician-product-training-meeting-brief.md" TargetMode="External"/><Relationship Id="rId12" Type="http://schemas.openxmlformats.org/officeDocument/2006/relationships/hyperlink" Target="hcp-meeting-script-liang-20260826.md" TargetMode="External"/><Relationship Id="rId13" Type="http://schemas.openxmlformats.org/officeDocument/2006/relationships/hyperlink" Target="physician-product-training.md" TargetMode="External"/><Relationship Id="rId14" Type="http://schemas.openxmlformats.org/officeDocument/2006/relationships/hyperlink" Target="physician-product-training.docx" TargetMode="External"/><Relationship Id="rId15" Type="http://schemas.openxmlformats.org/officeDocument/2006/relationships/hyperlink" Target="physician-product-training-compliance.md" TargetMode="External"/><Relationship Id="rId16" Type="http://schemas.openxmlformats.org/officeDocument/2006/relationships/hyperlink" Target="physician-product-training-slides.html" TargetMode="External"/><Relationship Id="rId17" Type="http://schemas.openxmlformats.org/officeDocument/2006/relationships/hyperlink" Target="physician-product-training-brochure-map.md" TargetMode="External"/><Relationship Id="rId18" Type="http://schemas.openxmlformats.org/officeDocument/2006/relationships/hyperlink" Target="physician-product-training-gaps.md" TargetMode="External"/><Relationship Id="rId19" Type="http://schemas.openxmlformats.org/officeDocument/2006/relationships/hyperlink" Target="hcp-meeting-script-liang-20260826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