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 w:eastAsia="Calibri"/>
          <w:b/>
          <w:color w:val="C00000"/>
          <w:sz w:val="20"/>
        </w:rPr>
        <w:t>INTERNAL REHEARSAL ONLY — not an approved leave-behind, detail aid, or patient material. Any HCP-facing use requires Medical + Compliance + global lexicon clearance.</w:t>
      </w:r>
    </w:p>
    <w:p>
      <w:pPr>
        <w:pStyle w:val="Title"/>
      </w:pPr>
      <w:r>
        <w:rPr>
          <w:color w:val="1F4E79"/>
        </w:rPr>
        <w:t>BESREMi HK PM — Pegasys claim check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Pegasys difference — claim check (HK PM)</w:t>
      </w:r>
    </w:p>
    <w:p>
      <w:pPr>
        <w:spacing w:after="200"/>
        <w:ind w:left="360"/>
      </w:pPr>
      <w:r>
        <w:rPr>
          <w:rFonts w:ascii="Calibri" w:hAnsi="Calibri" w:eastAsia="Calibri"/>
          <w:b/>
          <w:i/>
          <w:color w:val="595959"/>
          <w:sz w:val="22"/>
        </w:rPr>
        <w:t>Sensitivity: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Mid (published labels + papers). Not an approved leave-behind. </w:t>
      </w:r>
      <w:r>
        <w:rPr>
          <w:rFonts w:ascii="Calibri" w:hAnsi="Calibri" w:eastAsia="Calibri"/>
          <w:b/>
          <w:i/>
          <w:color w:val="595959"/>
          <w:sz w:val="22"/>
        </w:rPr>
        <w:t>Question checked (2026-08-20):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“Pegasys dose is 3× lower (180 vs 500 mcg); we had Hep B/C H2H years ago with fewer flu-like symptoms; PROUD/CONTI patients used product up to 6 years.” </w:t>
      </w:r>
      <w:r>
        <w:rPr>
          <w:rFonts w:ascii="Calibri" w:hAnsi="Calibri" w:eastAsia="Calibri"/>
          <w:b/>
          <w:i/>
          <w:color w:val="595959"/>
          <w:sz w:val="22"/>
        </w:rPr>
        <w:t>Verdict for clinic: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Keep </w:t>
      </w:r>
      <w:r>
        <w:rPr>
          <w:rFonts w:ascii="Calibri" w:hAnsi="Calibri" w:eastAsia="Calibri"/>
          <w:b/>
          <w:i/>
          <w:color w:val="595959"/>
          <w:sz w:val="22"/>
        </w:rPr>
        <w:t>labelled schedules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and </w:t>
      </w:r>
      <w:r>
        <w:rPr>
          <w:rFonts w:ascii="Calibri" w:hAnsi="Calibri" w:eastAsia="Calibri"/>
          <w:b/>
          <w:i/>
          <w:color w:val="595959"/>
          <w:sz w:val="22"/>
        </w:rPr>
        <w:t>6-year PV follow-up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Do </w:t>
      </w:r>
      <w:r>
        <w:rPr>
          <w:rFonts w:ascii="Calibri" w:hAnsi="Calibri" w:eastAsia="Calibri"/>
          <w:b/>
          <w:i/>
          <w:color w:val="595959"/>
          <w:sz w:val="22"/>
        </w:rPr>
        <w:t>not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convert mcg ratios or hepatitis H2H into a PV superiority story.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Verdict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Fact-check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 in HK PV HCP talk?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BESREMi labelled max is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500 mcg every 2 weeks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True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(HK PI / EMA / FDA)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Yes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as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maximum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not “optimal for everyone”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Pegasys labelled adult hep dose is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180 mcg once weekly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(or lower if reduced)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True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for CHB/CHC labels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Yes, as Pegasys labelled hep schedule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not as a PV potency comparison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“Pegasys dose is 3× lower because 180 vs 500”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Misleading.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500/180 ≈ 2.8× only if you ignore interval. Per 2 weeks: Pegasys 180×2 =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360 mcg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vs BESREMi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500 mcg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≈ 1.4× protein mass. Same-mcg PK is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equivalent (see below).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“500 mcg is our optimal dose”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False as a slogan.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500 mcg is the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cap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. EMA SmPC mean dose: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382 ± 141 mcg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at 12 months (PROUD-PV);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356 ± 144 mcg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at 72 months (CONTINUATION-PV).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Say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maximum 500 mcg q2w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; typical study means were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~350–380 mcg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Hep C H2H vs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Pegasys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True that a study exists: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Phase 2 HCV GT1 (Taiwan; NCT01587586; Huang et al., 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JGH Open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2021). Ropeg 180 qw / 270 qw / 450 q2w + RBV vs Pegasys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180 mcg qw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RBV, 48 weeks. Flu-like composite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66.7% vs 53.3% / 55.0% / 48.3%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Same 180 mcg weekly: ropeg AUC ~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41% higher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than Pegasys. Small n (~20–30/arm); +ribavirin;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PV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Reactive Medical only.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Not PV promo.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Hep B H2H vs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Pegasys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True that a study exists: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Phase 1/2 CHB (Huang et al., 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Hepatol Int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2020); n=62; ropeg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350 or 450 mcg q2w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vs Pegasys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180 mcg qw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48 weeks. Authors: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comparable safety/efficacy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; standout AE was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less rash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not a flu-like primary claim. Exploratory, not powered.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Reactive Medical only.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Not PV promo.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Hep C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Phase 3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H2H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Vs PEG-Intron (alfa-2b), not Pegasys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(NCT04382937; 400 mcg q2w vs 1.5 µg/kg weekly). Do not call this a Pegasys trial.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not mis-cite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“We have less flu-like than Pegasys” (as a PV claim)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Not supported for HK PV promotion.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Hepatitis data are off-indication, different doses/duration, often +RBV. BESREMi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PV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labels list influenza-like illness as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common / very common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(EMA ~11.2% preferred term; US materials also list flu-like among common ARs). PROUD-PV compared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HU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not Pegasys.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as a field claim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PROUD/CONTI patients used product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up to ~6 years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True as study follow-up.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CONTINUATION-PV to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72 months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Not a 6-year stop rule; not a Pegasys comparison.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Yes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“studied through 6 years vs HU”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Why the “3× dose” line fails (even before compliance)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Interval.</w:t>
      </w:r>
      <w:r>
        <w:rPr>
          <w:rFonts w:ascii="Calibri" w:hAnsi="Calibri" w:eastAsia="Calibri"/>
          <w:b w:val="0"/>
          <w:i w:val="0"/>
          <w:sz w:val="22"/>
        </w:rPr>
        <w:t xml:space="preserve"> Pegasys 180 mcg is </w:t>
      </w:r>
      <w:r>
        <w:rPr>
          <w:rFonts w:ascii="Calibri" w:hAnsi="Calibri" w:eastAsia="Calibri"/>
          <w:b/>
          <w:i w:val="0"/>
          <w:sz w:val="22"/>
        </w:rPr>
        <w:t>weekly</w:t>
      </w:r>
      <w:r>
        <w:rPr>
          <w:rFonts w:ascii="Calibri" w:hAnsi="Calibri" w:eastAsia="Calibri"/>
          <w:b w:val="0"/>
          <w:i w:val="0"/>
          <w:sz w:val="22"/>
        </w:rPr>
        <w:t xml:space="preserve">. BESREMi 500 mcg is </w:t>
      </w:r>
      <w:r>
        <w:rPr>
          <w:rFonts w:ascii="Calibri" w:hAnsi="Calibri" w:eastAsia="Calibri"/>
          <w:b/>
          <w:i w:val="0"/>
          <w:sz w:val="22"/>
        </w:rPr>
        <w:t>every 2 weeks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Cap vs typical.</w:t>
      </w:r>
      <w:r>
        <w:rPr>
          <w:rFonts w:ascii="Calibri" w:hAnsi="Calibri" w:eastAsia="Calibri"/>
          <w:b w:val="0"/>
          <w:i w:val="0"/>
          <w:sz w:val="22"/>
        </w:rPr>
        <w:t xml:space="preserve"> Many PV patients on BESREMi stabilize </w:t>
      </w:r>
      <w:r>
        <w:rPr>
          <w:rFonts w:ascii="Calibri" w:hAnsi="Calibri" w:eastAsia="Calibri"/>
          <w:b/>
          <w:i w:val="0"/>
          <w:sz w:val="22"/>
        </w:rPr>
        <w:t>below</w:t>
      </w:r>
      <w:r>
        <w:rPr>
          <w:rFonts w:ascii="Calibri" w:hAnsi="Calibri" w:eastAsia="Calibri"/>
          <w:b w:val="0"/>
          <w:i w:val="0"/>
          <w:sz w:val="22"/>
        </w:rPr>
        <w:t xml:space="preserve"> 500 mcg (mean ~350–380 mcg in the Phase 3 program). Many MPN clinicians use </w:t>
      </w:r>
      <w:r>
        <w:rPr>
          <w:rFonts w:ascii="Calibri" w:hAnsi="Calibri" w:eastAsia="Calibri"/>
          <w:b/>
          <w:i w:val="0"/>
          <w:sz w:val="22"/>
        </w:rPr>
        <w:t>off-label Pegasys at 45–90 mcg weekly</w:t>
      </w:r>
      <w:r>
        <w:rPr>
          <w:rFonts w:ascii="Calibri" w:hAnsi="Calibri" w:eastAsia="Calibri"/>
          <w:b w:val="0"/>
          <w:i w:val="0"/>
          <w:sz w:val="22"/>
        </w:rPr>
        <w:t>, not 180.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Potency ≠ micrograms.</w:t>
      </w:r>
      <w:r>
        <w:rPr>
          <w:rFonts w:ascii="Calibri" w:hAnsi="Calibri" w:eastAsia="Calibri"/>
          <w:b w:val="0"/>
          <w:i w:val="0"/>
          <w:sz w:val="22"/>
        </w:rPr>
        <w:t xml:space="preserve"> At the </w:t>
      </w:r>
      <w:r>
        <w:rPr>
          <w:rFonts w:ascii="Calibri" w:hAnsi="Calibri" w:eastAsia="Calibri"/>
          <w:b/>
          <w:i w:val="0"/>
          <w:sz w:val="22"/>
        </w:rPr>
        <w:t>same 180 mcg weekly</w:t>
      </w:r>
      <w:r>
        <w:rPr>
          <w:rFonts w:ascii="Calibri" w:hAnsi="Calibri" w:eastAsia="Calibri"/>
          <w:b w:val="0"/>
          <w:i w:val="0"/>
          <w:sz w:val="22"/>
        </w:rPr>
        <w:t xml:space="preserve">, ropeginterferon showed </w:t>
      </w:r>
      <w:r>
        <w:rPr>
          <w:rFonts w:ascii="Calibri" w:hAnsi="Calibri" w:eastAsia="Calibri"/>
          <w:b/>
          <w:i w:val="0"/>
          <w:sz w:val="22"/>
        </w:rPr>
        <w:t>greater exposure</w:t>
      </w:r>
      <w:r>
        <w:rPr>
          <w:rFonts w:ascii="Calibri" w:hAnsi="Calibri" w:eastAsia="Calibri"/>
          <w:b w:val="0"/>
          <w:i w:val="0"/>
          <w:sz w:val="22"/>
        </w:rPr>
        <w:t xml:space="preserve"> than peginterferon alfa-2a in the HCV Phase 2 PK subset. That is exactly why labels say not to compare potency.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HK/EMA PI (Section 2 / 5.1):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“The potency of this medicinal product should not be compared to that of another pegylated or non-pegylated protein of the same therapeutic class.”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HKAPI §3.5 still requires a named, adequate, statistically significant study </w:t>
      </w:r>
      <w:r>
        <w:rPr>
          <w:rFonts w:ascii="Calibri" w:hAnsi="Calibri" w:eastAsia="Calibri"/>
          <w:b/>
          <w:i w:val="0"/>
          <w:sz w:val="22"/>
        </w:rPr>
        <w:t>in the claim you are making</w:t>
      </w:r>
      <w:r>
        <w:rPr>
          <w:rFonts w:ascii="Calibri" w:hAnsi="Calibri" w:eastAsia="Calibri"/>
          <w:b w:val="0"/>
          <w:i w:val="0"/>
          <w:sz w:val="22"/>
        </w:rPr>
        <w:t>. A hepatitis trial does not license a PV tolerability comparison.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Clinic script (if they ask “how is this different from Pegasys?”)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“They are different molecules and different labels. BESREMi is indicated in Hong Kong for </w:t>
      </w:r>
      <w:r>
        <w:rPr>
          <w:rFonts w:ascii="Calibri" w:hAnsi="Calibri" w:eastAsia="Calibri"/>
          <w:b/>
          <w:i w:val="0"/>
          <w:sz w:val="22"/>
        </w:rPr>
        <w:t>adult PV without symptomatic splenomegaly</w:t>
      </w:r>
      <w:r>
        <w:rPr>
          <w:rFonts w:ascii="Calibri" w:hAnsi="Calibri" w:eastAsia="Calibri"/>
          <w:b w:val="0"/>
          <w:i w:val="0"/>
          <w:sz w:val="22"/>
        </w:rPr>
        <w:t xml:space="preserve">, dosed </w:t>
      </w:r>
      <w:r>
        <w:rPr>
          <w:rFonts w:ascii="Calibri" w:hAnsi="Calibri" w:eastAsia="Calibri"/>
          <w:b/>
          <w:i w:val="0"/>
          <w:sz w:val="22"/>
        </w:rPr>
        <w:t>every two weeks</w:t>
      </w:r>
      <w:r>
        <w:rPr>
          <w:rFonts w:ascii="Calibri" w:hAnsi="Calibri" w:eastAsia="Calibri"/>
          <w:b w:val="0"/>
          <w:i w:val="0"/>
          <w:sz w:val="22"/>
        </w:rPr>
        <w:t xml:space="preserve">, titrated to blood-count targets, </w:t>
      </w:r>
      <w:r>
        <w:rPr>
          <w:rFonts w:ascii="Calibri" w:hAnsi="Calibri" w:eastAsia="Calibri"/>
          <w:b/>
          <w:i w:val="0"/>
          <w:sz w:val="22"/>
        </w:rPr>
        <w:t>maximum 500 micrograms</w:t>
      </w:r>
      <w:r>
        <w:rPr>
          <w:rFonts w:ascii="Calibri" w:hAnsi="Calibri" w:eastAsia="Calibri"/>
          <w:b w:val="0"/>
          <w:i w:val="0"/>
          <w:sz w:val="22"/>
        </w:rPr>
        <w:t xml:space="preserve">. Pegasys is peginterferon alfa-2a; its classic labelled adult hepatitis dose is </w:t>
      </w:r>
      <w:r>
        <w:rPr>
          <w:rFonts w:ascii="Calibri" w:hAnsi="Calibri" w:eastAsia="Calibri"/>
          <w:b/>
          <w:i w:val="0"/>
          <w:sz w:val="22"/>
        </w:rPr>
        <w:t>180 micrograms once weekly</w:t>
      </w:r>
      <w:r>
        <w:rPr>
          <w:rFonts w:ascii="Calibri" w:hAnsi="Calibri" w:eastAsia="Calibri"/>
          <w:b w:val="0"/>
          <w:i w:val="0"/>
          <w:sz w:val="22"/>
        </w:rPr>
        <w:t xml:space="preserve">. Microgram numbers are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interchangeable — our PI says potency should not be compared across this class. We do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have a PV head-to-head versus Pegasys. What we do have in PV is PROUD-PV / CONTINUATION-PV versus hydroxyurea, with patients followed </w:t>
      </w:r>
      <w:r>
        <w:rPr>
          <w:rFonts w:ascii="Calibri" w:hAnsi="Calibri" w:eastAsia="Calibri"/>
          <w:b/>
          <w:i w:val="0"/>
          <w:sz w:val="22"/>
        </w:rPr>
        <w:t>through six years</w:t>
      </w:r>
      <w:r>
        <w:rPr>
          <w:rFonts w:ascii="Calibri" w:hAnsi="Calibri" w:eastAsia="Calibri"/>
          <w:b w:val="0"/>
          <w:i w:val="0"/>
          <w:sz w:val="22"/>
        </w:rPr>
        <w:t>. Flu-like symptoms remain an interferon-class effect on our PV label; I will not claim we have fewer flu-like events than Pegasys in PV.”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“Pegasys is three times weaker / three times lower dose.”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“500 is our optimal dose; they only use 180.”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“We already beat Pegasys in Hep B and C, so we have fewer flu-like symptoms in PV.”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“Phase 3 hepatitis was versus Pegasys” (it was </w:t>
      </w:r>
      <w:r>
        <w:rPr>
          <w:rFonts w:ascii="Calibri" w:hAnsi="Calibri" w:eastAsia="Calibri"/>
          <w:b/>
          <w:i w:val="0"/>
          <w:sz w:val="22"/>
        </w:rPr>
        <w:t>PEG-Intron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r>
        <w:rPr>
          <w:rFonts w:ascii="Calibri" w:hAnsi="Calibri" w:eastAsia="Calibri"/>
          <w:b/>
          <w:i w:val="0"/>
          <w:sz w:val="22"/>
        </w:rPr>
        <w:t>If they press for the old hepatitis papers:</w:t>
      </w:r>
      <w:r>
        <w:rPr>
          <w:rFonts w:ascii="Calibri" w:hAnsi="Calibri" w:eastAsia="Calibri"/>
          <w:b w:val="0"/>
          <w:i w:val="0"/>
          <w:sz w:val="22"/>
        </w:rPr>
        <w:t xml:space="preserve"> park to </w:t>
      </w:r>
      <w:r>
        <w:rPr>
          <w:rFonts w:ascii="Calibri" w:hAnsi="Calibri" w:eastAsia="Calibri"/>
          <w:b/>
          <w:i w:val="0"/>
          <w:sz w:val="22"/>
        </w:rPr>
        <w:t>Medical Information</w:t>
      </w:r>
      <w:r>
        <w:rPr>
          <w:rFonts w:ascii="Calibri" w:hAnsi="Calibri" w:eastAsia="Calibri"/>
          <w:b w:val="0"/>
          <w:i w:val="0"/>
          <w:sz w:val="22"/>
        </w:rPr>
        <w:t>; log Veeva; do not volunteer the papers.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Sources (public)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HK PI distilled: </w:t>
      </w:r>
      <w:r>
        <w:rPr>
          <w:rFonts w:ascii="Consolas" w:hAnsi="Consolas" w:eastAsia="Consolas"/>
          <w:i w:val="0"/>
          <w:sz w:val="20"/>
        </w:rPr>
        <w:t>besremi-hk-pi-summary.md</w:t>
      </w:r>
      <w:r>
        <w:rPr>
          <w:rFonts w:ascii="Calibri" w:hAnsi="Calibri" w:eastAsia="Calibri"/>
          <w:b w:val="0"/>
          <w:i w:val="0"/>
          <w:sz w:val="22"/>
        </w:rPr>
        <w:t xml:space="preserve"> (potency warning; max 500 mcg q2w)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EMA Besremi SmPC: mean doses 382 mcg (M12), 356 mcg (M72); influenza-like illness listed common/very common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Pegasys SmPC / US PI: adult CHB/CHC </w:t>
      </w:r>
      <w:r>
        <w:rPr>
          <w:rFonts w:ascii="Calibri" w:hAnsi="Calibri" w:eastAsia="Calibri"/>
          <w:b/>
          <w:i w:val="0"/>
          <w:sz w:val="22"/>
        </w:rPr>
        <w:t>180 mcg once weekly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Huang YW et al., </w:t>
      </w:r>
      <w:r>
        <w:rPr>
          <w:rFonts w:ascii="Calibri" w:hAnsi="Calibri" w:eastAsia="Calibri"/>
          <w:b w:val="0"/>
          <w:i/>
          <w:sz w:val="22"/>
        </w:rPr>
        <w:t>JGH Open</w:t>
      </w:r>
      <w:r>
        <w:rPr>
          <w:rFonts w:ascii="Calibri" w:hAnsi="Calibri" w:eastAsia="Calibri"/>
          <w:b w:val="0"/>
          <w:i w:val="0"/>
          <w:sz w:val="22"/>
        </w:rPr>
        <w:t xml:space="preserve"> 2021 — HCV GT1 Phase 2 vs peginterferon alfa-2a 180 mcg qw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Huang YW et al., </w:t>
      </w:r>
      <w:r>
        <w:rPr>
          <w:rFonts w:ascii="Calibri" w:hAnsi="Calibri" w:eastAsia="Calibri"/>
          <w:b w:val="0"/>
          <w:i/>
          <w:sz w:val="22"/>
        </w:rPr>
        <w:t>Hepatol Int</w:t>
      </w:r>
      <w:r>
        <w:rPr>
          <w:rFonts w:ascii="Calibri" w:hAnsi="Calibri" w:eastAsia="Calibri"/>
          <w:b w:val="0"/>
          <w:i w:val="0"/>
          <w:sz w:val="22"/>
        </w:rPr>
        <w:t xml:space="preserve"> 2020 — CHB Phase 1/2 vs peginterferon alfa-2a 180 mcg qw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ClinicalTrials.gov NCT04382937 — HCV GT2 Phase 3 vs </w:t>
      </w:r>
      <w:r>
        <w:rPr>
          <w:rFonts w:ascii="Calibri" w:hAnsi="Calibri" w:eastAsia="Calibri"/>
          <w:b/>
          <w:i w:val="0"/>
          <w:sz w:val="22"/>
        </w:rPr>
        <w:t>PEG-Intron</w:t>
      </w:r>
      <w:r>
        <w:rPr>
          <w:rFonts w:ascii="Calibri" w:hAnsi="Calibri" w:eastAsia="Calibri"/>
          <w:b w:val="0"/>
          <w:i w:val="0"/>
          <w:sz w:val="22"/>
        </w:rPr>
        <w:t>, not Pegasys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Gisslinger et al., </w:t>
      </w:r>
      <w:r>
        <w:rPr>
          <w:rFonts w:ascii="Calibri" w:hAnsi="Calibri" w:eastAsia="Calibri"/>
          <w:b w:val="0"/>
          <w:i/>
          <w:sz w:val="22"/>
        </w:rPr>
        <w:t>Leukemia</w:t>
      </w:r>
      <w:r>
        <w:rPr>
          <w:rFonts w:ascii="Calibri" w:hAnsi="Calibri" w:eastAsia="Calibri"/>
          <w:b w:val="0"/>
          <w:i w:val="0"/>
          <w:sz w:val="22"/>
        </w:rPr>
        <w:t xml:space="preserve"> 2023 — CONTINUATION-PV ~6 years vs HU/BAT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7F7F7F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i/>
        <w:color w:val="7F7F7F"/>
        <w:sz w:val="16"/>
      </w:rPr>
      <w:t>BESREMi HK PM — internal training  |  Not for HCP leave-behind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