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0B6E6E"/>
          <w:sz w:val="20"/>
        </w:rPr>
        <w:t>MPNicare ｜ PharmaEssentia Hong Kong</w:t>
      </w:r>
    </w:p>
    <w:p>
      <w:r>
        <w:rPr>
          <w:rFonts w:ascii="Calibri" w:hAnsi="Calibri" w:eastAsia="Microsoft JhengHei"/>
          <w:b/>
          <w:color w:val="12353A"/>
          <w:sz w:val="40"/>
        </w:rPr>
        <w:t>使用條款與私隱政策 — Hong Kong rewrite (legal review draft)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Not a find-and-replace of Taiwan《個人資料保護法》Arts. 3, 10 and 11. Rewrite under Hong Kong Cap. 486. Do not publish until Legal signs off.</w:t>
      </w:r>
    </w:p>
    <w:p>
      <w:pPr>
        <w:spacing w:after="160"/>
      </w:pPr>
      <w:r>
        <w:rPr>
          <w:rFonts w:ascii="Calibri" w:hAnsi="Calibri" w:eastAsia="Microsoft JhengHei"/>
          <w:b w:val="0"/>
          <w:sz w:val="20"/>
        </w:rPr>
        <w:t>Date: 21 August 2026  ·  Sensitivity: Low (public patient-education site)  ·  Status: implementation spec / legal-review draft</w:t>
      </w:r>
    </w:p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1. Mapping from the current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Current (do not keep)</w:t>
            </w:r>
          </w:p>
        </w:tc>
        <w:tc>
          <w:tcPr>
            <w:tcW w:type="dxa" w:w="5102"/>
            <w:shd w:fill="12353A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Hong Kong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無限製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無限制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個資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個人資料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個人資料保護法第三條 / 第10條 / 第11條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《個人資料（私隱）條例》(第486章) — data access s.18; correction s.22; refusal s.20 / s.24; fee s.28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互聯網事業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網上業務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藥華藥 and 藥華醫藥 mixed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PharmaEssentia 藥華醫藥 on first mention; 藥華醫藥 thereafter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資訊百份百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資料百分百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使用條款與隱私權政策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使用條款與私隱政策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2. Draft copy for the Hong Kong page</w:t>
      </w:r>
    </w:p>
    <w:p>
      <w:pPr>
        <w:spacing w:after="160"/>
      </w:pPr>
      <w:r>
        <w:rPr>
          <w:rFonts w:ascii="Calibri" w:hAnsi="Calibri" w:eastAsia="Microsoft JhengHei"/>
          <w:b/>
          <w:sz w:val="28"/>
        </w:rPr>
        <w:t>使用條款與私隱政策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本網站由 PharmaEssentia 藥華醫藥股份有限公司（以下簡稱「藥華醫藥」）所建立經營。我們重視每一位使用者所享有的服務，特此說明本網站的使用政策，以保障您的權益，請您細讀本使用條款的內容。</w:t>
      </w:r>
    </w:p>
    <w:p>
      <w:pPr>
        <w:spacing w:after="160"/>
      </w:pPr>
      <w:r>
        <w:rPr>
          <w:rFonts w:ascii="Calibri" w:hAnsi="Calibri" w:eastAsia="Microsoft JhengHei"/>
          <w:b/>
          <w:sz w:val="24"/>
        </w:rPr>
        <w:t>一般性資料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對於本站所載資料的取覽或使用，您受下列條款和條件以及所有適用法律所規範。經由取覽或瀏覽本網站，您無限制或無條件地接受這些條款和條件，並確認其將取代您和藥華醫藥之間其他任何的協議。</w:t>
      </w:r>
    </w:p>
    <w:p>
      <w:pPr>
        <w:spacing w:after="160"/>
      </w:pPr>
      <w:r>
        <w:rPr>
          <w:rFonts w:ascii="Calibri" w:hAnsi="Calibri" w:eastAsia="Microsoft JhengHei"/>
          <w:b/>
          <w:sz w:val="24"/>
        </w:rPr>
        <w:t>醫療資料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本網站之醫療相關資料僅供科學資料或病人教育目的使用。由於醫療科技的發展日新月異，本公司無法保證資料百分百正確無誤。任何疾病治療、醫學問題及專業知識，應諮詢您的專業醫生及護士，本站不提供任何診斷、用藥或治療建議。</w:t>
      </w:r>
    </w:p>
    <w:p>
      <w:pPr>
        <w:spacing w:after="160"/>
      </w:pPr>
      <w:r>
        <w:rPr>
          <w:rFonts w:ascii="Calibri" w:hAnsi="Calibri" w:eastAsia="Microsoft JhengHei"/>
          <w:b/>
          <w:sz w:val="24"/>
        </w:rPr>
        <w:t>私隱政策（香港）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藥華醫藥尊重訪客私隱，並按香港法例第486章《個人資料（私隱）條例》（下稱「《條例》」）的保障資料原則處理個人資料。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您可向本公司提出：（一）查閱資料要求（Data Access Request，《條例》第18條）；以及（二）改正資料要求（Data Correction Request，《條例》第22條）。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本公司會在《條例》規定的時限內回覆。在第20條所列明的情況下，本公司可拒絕依從查閱資料要求；在第24條所列明的情況下，可拒絕依從改正資料要求。本公司亦可按第28條收取不超逾直接成本的合理費用。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《條例》並無賦予與台灣《個人資料保護法》第3條相同的概括「刪除／停止處理」法定權利。本公司仍會按保障資料第2原則（保留期間）及第3原則（使用限制），在不再需要時刪除或停止使用個人資料。您亦可要求退出通訊服務。是否接納個別申請，須視乎執行業務所必須、法定保存期間及《條例》准許的豁免而定。</w:t>
      </w:r>
    </w:p>
    <w:p>
      <w:pPr>
        <w:spacing w:after="160"/>
      </w:pPr>
      <w:r>
        <w:rPr>
          <w:rFonts w:ascii="Calibri" w:hAnsi="Calibri" w:eastAsia="Microsoft JhengHei"/>
          <w:b/>
          <w:sz w:val="24"/>
        </w:rPr>
        <w:t>個人資料的使用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個人資料包括您的姓名、地址、電話號碼、電郵地址，或其他可合理用於識別您的資料。藥華醫藥只在您自願提供時收集該等資料。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當藥華醫藥收到個人資料時，我們可能將資料用於合理商業用途，如同非網上業務的使用方式。例如，我們可能透過通訊軟件或定期訊息聯絡您。為提供準確服務，收集的資料亦可能用於編製統計及分析，但不會公開可識別個別人士的資料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您的資料可能傳送至位於其他國家的藥華醫藥附屬機構處理。藥華醫藥不會出售或出租個人資料，除非事先通知並取得您的明確同意。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請聯絡我們：sales@museshc.com</w:t>
      </w:r>
    </w:p>
    <w:p>
      <w:pPr>
        <w:pStyle w:val="Heading1"/>
      </w:pPr>
      <w:r>
        <w:rPr>
          <w:rFonts w:ascii="Calibri" w:hAnsi="Calibri" w:eastAsia="Microsoft JhengHei"/>
          <w:b/>
          <w:color w:val="12353A"/>
          <w:sz w:val="32"/>
        </w:rPr>
        <w:t>3. Legal review flags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Confirm data-access / correction / refusal / fee sections against current Cap. 486 and PCPD guidance.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Confirm whether a voluntary deletion / opt-out line should stay as company policy (not as a statutory PDPA Art. 3 right).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Confirm cross-border transfer wording for PharmaEssentia affiliates.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UMAO (Cap. 231) is out of this file; chrome and labels to be checked separately when the user uploads the ordinance pack.</w:t>
      </w:r>
    </w:p>
    <w:p>
      <w:pPr>
        <w:spacing w:after="160"/>
      </w:pPr>
      <w:r>
        <w:rPr>
          <w:rFonts w:ascii="Calibri" w:hAnsi="Calibri" w:eastAsia="Microsoft JhengHei"/>
          <w:b w:val="0"/>
          <w:sz w:val="22"/>
        </w:rPr>
        <w:t>• Do not publish this draft as the live privacy notice until Legal signs off.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