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Microsoft JhengHei"/>
          <w:b/>
          <w:color w:val="0B6E6E"/>
          <w:sz w:val="20"/>
        </w:rPr>
        <w:t>MPNicare ｜ PharmaEssentia Hong Kong</w:t>
      </w:r>
    </w:p>
    <w:p>
      <w:r>
        <w:rPr>
          <w:rFonts w:ascii="Calibri" w:hAnsi="Calibri" w:eastAsia="Microsoft JhengHei"/>
          <w:b/>
          <w:color w:val="12353A"/>
          <w:sz w:val="40"/>
        </w:rPr>
        <w:t>Hong Kong Chinese wording overlay — change log</w:t>
      </w:r>
    </w:p>
    <w:p>
      <w:pPr>
        <w:spacing w:after="160"/>
      </w:pPr>
      <w:r>
        <w:rPr>
          <w:rFonts w:ascii="Calibri" w:hAnsi="Calibri" w:eastAsia="Microsoft JhengHei"/>
          <w:b w:val="0"/>
          <w:sz w:val="22"/>
        </w:rPr>
        <w:t>Layout, page structure and column placement stay the same. Only Hong Kong chrome (menu, titles, footer, terms) and regional-content labels change. Article bodies in the three regional columns are not rewritten.</w:t>
      </w:r>
    </w:p>
    <w:p>
      <w:pPr>
        <w:spacing w:after="160"/>
      </w:pPr>
      <w:r>
        <w:rPr>
          <w:rFonts w:ascii="Calibri" w:hAnsi="Calibri" w:eastAsia="Microsoft JhengHei"/>
          <w:b w:val="0"/>
          <w:sz w:val="20"/>
        </w:rPr>
        <w:t>Date: 21 August 2026  ·  Sensitivity: Low (public patient-education site)  ·  Status: implementation spec / legal-review draft</w:t>
      </w:r>
    </w:p>
    <w:p>
      <w:pPr>
        <w:pStyle w:val="Heading1"/>
      </w:pPr>
      <w:r>
        <w:rPr>
          <w:rFonts w:ascii="Calibri" w:hAnsi="Calibri" w:eastAsia="Microsoft JhengHei"/>
          <w:b/>
          <w:color w:val="12353A"/>
          <w:sz w:val="32"/>
        </w:rPr>
        <w:t>1. What this file is</w:t>
      </w:r>
    </w:p>
    <w:p>
      <w:pPr>
        <w:spacing w:after="160"/>
      </w:pPr>
      <w:r>
        <w:rPr>
          <w:rFonts w:ascii="Calibri" w:hAnsi="Calibri" w:eastAsia="Microsoft JhengHei"/>
          <w:b w:val="0"/>
          <w:sz w:val="22"/>
        </w:rPr>
        <w:t>This is the working change log for the 中文（香港） locale on mpnicare.org. Use it with web (Wix strings), Medical (disclaimer lines only) and Legal (terms page). It records what was implemented in the overlay sample after the 21 August 2026 review: regional notices must not appear on 病人教育專區; they belong only on the three source columns.</w:t>
      </w:r>
    </w:p>
    <w:p>
      <w:pPr>
        <w:pStyle w:val="Heading1"/>
      </w:pPr>
      <w:r>
        <w:rPr>
          <w:rFonts w:ascii="Calibri" w:hAnsi="Calibri" w:eastAsia="Microsoft JhengHei"/>
          <w:b/>
          <w:color w:val="12353A"/>
          <w:sz w:val="32"/>
        </w:rPr>
        <w:t>2. Labelling rules (do not rewrite articles)</w:t>
      </w:r>
    </w:p>
    <w:p>
      <w:pPr>
        <w:spacing w:after="160"/>
      </w:pPr>
      <w:r>
        <w:rPr>
          <w:rFonts w:ascii="Calibri" w:hAnsi="Calibri" w:eastAsia="Microsoft JhengHei"/>
          <w:b w:val="0"/>
          <w:sz w:val="22"/>
        </w:rPr>
        <w:t>Applies only to these three columns (menu names change; bodies stay original): 血腫專欄 → 血液腫瘤專欄; 健康照護 → 健康資訊; 品味生活 (title unified from 生活品味).</w:t>
      </w:r>
    </w:p>
    <w:tbl>
      <w:tblPr>
        <w:tblStyle w:val="TableGrid"/>
        <w:tblW w:type="auto" w:w="0"/>
        <w:jc w:val="center"/>
        <w:tblLook w:firstColumn="1" w:firstRow="1" w:lastColumn="0" w:lastRow="0" w:noHBand="0" w:noVBand="1" w:val="04A0"/>
      </w:tblPr>
      <w:tblGrid>
        <w:gridCol w:w="3324"/>
        <w:gridCol w:w="3324"/>
        <w:gridCol w:w="3324"/>
      </w:tblGrid>
      <w:tr>
        <w:tc>
          <w:tcPr>
            <w:tcW w:type="dxa" w:w="2948"/>
            <w:shd w:fill="12353A"/>
          </w:tcPr>
          <w:p>
            <w:r/>
            <w:r>
              <w:rPr>
                <w:rFonts w:ascii="Calibri" w:hAnsi="Calibri" w:eastAsia="Microsoft JhengHei"/>
                <w:b/>
                <w:color w:val="FFFFFF"/>
                <w:sz w:val="20"/>
              </w:rPr>
              <w:t>Placement</w:t>
            </w:r>
          </w:p>
        </w:tc>
        <w:tc>
          <w:tcPr>
            <w:tcW w:type="dxa" w:w="4252"/>
            <w:shd w:fill="12353A"/>
          </w:tcPr>
          <w:p>
            <w:r/>
            <w:r>
              <w:rPr>
                <w:rFonts w:ascii="Calibri" w:hAnsi="Calibri" w:eastAsia="Microsoft JhengHei"/>
                <w:b/>
                <w:color w:val="FFFFFF"/>
                <w:sz w:val="20"/>
              </w:rPr>
              <w:t>Add this</w:t>
            </w:r>
          </w:p>
        </w:tc>
        <w:tc>
          <w:tcPr>
            <w:tcW w:type="dxa" w:w="2551"/>
            <w:shd w:fill="12353A"/>
          </w:tcPr>
          <w:p>
            <w:r/>
            <w:r>
              <w:rPr>
                <w:rFonts w:ascii="Calibri" w:hAnsi="Calibri" w:eastAsia="Microsoft JhengHei"/>
                <w:b/>
                <w:color w:val="FFFFFF"/>
                <w:sz w:val="20"/>
              </w:rPr>
              <w:t>Do not add on</w:t>
            </w:r>
          </w:p>
        </w:tc>
      </w:tr>
      <w:tr>
        <w:tc>
          <w:tcPr>
            <w:tcW w:type="dxa" w:w="2948"/>
          </w:tcPr>
          <w:p>
            <w:r/>
            <w:r>
              <w:rPr>
                <w:rFonts w:ascii="Calibri" w:hAnsi="Calibri" w:eastAsia="Microsoft JhengHei"/>
                <w:b w:val="0"/>
                <w:sz w:val="20"/>
              </w:rPr>
              <w:t>Column page — under existing title, above article list</w:t>
            </w:r>
          </w:p>
        </w:tc>
        <w:tc>
          <w:tcPr>
            <w:tcW w:type="dxa" w:w="4252"/>
          </w:tcPr>
          <w:p>
            <w:r/>
            <w:r>
              <w:rPr>
                <w:rFonts w:ascii="Calibri" w:hAnsi="Calibri" w:eastAsia="Microsoft JhengHei"/>
                <w:b w:val="0"/>
                <w:sz w:val="20"/>
              </w:rPr>
              <w:t>其他地區內容提示</w:t>
              <w:br/>
              <w:t>本欄文章由香港以外地區的團隊或醫護專業人員提供，內容未必適用於香港，僅供一般參考。</w:t>
            </w:r>
          </w:p>
        </w:tc>
        <w:tc>
          <w:tcPr>
            <w:tcW w:type="dxa" w:w="2551"/>
          </w:tcPr>
          <w:p>
            <w:r/>
            <w:r>
              <w:rPr>
                <w:rFonts w:ascii="Calibri" w:hAnsi="Calibri" w:eastAsia="Microsoft JhengHei"/>
                <w:b w:val="0"/>
                <w:sz w:val="20"/>
              </w:rPr>
              <w:t>病人教育專區, 關於MPN, 首頁整頁, 友善連結, 使用條款</w:t>
            </w:r>
          </w:p>
        </w:tc>
      </w:tr>
      <w:tr>
        <w:tc>
          <w:tcPr>
            <w:tcW w:type="dxa" w:w="2948"/>
          </w:tcPr>
          <w:p>
            <w:r/>
            <w:r>
              <w:rPr>
                <w:rFonts w:ascii="Calibri" w:hAnsi="Calibri" w:eastAsia="Microsoft JhengHei"/>
                <w:b w:val="0"/>
                <w:sz w:val="20"/>
              </w:rPr>
              <w:t>Article card — beside existing category name</w:t>
            </w:r>
          </w:p>
        </w:tc>
        <w:tc>
          <w:tcPr>
            <w:tcW w:type="dxa" w:w="4252"/>
          </w:tcPr>
          <w:p>
            <w:r/>
            <w:r>
              <w:rPr>
                <w:rFonts w:ascii="Calibri" w:hAnsi="Calibri" w:eastAsia="Microsoft JhengHei"/>
                <w:b w:val="0"/>
                <w:sz w:val="20"/>
              </w:rPr>
              <w:t>其他地區內容</w:t>
            </w:r>
          </w:p>
        </w:tc>
        <w:tc>
          <w:tcPr>
            <w:tcW w:type="dxa" w:w="2551"/>
          </w:tcPr>
          <w:p>
            <w:r/>
            <w:r>
              <w:rPr>
                <w:rFonts w:ascii="Calibri" w:hAnsi="Calibri" w:eastAsia="Microsoft JhengHei"/>
                <w:b w:val="0"/>
                <w:sz w:val="20"/>
              </w:rPr>
              <w:t>病人教育專區 tiles</w:t>
            </w:r>
          </w:p>
        </w:tc>
      </w:tr>
      <w:tr>
        <w:tc>
          <w:tcPr>
            <w:tcW w:type="dxa" w:w="2948"/>
          </w:tcPr>
          <w:p>
            <w:r/>
            <w:r>
              <w:rPr>
                <w:rFonts w:ascii="Calibri" w:hAnsi="Calibri" w:eastAsia="Microsoft JhengHei"/>
                <w:b w:val="0"/>
                <w:sz w:val="20"/>
              </w:rPr>
              <w:t>Article page — under title or byline, one line</w:t>
            </w:r>
          </w:p>
        </w:tc>
        <w:tc>
          <w:tcPr>
            <w:tcW w:type="dxa" w:w="4252"/>
          </w:tcPr>
          <w:p>
            <w:r/>
            <w:r>
              <w:rPr>
                <w:rFonts w:ascii="Calibri" w:hAnsi="Calibri" w:eastAsia="Microsoft JhengHei"/>
                <w:b w:val="0"/>
                <w:sz w:val="20"/>
              </w:rPr>
              <w:t>其他地區內容｜原文保留，內容未必適用於香港。</w:t>
            </w:r>
          </w:p>
        </w:tc>
        <w:tc>
          <w:tcPr>
            <w:tcW w:type="dxa" w:w="2551"/>
          </w:tcPr>
          <w:p>
            <w:r/>
            <w:r>
              <w:rPr>
                <w:rFonts w:ascii="Calibri" w:hAnsi="Calibri" w:eastAsia="Microsoft JhengHei"/>
                <w:b w:val="0"/>
                <w:sz w:val="20"/>
              </w:rPr>
              <w:t>Hong Kong chrome pages</w:t>
            </w:r>
          </w:p>
        </w:tc>
      </w:tr>
    </w:tbl>
    <w:p/>
    <w:p>
      <w:pPr>
        <w:spacing w:after="160"/>
      </w:pPr>
      <w:r>
        <w:rPr>
          <w:rFonts w:ascii="Calibri" w:hAnsi="Calibri" w:eastAsia="Microsoft JhengHei"/>
          <w:b w:val="0"/>
          <w:sz w:val="22"/>
        </w:rPr>
        <w:t>Homepage: no full-page warning box. The three latest-article cards only get the small tag beside the category name.</w:t>
      </w:r>
    </w:p>
    <w:p>
      <w:pPr>
        <w:pStyle w:val="Heading1"/>
      </w:pPr>
      <w:r>
        <w:rPr>
          <w:rFonts w:ascii="Calibri" w:hAnsi="Calibri" w:eastAsia="Microsoft JhengHei"/>
          <w:b/>
          <w:color w:val="12353A"/>
          <w:sz w:val="32"/>
        </w:rPr>
        <w:t>3. Wording changes implemented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01"/>
            <w:shd w:fill="12353A"/>
          </w:tcPr>
          <w:p>
            <w:r/>
            <w:r>
              <w:rPr>
                <w:rFonts w:ascii="Calibri" w:hAnsi="Calibri" w:eastAsia="Microsoft JhengHei"/>
                <w:b/>
                <w:color w:val="FFFFFF"/>
                <w:sz w:val="20"/>
              </w:rPr>
              <w:t>Page</w:t>
            </w:r>
          </w:p>
        </w:tc>
        <w:tc>
          <w:tcPr>
            <w:tcW w:type="dxa" w:w="1814"/>
            <w:shd w:fill="12353A"/>
          </w:tcPr>
          <w:p>
            <w:r/>
            <w:r>
              <w:rPr>
                <w:rFonts w:ascii="Calibri" w:hAnsi="Calibri" w:eastAsia="Microsoft JhengHei"/>
                <w:b/>
                <w:color w:val="FFFFFF"/>
                <w:sz w:val="20"/>
              </w:rPr>
              <w:t>Original</w:t>
            </w:r>
          </w:p>
        </w:tc>
        <w:tc>
          <w:tcPr>
            <w:tcW w:type="dxa" w:w="2268"/>
            <w:shd w:fill="12353A"/>
          </w:tcPr>
          <w:p>
            <w:r/>
            <w:r>
              <w:rPr>
                <w:rFonts w:ascii="Calibri" w:hAnsi="Calibri" w:eastAsia="Microsoft JhengHei"/>
                <w:b/>
                <w:color w:val="FFFFFF"/>
                <w:sz w:val="20"/>
              </w:rPr>
              <w:t>In this sentence / place</w:t>
            </w:r>
          </w:p>
        </w:tc>
        <w:tc>
          <w:tcPr>
            <w:tcW w:type="dxa" w:w="2381"/>
            <w:shd w:fill="12353A"/>
          </w:tcPr>
          <w:p>
            <w:r/>
            <w:r>
              <w:rPr>
                <w:rFonts w:ascii="Calibri" w:hAnsi="Calibri" w:eastAsia="Microsoft JhengHei"/>
                <w:b/>
                <w:color w:val="FFFFFF"/>
                <w:sz w:val="20"/>
              </w:rPr>
              <w:t>Hong Kong wording</w:t>
            </w:r>
          </w:p>
        </w:tc>
        <w:tc>
          <w:tcPr>
            <w:tcW w:type="dxa" w:w="2154"/>
            <w:shd w:fill="12353A"/>
          </w:tcPr>
          <w:p>
            <w:r/>
            <w:r>
              <w:rPr>
                <w:rFonts w:ascii="Calibri" w:hAnsi="Calibri" w:eastAsia="Microsoft JhengHei"/>
                <w:b/>
                <w:color w:val="FFFFFF"/>
                <w:sz w:val="20"/>
              </w:rPr>
              <w:t>Note</w:t>
            </w:r>
          </w:p>
        </w:tc>
      </w:tr>
      <w:tr>
        <w:tc>
          <w:tcPr>
            <w:tcW w:type="dxa" w:w="1701"/>
          </w:tcPr>
          <w:p>
            <w:r/>
            <w:r>
              <w:rPr>
                <w:rFonts w:ascii="Calibri" w:hAnsi="Calibri" w:eastAsia="Microsoft JhengHei"/>
                <w:b w:val="0"/>
                <w:sz w:val="20"/>
              </w:rPr>
              <w:t>Site menu</w:t>
            </w:r>
          </w:p>
        </w:tc>
        <w:tc>
          <w:tcPr>
            <w:tcW w:type="dxa" w:w="1814"/>
          </w:tcPr>
          <w:p>
            <w:r/>
            <w:r>
              <w:rPr>
                <w:rFonts w:ascii="Calibri" w:hAnsi="Calibri" w:eastAsia="Microsoft JhengHei"/>
                <w:b w:val="0"/>
                <w:sz w:val="20"/>
              </w:rPr>
              <w:t>血腫專欄</w:t>
            </w:r>
          </w:p>
        </w:tc>
        <w:tc>
          <w:tcPr>
            <w:tcW w:type="dxa" w:w="2268"/>
          </w:tcPr>
          <w:p>
            <w:r/>
            <w:r>
              <w:rPr>
                <w:rFonts w:ascii="Calibri" w:hAnsi="Calibri" w:eastAsia="Microsoft JhengHei"/>
                <w:b w:val="0"/>
                <w:sz w:val="20"/>
              </w:rPr>
              <w:t>Menu item</w:t>
            </w:r>
          </w:p>
        </w:tc>
        <w:tc>
          <w:tcPr>
            <w:tcW w:type="dxa" w:w="2381"/>
          </w:tcPr>
          <w:p>
            <w:r/>
            <w:r>
              <w:rPr>
                <w:rFonts w:ascii="Calibri" w:hAnsi="Calibri" w:eastAsia="Microsoft JhengHei"/>
                <w:b w:val="0"/>
                <w:sz w:val="20"/>
              </w:rPr>
              <w:t>血液腫瘤專欄</w:t>
            </w:r>
          </w:p>
        </w:tc>
        <w:tc>
          <w:tcPr>
            <w:tcW w:type="dxa" w:w="2154"/>
          </w:tcPr>
          <w:p>
            <w:r/>
            <w:r>
              <w:rPr>
                <w:rFonts w:ascii="Calibri" w:hAnsi="Calibri" w:eastAsia="Microsoft JhengHei"/>
                <w:b w:val="0"/>
                <w:sz w:val="20"/>
              </w:rPr>
              <w:t>hematoma ≠ haematology-oncology. Menu only.</w:t>
            </w:r>
          </w:p>
        </w:tc>
      </w:tr>
      <w:tr>
        <w:tc>
          <w:tcPr>
            <w:tcW w:type="dxa" w:w="1701"/>
          </w:tcPr>
          <w:p>
            <w:r/>
            <w:r>
              <w:rPr>
                <w:rFonts w:ascii="Calibri" w:hAnsi="Calibri" w:eastAsia="Microsoft JhengHei"/>
                <w:b w:val="0"/>
                <w:sz w:val="20"/>
              </w:rPr>
              <w:t>Site menu</w:t>
            </w:r>
          </w:p>
        </w:tc>
        <w:tc>
          <w:tcPr>
            <w:tcW w:type="dxa" w:w="1814"/>
          </w:tcPr>
          <w:p>
            <w:r/>
            <w:r>
              <w:rPr>
                <w:rFonts w:ascii="Calibri" w:hAnsi="Calibri" w:eastAsia="Microsoft JhengHei"/>
                <w:b w:val="0"/>
                <w:sz w:val="20"/>
              </w:rPr>
              <w:t>健康照護</w:t>
            </w:r>
          </w:p>
        </w:tc>
        <w:tc>
          <w:tcPr>
            <w:tcW w:type="dxa" w:w="2268"/>
          </w:tcPr>
          <w:p>
            <w:r/>
            <w:r>
              <w:rPr>
                <w:rFonts w:ascii="Calibri" w:hAnsi="Calibri" w:eastAsia="Microsoft JhengHei"/>
                <w:b w:val="0"/>
                <w:sz w:val="20"/>
              </w:rPr>
              <w:t>Menu item</w:t>
            </w:r>
          </w:p>
        </w:tc>
        <w:tc>
          <w:tcPr>
            <w:tcW w:type="dxa" w:w="2381"/>
          </w:tcPr>
          <w:p>
            <w:r/>
            <w:r>
              <w:rPr>
                <w:rFonts w:ascii="Calibri" w:hAnsi="Calibri" w:eastAsia="Microsoft JhengHei"/>
                <w:b w:val="0"/>
                <w:sz w:val="20"/>
              </w:rPr>
              <w:t>健康資訊</w:t>
            </w:r>
          </w:p>
        </w:tc>
        <w:tc>
          <w:tcPr>
            <w:tcW w:type="dxa" w:w="2154"/>
          </w:tcPr>
          <w:p>
            <w:r/>
            <w:r>
              <w:rPr>
                <w:rFonts w:ascii="Calibri" w:hAnsi="Calibri" w:eastAsia="Microsoft JhengHei"/>
                <w:b w:val="0"/>
                <w:sz w:val="20"/>
              </w:rPr>
              <w:t>Menu only; article bodies unchanged.</w:t>
            </w:r>
          </w:p>
        </w:tc>
      </w:tr>
      <w:tr>
        <w:tc>
          <w:tcPr>
            <w:tcW w:type="dxa" w:w="1701"/>
          </w:tcPr>
          <w:p>
            <w:r/>
            <w:r>
              <w:rPr>
                <w:rFonts w:ascii="Calibri" w:hAnsi="Calibri" w:eastAsia="Microsoft JhengHei"/>
                <w:b w:val="0"/>
                <w:sz w:val="20"/>
              </w:rPr>
              <w:t>Menu + page title</w:t>
            </w:r>
          </w:p>
        </w:tc>
        <w:tc>
          <w:tcPr>
            <w:tcW w:type="dxa" w:w="1814"/>
          </w:tcPr>
          <w:p>
            <w:r/>
            <w:r>
              <w:rPr>
                <w:rFonts w:ascii="Calibri" w:hAnsi="Calibri" w:eastAsia="Microsoft JhengHei"/>
                <w:b w:val="0"/>
                <w:sz w:val="20"/>
              </w:rPr>
              <w:t>品味生活 / 生活品味</w:t>
            </w:r>
          </w:p>
        </w:tc>
        <w:tc>
          <w:tcPr>
            <w:tcW w:type="dxa" w:w="2268"/>
          </w:tcPr>
          <w:p>
            <w:r/>
            <w:r>
              <w:rPr>
                <w:rFonts w:ascii="Calibri" w:hAnsi="Calibri" w:eastAsia="Microsoft JhengHei"/>
                <w:b w:val="0"/>
                <w:sz w:val="20"/>
              </w:rPr>
              <w:t>Menu vs title word order</w:t>
            </w:r>
          </w:p>
        </w:tc>
        <w:tc>
          <w:tcPr>
            <w:tcW w:type="dxa" w:w="2381"/>
          </w:tcPr>
          <w:p>
            <w:r/>
            <w:r>
              <w:rPr>
                <w:rFonts w:ascii="Calibri" w:hAnsi="Calibri" w:eastAsia="Microsoft JhengHei"/>
                <w:b w:val="0"/>
                <w:sz w:val="20"/>
              </w:rPr>
              <w:t>品味生活 (both)</w:t>
            </w:r>
          </w:p>
        </w:tc>
        <w:tc>
          <w:tcPr>
            <w:tcW w:type="dxa" w:w="2154"/>
          </w:tcPr>
          <w:p>
            <w:r/>
            <w:r>
              <w:rPr>
                <w:rFonts w:ascii="Calibri" w:hAnsi="Calibri" w:eastAsia="Microsoft JhengHei"/>
                <w:b w:val="0"/>
                <w:sz w:val="20"/>
              </w:rPr>
              <w:t>Unify; do not rewrite articles.</w:t>
            </w:r>
          </w:p>
        </w:tc>
      </w:tr>
      <w:tr>
        <w:tc>
          <w:tcPr>
            <w:tcW w:type="dxa" w:w="1701"/>
          </w:tcPr>
          <w:p>
            <w:r/>
            <w:r>
              <w:rPr>
                <w:rFonts w:ascii="Calibri" w:hAnsi="Calibri" w:eastAsia="Microsoft JhengHei"/>
                <w:b w:val="0"/>
                <w:sz w:val="20"/>
              </w:rPr>
              <w:t>Footer (site-wide)</w:t>
            </w:r>
          </w:p>
        </w:tc>
        <w:tc>
          <w:tcPr>
            <w:tcW w:type="dxa" w:w="1814"/>
          </w:tcPr>
          <w:p>
            <w:r/>
            <w:r>
              <w:rPr>
                <w:rFonts w:ascii="Calibri" w:hAnsi="Calibri" w:eastAsia="Microsoft JhengHei"/>
                <w:b w:val="0"/>
                <w:sz w:val="20"/>
              </w:rPr>
              <w:t>信息</w:t>
            </w:r>
          </w:p>
        </w:tc>
        <w:tc>
          <w:tcPr>
            <w:tcW w:type="dxa" w:w="2268"/>
          </w:tcPr>
          <w:p>
            <w:r/>
            <w:r>
              <w:rPr>
                <w:rFonts w:ascii="Calibri" w:hAnsi="Calibri" w:eastAsia="Microsoft JhengHei"/>
                <w:b w:val="0"/>
                <w:sz w:val="20"/>
              </w:rPr>
              <w:t>非本網站所有之信息</w:t>
            </w:r>
          </w:p>
        </w:tc>
        <w:tc>
          <w:tcPr>
            <w:tcW w:type="dxa" w:w="2381"/>
          </w:tcPr>
          <w:p>
            <w:r/>
            <w:r>
              <w:rPr>
                <w:rFonts w:ascii="Calibri" w:hAnsi="Calibri" w:eastAsia="Microsoft JhengHei"/>
                <w:b w:val="0"/>
                <w:sz w:val="20"/>
              </w:rPr>
              <w:t>資料</w:t>
            </w:r>
          </w:p>
        </w:tc>
        <w:tc>
          <w:tcPr>
            <w:tcW w:type="dxa" w:w="2154"/>
          </w:tcPr>
          <w:p>
            <w:r/>
            <w:r>
              <w:rPr>
                <w:rFonts w:ascii="Calibri" w:hAnsi="Calibri" w:eastAsia="Microsoft JhengHei"/>
                <w:b w:val="0"/>
                <w:sz w:val="20"/>
              </w:rPr>
              <w:t>Shared HK footer.</w:t>
            </w:r>
          </w:p>
        </w:tc>
      </w:tr>
      <w:tr>
        <w:tc>
          <w:tcPr>
            <w:tcW w:type="dxa" w:w="1701"/>
          </w:tcPr>
          <w:p>
            <w:r/>
            <w:r>
              <w:rPr>
                <w:rFonts w:ascii="Calibri" w:hAnsi="Calibri" w:eastAsia="Microsoft JhengHei"/>
                <w:b w:val="0"/>
                <w:sz w:val="20"/>
              </w:rPr>
              <w:t>Footer (site-wide)</w:t>
            </w:r>
          </w:p>
        </w:tc>
        <w:tc>
          <w:tcPr>
            <w:tcW w:type="dxa" w:w="1814"/>
          </w:tcPr>
          <w:p>
            <w:r/>
            <w:r>
              <w:rPr>
                <w:rFonts w:ascii="Calibri" w:hAnsi="Calibri" w:eastAsia="Microsoft JhengHei"/>
                <w:b w:val="0"/>
                <w:sz w:val="20"/>
              </w:rPr>
              <w:t>帳號</w:t>
            </w:r>
          </w:p>
        </w:tc>
        <w:tc>
          <w:tcPr>
            <w:tcW w:type="dxa" w:w="2268"/>
          </w:tcPr>
          <w:p>
            <w:r/>
            <w:r>
              <w:rPr>
                <w:rFonts w:ascii="Calibri" w:hAnsi="Calibri" w:eastAsia="Microsoft JhengHei"/>
                <w:b w:val="0"/>
                <w:sz w:val="20"/>
              </w:rPr>
              <w:t>加入MPN官方line帳號</w:t>
            </w:r>
          </w:p>
        </w:tc>
        <w:tc>
          <w:tcPr>
            <w:tcW w:type="dxa" w:w="2381"/>
          </w:tcPr>
          <w:p>
            <w:r/>
            <w:r>
              <w:rPr>
                <w:rFonts w:ascii="Calibri" w:hAnsi="Calibri" w:eastAsia="Microsoft JhengHei"/>
                <w:b w:val="0"/>
                <w:sz w:val="20"/>
              </w:rPr>
              <w:t>賬號</w:t>
            </w:r>
          </w:p>
        </w:tc>
        <w:tc>
          <w:tcPr>
            <w:tcW w:type="dxa" w:w="2154"/>
          </w:tcPr>
          <w:p>
            <w:r/>
            <w:r>
              <w:rPr>
                <w:rFonts w:ascii="Calibri" w:hAnsi="Calibri" w:eastAsia="Microsoft JhengHei"/>
                <w:b w:val="0"/>
                <w:sz w:val="20"/>
              </w:rPr>
              <w:t>HK 賬. Site-wide footer, so change.</w:t>
            </w:r>
          </w:p>
        </w:tc>
      </w:tr>
      <w:tr>
        <w:tc>
          <w:tcPr>
            <w:tcW w:type="dxa" w:w="1701"/>
          </w:tcPr>
          <w:p>
            <w:r/>
            <w:r>
              <w:rPr>
                <w:rFonts w:ascii="Calibri" w:hAnsi="Calibri" w:eastAsia="Microsoft JhengHei"/>
                <w:b w:val="0"/>
                <w:sz w:val="20"/>
              </w:rPr>
              <w:t>Footer (site-wide)</w:t>
            </w:r>
          </w:p>
        </w:tc>
        <w:tc>
          <w:tcPr>
            <w:tcW w:type="dxa" w:w="1814"/>
          </w:tcPr>
          <w:p>
            <w:r/>
            <w:r>
              <w:rPr>
                <w:rFonts w:ascii="Calibri" w:hAnsi="Calibri" w:eastAsia="Microsoft JhengHei"/>
                <w:b w:val="0"/>
                <w:sz w:val="20"/>
              </w:rPr>
              <w:t>智慧財產權</w:t>
            </w:r>
          </w:p>
        </w:tc>
        <w:tc>
          <w:tcPr>
            <w:tcW w:type="dxa" w:w="2268"/>
          </w:tcPr>
          <w:p>
            <w:r/>
            <w:r>
              <w:rPr>
                <w:rFonts w:ascii="Calibri" w:hAnsi="Calibri" w:eastAsia="Microsoft JhengHei"/>
                <w:b w:val="0"/>
                <w:sz w:val="20"/>
              </w:rPr>
              <w:t>為了尊重授權使用之智慧財產權</w:t>
            </w:r>
          </w:p>
        </w:tc>
        <w:tc>
          <w:tcPr>
            <w:tcW w:type="dxa" w:w="2381"/>
          </w:tcPr>
          <w:p>
            <w:r/>
            <w:r>
              <w:rPr>
                <w:rFonts w:ascii="Calibri" w:hAnsi="Calibri" w:eastAsia="Microsoft JhengHei"/>
                <w:b w:val="0"/>
                <w:sz w:val="20"/>
              </w:rPr>
              <w:t>知識產權</w:t>
            </w:r>
          </w:p>
        </w:tc>
        <w:tc>
          <w:tcPr>
            <w:tcW w:type="dxa" w:w="2154"/>
          </w:tcPr>
          <w:p>
            <w:r/>
            <w:r>
              <w:rPr>
                <w:rFonts w:ascii="Calibri" w:hAnsi="Calibri" w:eastAsia="Microsoft JhengHei"/>
                <w:b w:val="0"/>
                <w:sz w:val="20"/>
              </w:rPr>
              <w:t>Site-wide HK footer.</w:t>
            </w:r>
          </w:p>
        </w:tc>
      </w:tr>
      <w:tr>
        <w:tc>
          <w:tcPr>
            <w:tcW w:type="dxa" w:w="1701"/>
          </w:tcPr>
          <w:p>
            <w:r/>
            <w:r>
              <w:rPr>
                <w:rFonts w:ascii="Calibri" w:hAnsi="Calibri" w:eastAsia="Microsoft JhengHei"/>
                <w:b w:val="0"/>
                <w:sz w:val="20"/>
              </w:rPr>
              <w:t>Home</w:t>
            </w:r>
          </w:p>
        </w:tc>
        <w:tc>
          <w:tcPr>
            <w:tcW w:type="dxa" w:w="1814"/>
          </w:tcPr>
          <w:p>
            <w:r/>
            <w:r>
              <w:rPr>
                <w:rFonts w:ascii="Calibri" w:hAnsi="Calibri" w:eastAsia="Microsoft JhengHei"/>
                <w:b w:val="0"/>
                <w:sz w:val="20"/>
              </w:rPr>
              <w:t>並發症</w:t>
            </w:r>
          </w:p>
        </w:tc>
        <w:tc>
          <w:tcPr>
            <w:tcW w:type="dxa" w:w="2268"/>
          </w:tcPr>
          <w:p>
            <w:r/>
            <w:r>
              <w:rPr>
                <w:rFonts w:ascii="Calibri" w:hAnsi="Calibri" w:eastAsia="Microsoft JhengHei"/>
                <w:b w:val="0"/>
                <w:sz w:val="20"/>
              </w:rPr>
              <w:t>易引發嚴重並發症甚至危及生命</w:t>
            </w:r>
          </w:p>
        </w:tc>
        <w:tc>
          <w:tcPr>
            <w:tcW w:type="dxa" w:w="2381"/>
          </w:tcPr>
          <w:p>
            <w:r/>
            <w:r>
              <w:rPr>
                <w:rFonts w:ascii="Calibri" w:hAnsi="Calibri" w:eastAsia="Microsoft JhengHei"/>
                <w:b w:val="0"/>
                <w:sz w:val="20"/>
              </w:rPr>
              <w:t>併發症</w:t>
            </w:r>
          </w:p>
        </w:tc>
        <w:tc>
          <w:tcPr>
            <w:tcW w:type="dxa" w:w="2154"/>
          </w:tcPr>
          <w:p>
            <w:r/>
            <w:r>
              <w:rPr>
                <w:rFonts w:ascii="Calibri" w:hAnsi="Calibri" w:eastAsia="Microsoft JhengHei"/>
                <w:b w:val="0"/>
                <w:sz w:val="20"/>
              </w:rPr>
              <w:t>Correct medical character. Live /zh-hk introduced 並.</w:t>
            </w:r>
          </w:p>
        </w:tc>
      </w:tr>
      <w:tr>
        <w:tc>
          <w:tcPr>
            <w:tcW w:type="dxa" w:w="1701"/>
          </w:tcPr>
          <w:p>
            <w:r/>
            <w:r>
              <w:rPr>
                <w:rFonts w:ascii="Calibri" w:hAnsi="Calibri" w:eastAsia="Microsoft JhengHei"/>
                <w:b w:val="0"/>
                <w:sz w:val="20"/>
              </w:rPr>
              <w:t>About MPN</w:t>
            </w:r>
          </w:p>
        </w:tc>
        <w:tc>
          <w:tcPr>
            <w:tcW w:type="dxa" w:w="1814"/>
          </w:tcPr>
          <w:p>
            <w:r/>
            <w:r>
              <w:rPr>
                <w:rFonts w:ascii="Calibri" w:hAnsi="Calibri" w:eastAsia="Microsoft JhengHei"/>
                <w:b w:val="0"/>
                <w:sz w:val="20"/>
              </w:rPr>
              <w:t>紅細胞</w:t>
            </w:r>
          </w:p>
        </w:tc>
        <w:tc>
          <w:tcPr>
            <w:tcW w:type="dxa" w:w="2268"/>
          </w:tcPr>
          <w:p>
            <w:r/>
            <w:r>
              <w:rPr>
                <w:rFonts w:ascii="Calibri" w:hAnsi="Calibri" w:eastAsia="Microsoft JhengHei"/>
                <w:b w:val="0"/>
                <w:sz w:val="20"/>
              </w:rPr>
              <w:t>真性紅細胞增多症 / 主要是紅細胞增生</w:t>
            </w:r>
          </w:p>
        </w:tc>
        <w:tc>
          <w:tcPr>
            <w:tcW w:type="dxa" w:w="2381"/>
          </w:tcPr>
          <w:p>
            <w:r/>
            <w:r>
              <w:rPr>
                <w:rFonts w:ascii="Calibri" w:hAnsi="Calibri" w:eastAsia="Microsoft JhengHei"/>
                <w:b w:val="0"/>
                <w:sz w:val="20"/>
              </w:rPr>
              <w:t>紅血球</w:t>
            </w:r>
          </w:p>
        </w:tc>
        <w:tc>
          <w:tcPr>
            <w:tcW w:type="dxa" w:w="2154"/>
          </w:tcPr>
          <w:p>
            <w:r/>
            <w:r>
              <w:rPr>
                <w:rFonts w:ascii="Calibri" w:hAnsi="Calibri" w:eastAsia="Microsoft JhengHei"/>
                <w:b w:val="0"/>
                <w:sz w:val="20"/>
              </w:rPr>
              <w:t>Stop machine-translation regression.</w:t>
            </w:r>
          </w:p>
        </w:tc>
      </w:tr>
      <w:tr>
        <w:tc>
          <w:tcPr>
            <w:tcW w:type="dxa" w:w="1701"/>
          </w:tcPr>
          <w:p>
            <w:r/>
            <w:r>
              <w:rPr>
                <w:rFonts w:ascii="Calibri" w:hAnsi="Calibri" w:eastAsia="Microsoft JhengHei"/>
                <w:b w:val="0"/>
                <w:sz w:val="20"/>
              </w:rPr>
              <w:t>About MPN</w:t>
            </w:r>
          </w:p>
        </w:tc>
        <w:tc>
          <w:tcPr>
            <w:tcW w:type="dxa" w:w="1814"/>
          </w:tcPr>
          <w:p>
            <w:r/>
            <w:r>
              <w:rPr>
                <w:rFonts w:ascii="Calibri" w:hAnsi="Calibri" w:eastAsia="Microsoft JhengHei"/>
                <w:b w:val="0"/>
                <w:sz w:val="20"/>
              </w:rPr>
              <w:t>白細胞</w:t>
            </w:r>
          </w:p>
        </w:tc>
        <w:tc>
          <w:tcPr>
            <w:tcW w:type="dxa" w:w="2268"/>
          </w:tcPr>
          <w:p>
            <w:r/>
            <w:r>
              <w:rPr>
                <w:rFonts w:ascii="Calibri" w:hAnsi="Calibri" w:eastAsia="Microsoft JhengHei"/>
                <w:b w:val="0"/>
                <w:sz w:val="20"/>
              </w:rPr>
              <w:t>血小板與白細胞增多</w:t>
            </w:r>
          </w:p>
        </w:tc>
        <w:tc>
          <w:tcPr>
            <w:tcW w:type="dxa" w:w="2381"/>
          </w:tcPr>
          <w:p>
            <w:r/>
            <w:r>
              <w:rPr>
                <w:rFonts w:ascii="Calibri" w:hAnsi="Calibri" w:eastAsia="Microsoft JhengHei"/>
                <w:b w:val="0"/>
                <w:sz w:val="20"/>
              </w:rPr>
              <w:t>白血球</w:t>
            </w:r>
          </w:p>
        </w:tc>
        <w:tc>
          <w:tcPr>
            <w:tcW w:type="dxa" w:w="2154"/>
          </w:tcPr>
          <w:p>
            <w:r/>
            <w:r>
              <w:rPr>
                <w:rFonts w:ascii="Calibri" w:hAnsi="Calibri" w:eastAsia="Microsoft JhengHei"/>
                <w:b w:val="0"/>
                <w:sz w:val="20"/>
              </w:rPr>
              <w:t>Align with 紅血球.</w:t>
            </w:r>
          </w:p>
        </w:tc>
      </w:tr>
      <w:tr>
        <w:tc>
          <w:tcPr>
            <w:tcW w:type="dxa" w:w="1701"/>
          </w:tcPr>
          <w:p>
            <w:r/>
            <w:r>
              <w:rPr>
                <w:rFonts w:ascii="Calibri" w:hAnsi="Calibri" w:eastAsia="Microsoft JhengHei"/>
                <w:b w:val="0"/>
                <w:sz w:val="20"/>
              </w:rPr>
              <w:t>About MPN</w:t>
            </w:r>
          </w:p>
        </w:tc>
        <w:tc>
          <w:tcPr>
            <w:tcW w:type="dxa" w:w="1814"/>
          </w:tcPr>
          <w:p>
            <w:r/>
            <w:r>
              <w:rPr>
                <w:rFonts w:ascii="Calibri" w:hAnsi="Calibri" w:eastAsia="Microsoft JhengHei"/>
                <w:b w:val="0"/>
                <w:sz w:val="20"/>
              </w:rPr>
              <w:t>血細胞</w:t>
            </w:r>
          </w:p>
        </w:tc>
        <w:tc>
          <w:tcPr>
            <w:tcW w:type="dxa" w:w="2268"/>
          </w:tcPr>
          <w:p>
            <w:r/>
            <w:r>
              <w:rPr>
                <w:rFonts w:ascii="Calibri" w:hAnsi="Calibri" w:eastAsia="Microsoft JhengHei"/>
                <w:b w:val="0"/>
                <w:sz w:val="20"/>
              </w:rPr>
              <w:t>If present on the same page</w:t>
            </w:r>
          </w:p>
        </w:tc>
        <w:tc>
          <w:tcPr>
            <w:tcW w:type="dxa" w:w="2381"/>
          </w:tcPr>
          <w:p>
            <w:r/>
            <w:r>
              <w:rPr>
                <w:rFonts w:ascii="Calibri" w:hAnsi="Calibri" w:eastAsia="Microsoft JhengHei"/>
                <w:b w:val="0"/>
                <w:sz w:val="20"/>
              </w:rPr>
              <w:t>血球</w:t>
            </w:r>
          </w:p>
        </w:tc>
        <w:tc>
          <w:tcPr>
            <w:tcW w:type="dxa" w:w="2154"/>
          </w:tcPr>
          <w:p>
            <w:r/>
            <w:r>
              <w:rPr>
                <w:rFonts w:ascii="Calibri" w:hAnsi="Calibri" w:eastAsia="Microsoft JhengHei"/>
                <w:b w:val="0"/>
                <w:sz w:val="20"/>
              </w:rPr>
              <w:t>Avoid ⋯細胞 for blood cells.</w:t>
            </w:r>
          </w:p>
        </w:tc>
      </w:tr>
      <w:tr>
        <w:tc>
          <w:tcPr>
            <w:tcW w:type="dxa" w:w="1701"/>
          </w:tcPr>
          <w:p>
            <w:r/>
            <w:r>
              <w:rPr>
                <w:rFonts w:ascii="Calibri" w:hAnsi="Calibri" w:eastAsia="Microsoft JhengHei"/>
                <w:b w:val="0"/>
                <w:sz w:val="20"/>
              </w:rPr>
              <w:t>About MPN</w:t>
            </w:r>
          </w:p>
        </w:tc>
        <w:tc>
          <w:tcPr>
            <w:tcW w:type="dxa" w:w="1814"/>
          </w:tcPr>
          <w:p>
            <w:r/>
            <w:r>
              <w:rPr>
                <w:rFonts w:ascii="Calibri" w:hAnsi="Calibri" w:eastAsia="Microsoft JhengHei"/>
                <w:b w:val="0"/>
                <w:sz w:val="20"/>
              </w:rPr>
              <w:t>按我了解更多</w:t>
            </w:r>
          </w:p>
        </w:tc>
        <w:tc>
          <w:tcPr>
            <w:tcW w:type="dxa" w:w="2268"/>
          </w:tcPr>
          <w:p>
            <w:r/>
            <w:r>
              <w:rPr>
                <w:rFonts w:ascii="Calibri" w:hAnsi="Calibri" w:eastAsia="Microsoft JhengHei"/>
                <w:b w:val="0"/>
                <w:sz w:val="20"/>
              </w:rPr>
              <w:t>按我了解更多MPN</w:t>
            </w:r>
          </w:p>
        </w:tc>
        <w:tc>
          <w:tcPr>
            <w:tcW w:type="dxa" w:w="2381"/>
          </w:tcPr>
          <w:p>
            <w:r/>
            <w:r>
              <w:rPr>
                <w:rFonts w:ascii="Calibri" w:hAnsi="Calibri" w:eastAsia="Microsoft JhengHei"/>
                <w:b w:val="0"/>
                <w:sz w:val="20"/>
              </w:rPr>
              <w:t>按此了解更多</w:t>
            </w:r>
          </w:p>
        </w:tc>
        <w:tc>
          <w:tcPr>
            <w:tcW w:type="dxa" w:w="2154"/>
          </w:tcPr>
          <w:p>
            <w:r/>
            <w:r>
              <w:rPr>
                <w:rFonts w:ascii="Calibri" w:hAnsi="Calibri" w:eastAsia="Microsoft JhengHei"/>
                <w:b w:val="0"/>
                <w:sz w:val="20"/>
              </w:rPr>
              <w:t>HK web copy rarely uses 按我.</w:t>
            </w:r>
          </w:p>
        </w:tc>
      </w:tr>
      <w:tr>
        <w:tc>
          <w:tcPr>
            <w:tcW w:type="dxa" w:w="1701"/>
          </w:tcPr>
          <w:p>
            <w:r/>
            <w:r>
              <w:rPr>
                <w:rFonts w:ascii="Calibri" w:hAnsi="Calibri" w:eastAsia="Microsoft JhengHei"/>
                <w:b w:val="0"/>
                <w:sz w:val="20"/>
              </w:rPr>
              <w:t>Education page</w:t>
            </w:r>
          </w:p>
        </w:tc>
        <w:tc>
          <w:tcPr>
            <w:tcW w:type="dxa" w:w="1814"/>
          </w:tcPr>
          <w:p>
            <w:r/>
            <w:r>
              <w:rPr>
                <w:rFonts w:ascii="Calibri" w:hAnsi="Calibri" w:eastAsia="Microsoft JhengHei"/>
                <w:b w:val="0"/>
                <w:sz w:val="20"/>
              </w:rPr>
              <w:t>衛教專區</w:t>
            </w:r>
          </w:p>
        </w:tc>
        <w:tc>
          <w:tcPr>
            <w:tcW w:type="dxa" w:w="2268"/>
          </w:tcPr>
          <w:p>
            <w:r/>
            <w:r>
              <w:rPr>
                <w:rFonts w:ascii="Calibri" w:hAnsi="Calibri" w:eastAsia="Microsoft JhengHei"/>
                <w:b w:val="0"/>
                <w:sz w:val="20"/>
              </w:rPr>
              <w:t>Page / category name</w:t>
            </w:r>
          </w:p>
        </w:tc>
        <w:tc>
          <w:tcPr>
            <w:tcW w:type="dxa" w:w="2381"/>
          </w:tcPr>
          <w:p>
            <w:r/>
            <w:r>
              <w:rPr>
                <w:rFonts w:ascii="Calibri" w:hAnsi="Calibri" w:eastAsia="Microsoft JhengHei"/>
                <w:b w:val="0"/>
                <w:sz w:val="20"/>
              </w:rPr>
              <w:t>病人教育專區</w:t>
            </w:r>
          </w:p>
        </w:tc>
        <w:tc>
          <w:tcPr>
            <w:tcW w:type="dxa" w:w="2154"/>
          </w:tcPr>
          <w:p>
            <w:r/>
            <w:r>
              <w:rPr>
                <w:rFonts w:ascii="Calibri" w:hAnsi="Calibri" w:eastAsia="Microsoft JhengHei"/>
                <w:b w:val="0"/>
                <w:sz w:val="20"/>
              </w:rPr>
              <w:t>Name only. No regional banner on this page.</w:t>
            </w:r>
          </w:p>
        </w:tc>
      </w:tr>
      <w:tr>
        <w:tc>
          <w:tcPr>
            <w:tcW w:type="dxa" w:w="1701"/>
          </w:tcPr>
          <w:p>
            <w:r/>
            <w:r>
              <w:rPr>
                <w:rFonts w:ascii="Calibri" w:hAnsi="Calibri" w:eastAsia="Microsoft JhengHei"/>
                <w:b w:val="0"/>
                <w:sz w:val="20"/>
              </w:rPr>
              <w:t>Education page</w:t>
            </w:r>
          </w:p>
        </w:tc>
        <w:tc>
          <w:tcPr>
            <w:tcW w:type="dxa" w:w="1814"/>
          </w:tcPr>
          <w:p>
            <w:r/>
            <w:r>
              <w:rPr>
                <w:rFonts w:ascii="Calibri" w:hAnsi="Calibri" w:eastAsia="Microsoft JhengHei"/>
                <w:b w:val="0"/>
                <w:sz w:val="20"/>
              </w:rPr>
              <w:t>紅細胞增多症</w:t>
            </w:r>
          </w:p>
        </w:tc>
        <w:tc>
          <w:tcPr>
            <w:tcW w:type="dxa" w:w="2268"/>
          </w:tcPr>
          <w:p>
            <w:r/>
            <w:r>
              <w:rPr>
                <w:rFonts w:ascii="Calibri" w:hAnsi="Calibri" w:eastAsia="Microsoft JhengHei"/>
                <w:b w:val="0"/>
                <w:sz w:val="20"/>
              </w:rPr>
              <w:t>認識紅細胞增多症</w:t>
            </w:r>
          </w:p>
        </w:tc>
        <w:tc>
          <w:tcPr>
            <w:tcW w:type="dxa" w:w="2381"/>
          </w:tcPr>
          <w:p>
            <w:r/>
            <w:r>
              <w:rPr>
                <w:rFonts w:ascii="Calibri" w:hAnsi="Calibri" w:eastAsia="Microsoft JhengHei"/>
                <w:b w:val="0"/>
                <w:sz w:val="20"/>
              </w:rPr>
              <w:t>認識紅血球增多症</w:t>
            </w:r>
          </w:p>
        </w:tc>
        <w:tc>
          <w:tcPr>
            <w:tcW w:type="dxa" w:w="2154"/>
          </w:tcPr>
          <w:p>
            <w:r/>
            <w:r>
              <w:rPr>
                <w:rFonts w:ascii="Calibri" w:hAnsi="Calibri" w:eastAsia="Microsoft JhengHei"/>
                <w:b w:val="0"/>
                <w:sz w:val="20"/>
              </w:rPr>
              <w:t>Align titles.</w:t>
            </w:r>
          </w:p>
        </w:tc>
      </w:tr>
      <w:tr>
        <w:tc>
          <w:tcPr>
            <w:tcW w:type="dxa" w:w="1701"/>
          </w:tcPr>
          <w:p>
            <w:r/>
            <w:r>
              <w:rPr>
                <w:rFonts w:ascii="Calibri" w:hAnsi="Calibri" w:eastAsia="Microsoft JhengHei"/>
                <w:b w:val="0"/>
                <w:sz w:val="20"/>
              </w:rPr>
              <w:t>Education page</w:t>
            </w:r>
          </w:p>
        </w:tc>
        <w:tc>
          <w:tcPr>
            <w:tcW w:type="dxa" w:w="1814"/>
          </w:tcPr>
          <w:p>
            <w:r/>
            <w:r>
              <w:rPr>
                <w:rFonts w:ascii="Calibri" w:hAnsi="Calibri" w:eastAsia="Microsoft JhengHei"/>
                <w:b w:val="0"/>
                <w:sz w:val="20"/>
              </w:rPr>
              <w:t>有愛相髓病友故事集</w:t>
            </w:r>
          </w:p>
        </w:tc>
        <w:tc>
          <w:tcPr>
            <w:tcW w:type="dxa" w:w="2268"/>
          </w:tcPr>
          <w:p>
            <w:r/>
            <w:r>
              <w:rPr>
                <w:rFonts w:ascii="Calibri" w:hAnsi="Calibri" w:eastAsia="Microsoft JhengHei"/>
                <w:b w:val="0"/>
                <w:sz w:val="20"/>
              </w:rPr>
              <w:t>Category title</w:t>
            </w:r>
          </w:p>
        </w:tc>
        <w:tc>
          <w:tcPr>
            <w:tcW w:type="dxa" w:w="2381"/>
          </w:tcPr>
          <w:p>
            <w:r/>
            <w:r>
              <w:rPr>
                <w:rFonts w:ascii="Calibri" w:hAnsi="Calibri" w:eastAsia="Microsoft JhengHei"/>
                <w:b w:val="0"/>
                <w:sz w:val="20"/>
              </w:rPr>
              <w:t>病友故事集</w:t>
            </w:r>
          </w:p>
        </w:tc>
        <w:tc>
          <w:tcPr>
            <w:tcW w:type="dxa" w:w="2154"/>
          </w:tcPr>
          <w:p>
            <w:r/>
            <w:r>
              <w:rPr>
                <w:rFonts w:ascii="Calibri" w:hAnsi="Calibri" w:eastAsia="Microsoft JhengHei"/>
                <w:b w:val="0"/>
                <w:sz w:val="20"/>
              </w:rPr>
              <w:t>Name only; story bodies unchanged.</w:t>
            </w:r>
          </w:p>
        </w:tc>
      </w:tr>
      <w:tr>
        <w:tc>
          <w:tcPr>
            <w:tcW w:type="dxa" w:w="1701"/>
          </w:tcPr>
          <w:p>
            <w:r/>
            <w:r>
              <w:rPr>
                <w:rFonts w:ascii="Calibri" w:hAnsi="Calibri" w:eastAsia="Microsoft JhengHei"/>
                <w:b w:val="0"/>
                <w:sz w:val="20"/>
              </w:rPr>
              <w:t>Terms</w:t>
            </w:r>
          </w:p>
        </w:tc>
        <w:tc>
          <w:tcPr>
            <w:tcW w:type="dxa" w:w="1814"/>
          </w:tcPr>
          <w:p>
            <w:r/>
            <w:r>
              <w:rPr>
                <w:rFonts w:ascii="Calibri" w:hAnsi="Calibri" w:eastAsia="Microsoft JhengHei"/>
                <w:b w:val="0"/>
                <w:sz w:val="20"/>
              </w:rPr>
              <w:t>無限製</w:t>
            </w:r>
          </w:p>
        </w:tc>
        <w:tc>
          <w:tcPr>
            <w:tcW w:type="dxa" w:w="2268"/>
          </w:tcPr>
          <w:p>
            <w:r/>
            <w:r>
              <w:rPr>
                <w:rFonts w:ascii="Calibri" w:hAnsi="Calibri" w:eastAsia="Microsoft JhengHei"/>
                <w:b w:val="0"/>
                <w:sz w:val="20"/>
              </w:rPr>
              <w:t>您無限製或無條件地接受這些條款</w:t>
            </w:r>
          </w:p>
        </w:tc>
        <w:tc>
          <w:tcPr>
            <w:tcW w:type="dxa" w:w="2381"/>
          </w:tcPr>
          <w:p>
            <w:r/>
            <w:r>
              <w:rPr>
                <w:rFonts w:ascii="Calibri" w:hAnsi="Calibri" w:eastAsia="Microsoft JhengHei"/>
                <w:b w:val="0"/>
                <w:sz w:val="20"/>
              </w:rPr>
              <w:t>無限制</w:t>
            </w:r>
          </w:p>
        </w:tc>
        <w:tc>
          <w:tcPr>
            <w:tcW w:type="dxa" w:w="2154"/>
          </w:tcPr>
          <w:p>
            <w:r/>
            <w:r>
              <w:rPr>
                <w:rFonts w:ascii="Calibri" w:hAnsi="Calibri" w:eastAsia="Microsoft JhengHei"/>
                <w:b w:val="0"/>
                <w:sz w:val="20"/>
              </w:rPr>
              <w:t>Simplified-to-traditional error.</w:t>
            </w:r>
          </w:p>
        </w:tc>
      </w:tr>
      <w:tr>
        <w:tc>
          <w:tcPr>
            <w:tcW w:type="dxa" w:w="1701"/>
          </w:tcPr>
          <w:p>
            <w:r/>
            <w:r>
              <w:rPr>
                <w:rFonts w:ascii="Calibri" w:hAnsi="Calibri" w:eastAsia="Microsoft JhengHei"/>
                <w:b w:val="0"/>
                <w:sz w:val="20"/>
              </w:rPr>
              <w:t>Terms</w:t>
            </w:r>
          </w:p>
        </w:tc>
        <w:tc>
          <w:tcPr>
            <w:tcW w:type="dxa" w:w="1814"/>
          </w:tcPr>
          <w:p>
            <w:r/>
            <w:r>
              <w:rPr>
                <w:rFonts w:ascii="Calibri" w:hAnsi="Calibri" w:eastAsia="Microsoft JhengHei"/>
                <w:b w:val="0"/>
                <w:sz w:val="20"/>
              </w:rPr>
              <w:t>個資</w:t>
            </w:r>
          </w:p>
        </w:tc>
        <w:tc>
          <w:tcPr>
            <w:tcW w:type="dxa" w:w="2268"/>
          </w:tcPr>
          <w:p>
            <w:r/>
            <w:r>
              <w:rPr>
                <w:rFonts w:ascii="Calibri" w:hAnsi="Calibri" w:eastAsia="Microsoft JhengHei"/>
                <w:b w:val="0"/>
                <w:sz w:val="20"/>
              </w:rPr>
              <w:t>刪除您的個資等權利</w:t>
            </w:r>
          </w:p>
        </w:tc>
        <w:tc>
          <w:tcPr>
            <w:tcW w:type="dxa" w:w="2381"/>
          </w:tcPr>
          <w:p>
            <w:r/>
            <w:r>
              <w:rPr>
                <w:rFonts w:ascii="Calibri" w:hAnsi="Calibri" w:eastAsia="Microsoft JhengHei"/>
                <w:b w:val="0"/>
                <w:sz w:val="20"/>
              </w:rPr>
              <w:t>個人資料</w:t>
            </w:r>
          </w:p>
        </w:tc>
        <w:tc>
          <w:tcPr>
            <w:tcW w:type="dxa" w:w="2154"/>
          </w:tcPr>
          <w:p>
            <w:r/>
            <w:r>
              <w:rPr>
                <w:rFonts w:ascii="Calibri" w:hAnsi="Calibri" w:eastAsia="Microsoft JhengHei"/>
                <w:b w:val="0"/>
                <w:sz w:val="20"/>
              </w:rPr>
              <w:t>Not used in HK legal copy.</w:t>
            </w:r>
          </w:p>
        </w:tc>
      </w:tr>
      <w:tr>
        <w:tc>
          <w:tcPr>
            <w:tcW w:type="dxa" w:w="1701"/>
          </w:tcPr>
          <w:p>
            <w:r/>
            <w:r>
              <w:rPr>
                <w:rFonts w:ascii="Calibri" w:hAnsi="Calibri" w:eastAsia="Microsoft JhengHei"/>
                <w:b w:val="0"/>
                <w:sz w:val="20"/>
              </w:rPr>
              <w:t>Terms</w:t>
            </w:r>
          </w:p>
        </w:tc>
        <w:tc>
          <w:tcPr>
            <w:tcW w:type="dxa" w:w="1814"/>
          </w:tcPr>
          <w:p>
            <w:r/>
            <w:r>
              <w:rPr>
                <w:rFonts w:ascii="Calibri" w:hAnsi="Calibri" w:eastAsia="Microsoft JhengHei"/>
                <w:b w:val="0"/>
                <w:sz w:val="20"/>
              </w:rPr>
              <w:t>個人資料保護法 第3、10、11條</w:t>
            </w:r>
          </w:p>
        </w:tc>
        <w:tc>
          <w:tcPr>
            <w:tcW w:type="dxa" w:w="2268"/>
          </w:tcPr>
          <w:p>
            <w:r/>
            <w:r>
              <w:rPr>
                <w:rFonts w:ascii="Calibri" w:hAnsi="Calibri" w:eastAsia="Microsoft JhengHei"/>
                <w:b w:val="0"/>
                <w:sz w:val="20"/>
              </w:rPr>
              <w:t>Taiwan PDPA clause numbers</w:t>
            </w:r>
          </w:p>
        </w:tc>
        <w:tc>
          <w:tcPr>
            <w:tcW w:type="dxa" w:w="2381"/>
          </w:tcPr>
          <w:p>
            <w:r/>
            <w:r>
              <w:rPr>
                <w:rFonts w:ascii="Calibri" w:hAnsi="Calibri" w:eastAsia="Microsoft JhengHei"/>
                <w:b w:val="0"/>
                <w:sz w:val="20"/>
              </w:rPr>
              <w:t>Rewrite under 《個人資料（私隱）條例》(Cap. 486)</w:t>
            </w:r>
          </w:p>
        </w:tc>
        <w:tc>
          <w:tcPr>
            <w:tcW w:type="dxa" w:w="2154"/>
          </w:tcPr>
          <w:p>
            <w:r/>
            <w:r>
              <w:rPr>
                <w:rFonts w:ascii="Calibri" w:hAnsi="Calibri" w:eastAsia="Microsoft JhengHei"/>
                <w:b w:val="0"/>
                <w:sz w:val="20"/>
              </w:rPr>
              <w:t>Do not keep Arts. 3/10/11. See File 2.</w:t>
            </w:r>
          </w:p>
        </w:tc>
      </w:tr>
      <w:tr>
        <w:tc>
          <w:tcPr>
            <w:tcW w:type="dxa" w:w="1701"/>
          </w:tcPr>
          <w:p>
            <w:r/>
            <w:r>
              <w:rPr>
                <w:rFonts w:ascii="Calibri" w:hAnsi="Calibri" w:eastAsia="Microsoft JhengHei"/>
                <w:b w:val="0"/>
                <w:sz w:val="20"/>
              </w:rPr>
              <w:t>Terms</w:t>
            </w:r>
          </w:p>
        </w:tc>
        <w:tc>
          <w:tcPr>
            <w:tcW w:type="dxa" w:w="1814"/>
          </w:tcPr>
          <w:p>
            <w:r/>
            <w:r>
              <w:rPr>
                <w:rFonts w:ascii="Calibri" w:hAnsi="Calibri" w:eastAsia="Microsoft JhengHei"/>
                <w:b w:val="0"/>
                <w:sz w:val="20"/>
              </w:rPr>
              <w:t>互聯網事業</w:t>
            </w:r>
          </w:p>
        </w:tc>
        <w:tc>
          <w:tcPr>
            <w:tcW w:type="dxa" w:w="2268"/>
          </w:tcPr>
          <w:p>
            <w:r/>
            <w:r>
              <w:rPr>
                <w:rFonts w:ascii="Calibri" w:hAnsi="Calibri" w:eastAsia="Microsoft JhengHei"/>
                <w:b w:val="0"/>
                <w:sz w:val="20"/>
              </w:rPr>
              <w:t>如同非互聯網事業的使用方式</w:t>
            </w:r>
          </w:p>
        </w:tc>
        <w:tc>
          <w:tcPr>
            <w:tcW w:type="dxa" w:w="2381"/>
          </w:tcPr>
          <w:p>
            <w:r/>
            <w:r>
              <w:rPr>
                <w:rFonts w:ascii="Calibri" w:hAnsi="Calibri" w:eastAsia="Microsoft JhengHei"/>
                <w:b w:val="0"/>
                <w:sz w:val="20"/>
              </w:rPr>
              <w:t>網上業務</w:t>
            </w:r>
          </w:p>
        </w:tc>
        <w:tc>
          <w:tcPr>
            <w:tcW w:type="dxa" w:w="2154"/>
          </w:tcPr>
          <w:p>
            <w:r/>
            <w:r>
              <w:rPr>
                <w:rFonts w:ascii="Calibri" w:hAnsi="Calibri" w:eastAsia="Microsoft JhengHei"/>
                <w:b w:val="0"/>
                <w:sz w:val="20"/>
              </w:rPr>
              <w:t>HK commercial wording.</w:t>
            </w:r>
          </w:p>
        </w:tc>
      </w:tr>
      <w:tr>
        <w:tc>
          <w:tcPr>
            <w:tcW w:type="dxa" w:w="1701"/>
          </w:tcPr>
          <w:p>
            <w:r/>
            <w:r>
              <w:rPr>
                <w:rFonts w:ascii="Calibri" w:hAnsi="Calibri" w:eastAsia="Microsoft JhengHei"/>
                <w:b w:val="0"/>
                <w:sz w:val="20"/>
              </w:rPr>
              <w:t>Terms</w:t>
            </w:r>
          </w:p>
        </w:tc>
        <w:tc>
          <w:tcPr>
            <w:tcW w:type="dxa" w:w="1814"/>
          </w:tcPr>
          <w:p>
            <w:r/>
            <w:r>
              <w:rPr>
                <w:rFonts w:ascii="Calibri" w:hAnsi="Calibri" w:eastAsia="Microsoft JhengHei"/>
                <w:b w:val="0"/>
                <w:sz w:val="20"/>
              </w:rPr>
              <w:t>藥華藥 / 藥華醫藥</w:t>
            </w:r>
          </w:p>
        </w:tc>
        <w:tc>
          <w:tcPr>
            <w:tcW w:type="dxa" w:w="2268"/>
          </w:tcPr>
          <w:p>
            <w:r/>
            <w:r>
              <w:rPr>
                <w:rFonts w:ascii="Calibri" w:hAnsi="Calibri" w:eastAsia="Microsoft JhengHei"/>
                <w:b w:val="0"/>
                <w:sz w:val="20"/>
              </w:rPr>
              <w:t>Two short names mixed</w:t>
            </w:r>
          </w:p>
        </w:tc>
        <w:tc>
          <w:tcPr>
            <w:tcW w:type="dxa" w:w="2381"/>
          </w:tcPr>
          <w:p>
            <w:r/>
            <w:r>
              <w:rPr>
                <w:rFonts w:ascii="Calibri" w:hAnsi="Calibri" w:eastAsia="Microsoft JhengHei"/>
                <w:b w:val="0"/>
                <w:sz w:val="20"/>
              </w:rPr>
              <w:t>藥華醫藥 (first mention: PharmaEssentia 藥華醫藥)</w:t>
            </w:r>
          </w:p>
        </w:tc>
        <w:tc>
          <w:tcPr>
            <w:tcW w:type="dxa" w:w="2154"/>
          </w:tcPr>
          <w:p>
            <w:r/>
            <w:r>
              <w:rPr>
                <w:rFonts w:ascii="Calibri" w:hAnsi="Calibri" w:eastAsia="Microsoft JhengHei"/>
                <w:b w:val="0"/>
                <w:sz w:val="20"/>
              </w:rPr>
              <w:t>Unify.</w:t>
            </w:r>
          </w:p>
        </w:tc>
      </w:tr>
      <w:tr>
        <w:tc>
          <w:tcPr>
            <w:tcW w:type="dxa" w:w="1701"/>
          </w:tcPr>
          <w:p>
            <w:r/>
            <w:r>
              <w:rPr>
                <w:rFonts w:ascii="Calibri" w:hAnsi="Calibri" w:eastAsia="Microsoft JhengHei"/>
                <w:b w:val="0"/>
                <w:sz w:val="20"/>
              </w:rPr>
              <w:t>Terms</w:t>
            </w:r>
          </w:p>
        </w:tc>
        <w:tc>
          <w:tcPr>
            <w:tcW w:type="dxa" w:w="1814"/>
          </w:tcPr>
          <w:p>
            <w:r/>
            <w:r>
              <w:rPr>
                <w:rFonts w:ascii="Calibri" w:hAnsi="Calibri" w:eastAsia="Microsoft JhengHei"/>
                <w:b w:val="0"/>
                <w:sz w:val="20"/>
              </w:rPr>
              <w:t>百份百 / 資訊</w:t>
            </w:r>
          </w:p>
        </w:tc>
        <w:tc>
          <w:tcPr>
            <w:tcW w:type="dxa" w:w="2268"/>
          </w:tcPr>
          <w:p>
            <w:r/>
            <w:r>
              <w:rPr>
                <w:rFonts w:ascii="Calibri" w:hAnsi="Calibri" w:eastAsia="Microsoft JhengHei"/>
                <w:b w:val="0"/>
                <w:sz w:val="20"/>
              </w:rPr>
              <w:t>無法保證資訊百份百正確無誤</w:t>
            </w:r>
          </w:p>
        </w:tc>
        <w:tc>
          <w:tcPr>
            <w:tcW w:type="dxa" w:w="2381"/>
          </w:tcPr>
          <w:p>
            <w:r/>
            <w:r>
              <w:rPr>
                <w:rFonts w:ascii="Calibri" w:hAnsi="Calibri" w:eastAsia="Microsoft JhengHei"/>
                <w:b w:val="0"/>
                <w:sz w:val="20"/>
              </w:rPr>
              <w:t>百分百 / 資料</w:t>
            </w:r>
          </w:p>
        </w:tc>
        <w:tc>
          <w:tcPr>
            <w:tcW w:type="dxa" w:w="2154"/>
          </w:tcPr>
          <w:p>
            <w:r/>
            <w:r>
              <w:rPr>
                <w:rFonts w:ascii="Calibri" w:hAnsi="Calibri" w:eastAsia="Microsoft JhengHei"/>
                <w:b w:val="0"/>
                <w:sz w:val="20"/>
              </w:rPr>
              <w:t>Correct character + footer alignment.</w:t>
            </w:r>
          </w:p>
        </w:tc>
      </w:tr>
    </w:tbl>
    <w:p/>
    <w:p>
      <w:pPr>
        <w:pStyle w:val="Heading1"/>
      </w:pPr>
      <w:r>
        <w:rPr>
          <w:rFonts w:ascii="Calibri" w:hAnsi="Calibri" w:eastAsia="Microsoft JhengHei"/>
          <w:b/>
          <w:color w:val="12353A"/>
          <w:sz w:val="32"/>
        </w:rPr>
        <w:t>4. What must not change</w:t>
      </w:r>
    </w:p>
    <w:p>
      <w:pPr>
        <w:spacing w:after="160"/>
      </w:pPr>
      <w:r>
        <w:rPr>
          <w:rFonts w:ascii="Calibri" w:hAnsi="Calibri" w:eastAsia="Microsoft JhengHei"/>
          <w:b w:val="0"/>
          <w:sz w:val="22"/>
        </w:rPr>
        <w:t>• All article bodies in 血腫專欄 / 健康照護 / 品味生活 (including after menu rename).</w:t>
      </w:r>
    </w:p>
    <w:p>
      <w:pPr>
        <w:spacing w:after="160"/>
      </w:pPr>
      <w:r>
        <w:rPr>
          <w:rFonts w:ascii="Calibri" w:hAnsi="Calibri" w:eastAsia="Microsoft JhengHei"/>
          <w:b w:val="0"/>
          <w:sz w:val="22"/>
        </w:rPr>
        <w:t>• Treatment methods, drug lists, studies, doses and percentages in those articles.</w:t>
      </w:r>
    </w:p>
    <w:p>
      <w:pPr>
        <w:spacing w:after="160"/>
      </w:pPr>
      <w:r>
        <w:rPr>
          <w:rFonts w:ascii="Calibri" w:hAnsi="Calibri" w:eastAsia="Microsoft JhengHei"/>
          <w:b w:val="0"/>
          <w:sz w:val="22"/>
        </w:rPr>
        <w:t>• Local terms, hospital names, product names and system names in those articles.</w:t>
      </w:r>
    </w:p>
    <w:p>
      <w:pPr>
        <w:spacing w:after="160"/>
      </w:pPr>
      <w:r>
        <w:rPr>
          <w:rFonts w:ascii="Calibri" w:hAnsi="Calibri" w:eastAsia="Microsoft JhengHei"/>
          <w:b w:val="0"/>
          <w:sz w:val="22"/>
        </w:rPr>
        <w:t>• Current layout, pagination and column structure.</w:t>
      </w:r>
    </w:p>
    <w:p>
      <w:pPr>
        <w:spacing w:after="160"/>
      </w:pPr>
      <w:r>
        <w:rPr>
          <w:rFonts w:ascii="Calibri" w:hAnsi="Calibri" w:eastAsia="Microsoft JhengHei"/>
          <w:b w:val="0"/>
          <w:sz w:val="22"/>
        </w:rPr>
        <w:t>• Friendly links page: no wording change required. Keep existing non-HK organisation links; add HK organisations later as extra rows.</w:t>
      </w:r>
    </w:p>
    <w:p>
      <w:pPr>
        <w:pStyle w:val="Heading1"/>
      </w:pPr>
      <w:r>
        <w:rPr>
          <w:rFonts w:ascii="Calibri" w:hAnsi="Calibri" w:eastAsia="Microsoft JhengHei"/>
          <w:b/>
          <w:color w:val="12353A"/>
          <w:sz w:val="32"/>
        </w:rPr>
        <w:t>5. Do not use the live Wix /zh-hk pack as-is</w:t>
      </w:r>
    </w:p>
    <w:p>
      <w:pPr>
        <w:spacing w:after="160"/>
      </w:pPr>
      <w:r>
        <w:rPr>
          <w:rFonts w:ascii="Calibri" w:hAnsi="Calibri" w:eastAsia="Microsoft JhengHei"/>
          <w:b w:val="0"/>
          <w:sz w:val="22"/>
        </w:rPr>
        <w:t>The current public https://www.mpnicare.org/zh-hk empties the three article columns, introduces 紅細胞 / 白細胞 / 並發症 / 無限製, and still cites Taiwan PDPA Arts. 3, 10 and 11. Replace it with this overlay: original articles + labels + HK chrome.</w:t>
      </w:r>
    </w:p>
    <w:p>
      <w:pPr>
        <w:pStyle w:val="Heading1"/>
      </w:pPr>
      <w:r>
        <w:rPr>
          <w:rFonts w:ascii="Calibri" w:hAnsi="Calibri" w:eastAsia="Microsoft JhengHei"/>
          <w:b/>
          <w:color w:val="12353A"/>
          <w:sz w:val="32"/>
        </w:rPr>
        <w:t>6. Review owners</w:t>
      </w:r>
    </w:p>
    <w:tbl>
      <w:tblPr>
        <w:tblStyle w:val="TableGrid"/>
        <w:tblW w:type="auto" w:w="0"/>
        <w:jc w:val="center"/>
        <w:tblLook w:firstColumn="1" w:firstRow="1" w:lastColumn="0" w:lastRow="0" w:noHBand="0" w:noVBand="1" w:val="04A0"/>
      </w:tblPr>
      <w:tblGrid>
        <w:gridCol w:w="3324"/>
        <w:gridCol w:w="3324"/>
        <w:gridCol w:w="3324"/>
      </w:tblGrid>
      <w:tr>
        <w:tc>
          <w:tcPr>
            <w:tcW w:type="dxa" w:w="3118"/>
            <w:shd w:fill="12353A"/>
          </w:tcPr>
          <w:p>
            <w:r/>
            <w:r>
              <w:rPr>
                <w:rFonts w:ascii="Calibri" w:hAnsi="Calibri" w:eastAsia="Microsoft JhengHei"/>
                <w:b/>
                <w:color w:val="FFFFFF"/>
                <w:sz w:val="20"/>
              </w:rPr>
              <w:t>Item</w:t>
            </w:r>
          </w:p>
        </w:tc>
        <w:tc>
          <w:tcPr>
            <w:tcW w:type="dxa" w:w="2268"/>
            <w:shd w:fill="12353A"/>
          </w:tcPr>
          <w:p>
            <w:r/>
            <w:r>
              <w:rPr>
                <w:rFonts w:ascii="Calibri" w:hAnsi="Calibri" w:eastAsia="Microsoft JhengHei"/>
                <w:b/>
                <w:color w:val="FFFFFF"/>
                <w:sz w:val="20"/>
              </w:rPr>
              <w:t>Owner</w:t>
            </w:r>
          </w:p>
        </w:tc>
        <w:tc>
          <w:tcPr>
            <w:tcW w:type="dxa" w:w="4252"/>
            <w:shd w:fill="12353A"/>
          </w:tcPr>
          <w:p>
            <w:r/>
            <w:r>
              <w:rPr>
                <w:rFonts w:ascii="Calibri" w:hAnsi="Calibri" w:eastAsia="Microsoft JhengHei"/>
                <w:b/>
                <w:color w:val="FFFFFF"/>
                <w:sz w:val="20"/>
              </w:rPr>
              <w:t>Decision needed</w:t>
            </w:r>
          </w:p>
        </w:tc>
      </w:tr>
      <w:tr>
        <w:tc>
          <w:tcPr>
            <w:tcW w:type="dxa" w:w="3118"/>
          </w:tcPr>
          <w:p>
            <w:r/>
            <w:r>
              <w:rPr>
                <w:rFonts w:ascii="Calibri" w:hAnsi="Calibri" w:eastAsia="Microsoft JhengHei"/>
                <w:b w:val="0"/>
                <w:sz w:val="20"/>
              </w:rPr>
              <w:t>String table + three label placements on Wix</w:t>
            </w:r>
          </w:p>
        </w:tc>
        <w:tc>
          <w:tcPr>
            <w:tcW w:type="dxa" w:w="2268"/>
          </w:tcPr>
          <w:p>
            <w:r/>
            <w:r>
              <w:rPr>
                <w:rFonts w:ascii="Calibri" w:hAnsi="Calibri" w:eastAsia="Microsoft JhengHei"/>
                <w:b w:val="0"/>
                <w:sz w:val="20"/>
              </w:rPr>
              <w:t>PM + web</w:t>
            </w:r>
          </w:p>
        </w:tc>
        <w:tc>
          <w:tcPr>
            <w:tcW w:type="dxa" w:w="4252"/>
          </w:tcPr>
          <w:p>
            <w:r/>
            <w:r>
              <w:rPr>
                <w:rFonts w:ascii="Calibri" w:hAnsi="Calibri" w:eastAsia="Microsoft JhengHei"/>
                <w:b w:val="0"/>
                <w:sz w:val="20"/>
              </w:rPr>
              <w:t>Implement overlay, do not rebuild templates</w:t>
            </w:r>
          </w:p>
        </w:tc>
      </w:tr>
      <w:tr>
        <w:tc>
          <w:tcPr>
            <w:tcW w:type="dxa" w:w="3118"/>
          </w:tcPr>
          <w:p>
            <w:r/>
            <w:r>
              <w:rPr>
                <w:rFonts w:ascii="Calibri" w:hAnsi="Calibri" w:eastAsia="Microsoft JhengHei"/>
                <w:b w:val="0"/>
                <w:sz w:val="20"/>
              </w:rPr>
              <w:t>Three disclaimer lines only</w:t>
            </w:r>
          </w:p>
        </w:tc>
        <w:tc>
          <w:tcPr>
            <w:tcW w:type="dxa" w:w="2268"/>
          </w:tcPr>
          <w:p>
            <w:r/>
            <w:r>
              <w:rPr>
                <w:rFonts w:ascii="Calibri" w:hAnsi="Calibri" w:eastAsia="Microsoft JhengHei"/>
                <w:b w:val="0"/>
                <w:sz w:val="20"/>
              </w:rPr>
              <w:t>Medical</w:t>
            </w:r>
          </w:p>
        </w:tc>
        <w:tc>
          <w:tcPr>
            <w:tcW w:type="dxa" w:w="4252"/>
          </w:tcPr>
          <w:p>
            <w:r/>
            <w:r>
              <w:rPr>
                <w:rFonts w:ascii="Calibri" w:hAnsi="Calibri" w:eastAsia="Microsoft JhengHei"/>
                <w:b w:val="0"/>
                <w:sz w:val="20"/>
              </w:rPr>
              <w:t>Confirm wording; do not rewrite articles</w:t>
            </w:r>
          </w:p>
        </w:tc>
      </w:tr>
      <w:tr>
        <w:tc>
          <w:tcPr>
            <w:tcW w:type="dxa" w:w="3118"/>
          </w:tcPr>
          <w:p>
            <w:r/>
            <w:r>
              <w:rPr>
                <w:rFonts w:ascii="Calibri" w:hAnsi="Calibri" w:eastAsia="Microsoft JhengHei"/>
                <w:b w:val="0"/>
                <w:sz w:val="20"/>
              </w:rPr>
              <w:t>Cap. 486 terms (File 2)</w:t>
            </w:r>
          </w:p>
        </w:tc>
        <w:tc>
          <w:tcPr>
            <w:tcW w:type="dxa" w:w="2268"/>
          </w:tcPr>
          <w:p>
            <w:r/>
            <w:r>
              <w:rPr>
                <w:rFonts w:ascii="Calibri" w:hAnsi="Calibri" w:eastAsia="Microsoft JhengHei"/>
                <w:b w:val="0"/>
                <w:sz w:val="20"/>
              </w:rPr>
              <w:t>Legal / Compliance</w:t>
            </w:r>
          </w:p>
        </w:tc>
        <w:tc>
          <w:tcPr>
            <w:tcW w:type="dxa" w:w="4252"/>
          </w:tcPr>
          <w:p>
            <w:r/>
            <w:r>
              <w:rPr>
                <w:rFonts w:ascii="Calibri" w:hAnsi="Calibri" w:eastAsia="Microsoft JhengHei"/>
                <w:b w:val="0"/>
                <w:sz w:val="20"/>
              </w:rPr>
              <w:t>Sign off before production</w:t>
            </w:r>
          </w:p>
        </w:tc>
      </w:tr>
      <w:tr>
        <w:tc>
          <w:tcPr>
            <w:tcW w:type="dxa" w:w="3118"/>
          </w:tcPr>
          <w:p>
            <w:r/>
            <w:r>
              <w:rPr>
                <w:rFonts w:ascii="Calibri" w:hAnsi="Calibri" w:eastAsia="Microsoft JhengHei"/>
                <w:b w:val="0"/>
                <w:sz w:val="20"/>
              </w:rPr>
              <w:t>UMAO check of chrome + labels</w:t>
            </w:r>
          </w:p>
        </w:tc>
        <w:tc>
          <w:tcPr>
            <w:tcW w:type="dxa" w:w="2268"/>
          </w:tcPr>
          <w:p>
            <w:r/>
            <w:r>
              <w:rPr>
                <w:rFonts w:ascii="Calibri" w:hAnsi="Calibri" w:eastAsia="Microsoft JhengHei"/>
                <w:b w:val="0"/>
                <w:sz w:val="20"/>
              </w:rPr>
              <w:t>PM + Legal</w:t>
            </w:r>
          </w:p>
        </w:tc>
        <w:tc>
          <w:tcPr>
            <w:tcW w:type="dxa" w:w="4252"/>
          </w:tcPr>
          <w:p>
            <w:r/>
            <w:r>
              <w:rPr>
                <w:rFonts w:ascii="Calibri" w:hAnsi="Calibri" w:eastAsia="Microsoft JhengHei"/>
                <w:b w:val="0"/>
                <w:sz w:val="20"/>
              </w:rPr>
              <w:t>Await user-supplied Cap. 231 files</w:t>
            </w:r>
          </w:p>
        </w:tc>
      </w:tr>
    </w:tbl>
    <w:p/>
    <w:p>
      <w:pPr>
        <w:spacing w:after="160"/>
      </w:pPr>
      <w:r>
        <w:rPr>
          <w:rFonts w:ascii="Calibri" w:hAnsi="Calibri" w:eastAsia="Microsoft JhengHei"/>
          <w:b w:val="0"/>
          <w:sz w:val="22"/>
        </w:rPr>
        <w:t>This is a patient-education site, not a BESREMi promotional piece. No new product claims. ET/MF material in source articles stays labelled as non-Hong Kong content.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