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846E" w14:textId="6AABCE47" w:rsidR="003C15BF" w:rsidRPr="00215539" w:rsidRDefault="00B553A9" w:rsidP="00BF1637">
      <w:pPr>
        <w:pStyle w:val="Heading1"/>
        <w:spacing w:line="480" w:lineRule="auto"/>
        <w:jc w:val="center"/>
        <w:rPr>
          <w:rFonts w:ascii="Constantia" w:hAnsi="Constantia"/>
          <w:b/>
          <w:bCs/>
          <w:color w:val="auto"/>
          <w:sz w:val="40"/>
          <w:szCs w:val="40"/>
        </w:rPr>
      </w:pPr>
      <w:bookmarkStart w:id="0" w:name="_Toc149091527"/>
      <w:r>
        <w:rPr>
          <w:rFonts w:ascii="Constantia" w:hAnsi="Constantia"/>
          <w:b/>
          <w:bCs/>
          <w:color w:val="auto"/>
          <w:sz w:val="40"/>
          <w:szCs w:val="40"/>
        </w:rPr>
        <w:t>SOFR Curve Construction</w:t>
      </w:r>
      <w:bookmarkEnd w:id="0"/>
    </w:p>
    <w:p w14:paraId="0FEB4781" w14:textId="5B998489" w:rsidR="00BF1637" w:rsidRDefault="00BF1637" w:rsidP="00DB55EE">
      <w:pPr>
        <w:spacing w:line="276" w:lineRule="auto"/>
        <w:jc w:val="center"/>
      </w:pPr>
      <w:r>
        <w:t>Jackie Li</w:t>
      </w:r>
      <w:r w:rsidR="00DB55EE">
        <w:t xml:space="preserve"> (</w:t>
      </w:r>
      <w:hyperlink r:id="rId6" w:history="1">
        <w:r w:rsidR="00DB55EE" w:rsidRPr="00FF46D1">
          <w:rPr>
            <w:rStyle w:val="Hyperlink"/>
          </w:rPr>
          <w:t>firenze1909@gmail.com</w:t>
        </w:r>
      </w:hyperlink>
      <w:r w:rsidR="00DB55EE">
        <w:t xml:space="preserve">) </w:t>
      </w:r>
    </w:p>
    <w:p w14:paraId="071BE8AB" w14:textId="77777777" w:rsidR="00136AA4" w:rsidRDefault="00136AA4" w:rsidP="00DB55EE">
      <w:pPr>
        <w:spacing w:line="276" w:lineRule="auto"/>
        <w:jc w:val="center"/>
      </w:pPr>
    </w:p>
    <w:p w14:paraId="6E4B5CFF" w14:textId="77777777" w:rsidR="00136AA4" w:rsidRDefault="00136AA4" w:rsidP="00DB55EE">
      <w:pPr>
        <w:spacing w:line="276" w:lineRule="auto"/>
        <w:jc w:val="center"/>
      </w:pPr>
    </w:p>
    <w:p w14:paraId="727C168C" w14:textId="77777777" w:rsidR="00136AA4" w:rsidRDefault="00136AA4" w:rsidP="00DB55EE">
      <w:pPr>
        <w:spacing w:line="276" w:lineRule="auto"/>
        <w:jc w:val="center"/>
      </w:pPr>
    </w:p>
    <w:sdt>
      <w:sdtPr>
        <w:rPr>
          <w:sz w:val="28"/>
          <w:szCs w:val="28"/>
        </w:rPr>
        <w:id w:val="-149772558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FA4090D" w14:textId="4135F843" w:rsidR="0083379A" w:rsidRPr="0083379A" w:rsidRDefault="00136AA4">
          <w:pPr>
            <w:pStyle w:val="TOC1"/>
            <w:tabs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r w:rsidRPr="0083379A">
            <w:rPr>
              <w:sz w:val="96"/>
              <w:szCs w:val="96"/>
            </w:rPr>
            <w:fldChar w:fldCharType="begin"/>
          </w:r>
          <w:r w:rsidRPr="0083379A">
            <w:rPr>
              <w:sz w:val="96"/>
              <w:szCs w:val="96"/>
            </w:rPr>
            <w:instrText xml:space="preserve"> TOC \o "1-3" \h \z \u </w:instrText>
          </w:r>
          <w:r w:rsidRPr="0083379A">
            <w:rPr>
              <w:sz w:val="96"/>
              <w:szCs w:val="96"/>
            </w:rPr>
            <w:fldChar w:fldCharType="separate"/>
          </w:r>
          <w:hyperlink w:anchor="_Toc149091527" w:history="1"/>
        </w:p>
        <w:p w14:paraId="42FBFBFC" w14:textId="1AD584DD" w:rsidR="0083379A" w:rsidRPr="0083379A" w:rsidRDefault="0083379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hyperlink w:anchor="_Toc149091528" w:history="1">
            <w:r w:rsidRPr="0083379A">
              <w:rPr>
                <w:rStyle w:val="Hyperlink"/>
                <w:noProof/>
                <w:sz w:val="40"/>
                <w:szCs w:val="40"/>
              </w:rPr>
              <w:t>I.</w:t>
            </w:r>
            <w:r w:rsidRPr="0083379A">
              <w:rPr>
                <w:noProof/>
                <w:kern w:val="2"/>
                <w:sz w:val="44"/>
                <w:szCs w:val="44"/>
                <w:lang w:val="en-CN"/>
                <w14:ligatures w14:val="standardContextual"/>
              </w:rPr>
              <w:tab/>
            </w:r>
            <w:r w:rsidRPr="0083379A">
              <w:rPr>
                <w:rStyle w:val="Hyperlink"/>
                <w:noProof/>
                <w:sz w:val="40"/>
                <w:szCs w:val="40"/>
              </w:rPr>
              <w:t>SOFR Curve Construction</w:t>
            </w:r>
            <w:r w:rsidRPr="0083379A">
              <w:rPr>
                <w:noProof/>
                <w:webHidden/>
                <w:sz w:val="40"/>
                <w:szCs w:val="40"/>
              </w:rPr>
              <w:tab/>
            </w:r>
            <w:r w:rsidRPr="0083379A">
              <w:rPr>
                <w:noProof/>
                <w:webHidden/>
                <w:sz w:val="40"/>
                <w:szCs w:val="40"/>
              </w:rPr>
              <w:fldChar w:fldCharType="begin"/>
            </w:r>
            <w:r w:rsidRPr="0083379A">
              <w:rPr>
                <w:noProof/>
                <w:webHidden/>
                <w:sz w:val="40"/>
                <w:szCs w:val="40"/>
              </w:rPr>
              <w:instrText xml:space="preserve"> PAGEREF _Toc149091528 \h </w:instrText>
            </w:r>
            <w:r w:rsidRPr="0083379A">
              <w:rPr>
                <w:noProof/>
                <w:webHidden/>
                <w:sz w:val="40"/>
                <w:szCs w:val="40"/>
              </w:rPr>
            </w:r>
            <w:r w:rsidRPr="0083379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3379A">
              <w:rPr>
                <w:noProof/>
                <w:webHidden/>
                <w:sz w:val="40"/>
                <w:szCs w:val="40"/>
              </w:rPr>
              <w:t>2</w:t>
            </w:r>
            <w:r w:rsidRPr="0083379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7FEB83B" w14:textId="223732A6" w:rsidR="0083379A" w:rsidRPr="0083379A" w:rsidRDefault="0083379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hyperlink w:anchor="_Toc149091529" w:history="1">
            <w:r w:rsidRPr="0083379A">
              <w:rPr>
                <w:rStyle w:val="Hyperlink"/>
                <w:noProof/>
                <w:sz w:val="40"/>
                <w:szCs w:val="40"/>
              </w:rPr>
              <w:t>1.</w:t>
            </w:r>
            <w:r w:rsidRPr="0083379A">
              <w:rPr>
                <w:noProof/>
                <w:kern w:val="2"/>
                <w:sz w:val="44"/>
                <w:szCs w:val="44"/>
                <w:lang w:val="en-CN"/>
                <w14:ligatures w14:val="standardContextual"/>
              </w:rPr>
              <w:tab/>
            </w:r>
            <w:r w:rsidRPr="0083379A">
              <w:rPr>
                <w:rStyle w:val="Hyperlink"/>
                <w:noProof/>
                <w:sz w:val="40"/>
                <w:szCs w:val="40"/>
              </w:rPr>
              <w:t>Assum</w:t>
            </w:r>
            <w:r w:rsidRPr="0083379A">
              <w:rPr>
                <w:rStyle w:val="Hyperlink"/>
                <w:noProof/>
                <w:sz w:val="40"/>
                <w:szCs w:val="40"/>
              </w:rPr>
              <w:t>p</w:t>
            </w:r>
            <w:r w:rsidRPr="0083379A">
              <w:rPr>
                <w:rStyle w:val="Hyperlink"/>
                <w:noProof/>
                <w:sz w:val="40"/>
                <w:szCs w:val="40"/>
              </w:rPr>
              <w:t>tions</w:t>
            </w:r>
            <w:r w:rsidRPr="0083379A">
              <w:rPr>
                <w:noProof/>
                <w:webHidden/>
                <w:sz w:val="40"/>
                <w:szCs w:val="40"/>
              </w:rPr>
              <w:tab/>
            </w:r>
            <w:r w:rsidRPr="0083379A">
              <w:rPr>
                <w:noProof/>
                <w:webHidden/>
                <w:sz w:val="40"/>
                <w:szCs w:val="40"/>
              </w:rPr>
              <w:fldChar w:fldCharType="begin"/>
            </w:r>
            <w:r w:rsidRPr="0083379A">
              <w:rPr>
                <w:noProof/>
                <w:webHidden/>
                <w:sz w:val="40"/>
                <w:szCs w:val="40"/>
              </w:rPr>
              <w:instrText xml:space="preserve"> PAGEREF _Toc149091529 \h </w:instrText>
            </w:r>
            <w:r w:rsidRPr="0083379A">
              <w:rPr>
                <w:noProof/>
                <w:webHidden/>
                <w:sz w:val="40"/>
                <w:szCs w:val="40"/>
              </w:rPr>
            </w:r>
            <w:r w:rsidRPr="0083379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3379A">
              <w:rPr>
                <w:noProof/>
                <w:webHidden/>
                <w:sz w:val="40"/>
                <w:szCs w:val="40"/>
              </w:rPr>
              <w:t>3</w:t>
            </w:r>
            <w:r w:rsidRPr="0083379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1EE866C" w14:textId="1299FF09" w:rsidR="0083379A" w:rsidRPr="0083379A" w:rsidRDefault="0083379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hyperlink w:anchor="_Toc149091530" w:history="1">
            <w:r w:rsidRPr="0083379A">
              <w:rPr>
                <w:rStyle w:val="Hyperlink"/>
                <w:noProof/>
                <w:sz w:val="40"/>
                <w:szCs w:val="40"/>
              </w:rPr>
              <w:t>2.</w:t>
            </w:r>
            <w:r w:rsidRPr="0083379A">
              <w:rPr>
                <w:noProof/>
                <w:kern w:val="2"/>
                <w:sz w:val="44"/>
                <w:szCs w:val="44"/>
                <w:lang w:val="en-CN"/>
                <w14:ligatures w14:val="standardContextual"/>
              </w:rPr>
              <w:tab/>
            </w:r>
            <w:r w:rsidRPr="0083379A">
              <w:rPr>
                <w:rStyle w:val="Hyperlink"/>
                <w:noProof/>
                <w:sz w:val="40"/>
                <w:szCs w:val="40"/>
              </w:rPr>
              <w:t>Market Instruments</w:t>
            </w:r>
            <w:r w:rsidRPr="0083379A">
              <w:rPr>
                <w:noProof/>
                <w:webHidden/>
                <w:sz w:val="40"/>
                <w:szCs w:val="40"/>
              </w:rPr>
              <w:tab/>
            </w:r>
            <w:r w:rsidRPr="0083379A">
              <w:rPr>
                <w:noProof/>
                <w:webHidden/>
                <w:sz w:val="40"/>
                <w:szCs w:val="40"/>
              </w:rPr>
              <w:fldChar w:fldCharType="begin"/>
            </w:r>
            <w:r w:rsidRPr="0083379A">
              <w:rPr>
                <w:noProof/>
                <w:webHidden/>
                <w:sz w:val="40"/>
                <w:szCs w:val="40"/>
              </w:rPr>
              <w:instrText xml:space="preserve"> PAGEREF _Toc149091530 \h </w:instrText>
            </w:r>
            <w:r w:rsidRPr="0083379A">
              <w:rPr>
                <w:noProof/>
                <w:webHidden/>
                <w:sz w:val="40"/>
                <w:szCs w:val="40"/>
              </w:rPr>
            </w:r>
            <w:r w:rsidRPr="0083379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3379A">
              <w:rPr>
                <w:noProof/>
                <w:webHidden/>
                <w:sz w:val="40"/>
                <w:szCs w:val="40"/>
              </w:rPr>
              <w:t>3</w:t>
            </w:r>
            <w:r w:rsidRPr="0083379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A7D905" w14:textId="46A9C251" w:rsidR="0083379A" w:rsidRPr="0083379A" w:rsidRDefault="0083379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hyperlink w:anchor="_Toc149091531" w:history="1">
            <w:r w:rsidRPr="0083379A">
              <w:rPr>
                <w:rStyle w:val="Hyperlink"/>
                <w:noProof/>
                <w:sz w:val="40"/>
                <w:szCs w:val="40"/>
              </w:rPr>
              <w:t>3.</w:t>
            </w:r>
            <w:r w:rsidRPr="0083379A">
              <w:rPr>
                <w:noProof/>
                <w:kern w:val="2"/>
                <w:sz w:val="44"/>
                <w:szCs w:val="44"/>
                <w:lang w:val="en-CN"/>
                <w14:ligatures w14:val="standardContextual"/>
              </w:rPr>
              <w:tab/>
            </w:r>
            <w:r w:rsidRPr="0083379A">
              <w:rPr>
                <w:rStyle w:val="Hyperlink"/>
                <w:noProof/>
                <w:sz w:val="40"/>
                <w:szCs w:val="40"/>
              </w:rPr>
              <w:t>Front End Curve</w:t>
            </w:r>
            <w:r w:rsidRPr="0083379A">
              <w:rPr>
                <w:noProof/>
                <w:webHidden/>
                <w:sz w:val="40"/>
                <w:szCs w:val="40"/>
              </w:rPr>
              <w:tab/>
            </w:r>
            <w:r w:rsidRPr="0083379A">
              <w:rPr>
                <w:noProof/>
                <w:webHidden/>
                <w:sz w:val="40"/>
                <w:szCs w:val="40"/>
              </w:rPr>
              <w:fldChar w:fldCharType="begin"/>
            </w:r>
            <w:r w:rsidRPr="0083379A">
              <w:rPr>
                <w:noProof/>
                <w:webHidden/>
                <w:sz w:val="40"/>
                <w:szCs w:val="40"/>
              </w:rPr>
              <w:instrText xml:space="preserve"> PAGEREF _Toc149091531 \h </w:instrText>
            </w:r>
            <w:r w:rsidRPr="0083379A">
              <w:rPr>
                <w:noProof/>
                <w:webHidden/>
                <w:sz w:val="40"/>
                <w:szCs w:val="40"/>
              </w:rPr>
            </w:r>
            <w:r w:rsidRPr="0083379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3379A">
              <w:rPr>
                <w:noProof/>
                <w:webHidden/>
                <w:sz w:val="40"/>
                <w:szCs w:val="40"/>
              </w:rPr>
              <w:t>4</w:t>
            </w:r>
            <w:r w:rsidRPr="0083379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03D4AFD" w14:textId="110FC3A2" w:rsidR="0083379A" w:rsidRPr="0083379A" w:rsidRDefault="0083379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44"/>
              <w:szCs w:val="44"/>
              <w:lang w:val="en-CN"/>
              <w14:ligatures w14:val="standardContextual"/>
            </w:rPr>
          </w:pPr>
          <w:hyperlink w:anchor="_Toc149091532" w:history="1">
            <w:r w:rsidRPr="0083379A">
              <w:rPr>
                <w:rStyle w:val="Hyperlink"/>
                <w:noProof/>
                <w:sz w:val="40"/>
                <w:szCs w:val="40"/>
              </w:rPr>
              <w:t>4.</w:t>
            </w:r>
            <w:r w:rsidRPr="0083379A">
              <w:rPr>
                <w:noProof/>
                <w:kern w:val="2"/>
                <w:sz w:val="44"/>
                <w:szCs w:val="44"/>
                <w:lang w:val="en-CN"/>
                <w14:ligatures w14:val="standardContextual"/>
              </w:rPr>
              <w:tab/>
            </w:r>
            <w:r w:rsidRPr="0083379A">
              <w:rPr>
                <w:rStyle w:val="Hyperlink"/>
                <w:noProof/>
                <w:sz w:val="40"/>
                <w:szCs w:val="40"/>
              </w:rPr>
              <w:t>3y+ Curve Residual control</w:t>
            </w:r>
            <w:r w:rsidRPr="0083379A">
              <w:rPr>
                <w:noProof/>
                <w:webHidden/>
                <w:sz w:val="40"/>
                <w:szCs w:val="40"/>
              </w:rPr>
              <w:tab/>
            </w:r>
            <w:r w:rsidRPr="0083379A">
              <w:rPr>
                <w:noProof/>
                <w:webHidden/>
                <w:sz w:val="40"/>
                <w:szCs w:val="40"/>
              </w:rPr>
              <w:fldChar w:fldCharType="begin"/>
            </w:r>
            <w:r w:rsidRPr="0083379A">
              <w:rPr>
                <w:noProof/>
                <w:webHidden/>
                <w:sz w:val="40"/>
                <w:szCs w:val="40"/>
              </w:rPr>
              <w:instrText xml:space="preserve"> PAGEREF _Toc149091532 \h </w:instrText>
            </w:r>
            <w:r w:rsidRPr="0083379A">
              <w:rPr>
                <w:noProof/>
                <w:webHidden/>
                <w:sz w:val="40"/>
                <w:szCs w:val="40"/>
              </w:rPr>
            </w:r>
            <w:r w:rsidRPr="0083379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83379A">
              <w:rPr>
                <w:noProof/>
                <w:webHidden/>
                <w:sz w:val="40"/>
                <w:szCs w:val="40"/>
              </w:rPr>
              <w:t>5</w:t>
            </w:r>
            <w:r w:rsidRPr="0083379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B6A744" w14:textId="0A72B244" w:rsidR="00136AA4" w:rsidRPr="00E43E7E" w:rsidRDefault="00136AA4" w:rsidP="00E43E7E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r w:rsidRPr="0083379A">
            <w:rPr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14:paraId="5793E2BC" w14:textId="77777777" w:rsidR="00136AA4" w:rsidRDefault="00136AA4" w:rsidP="00DB55EE">
      <w:pPr>
        <w:spacing w:line="276" w:lineRule="auto"/>
        <w:jc w:val="center"/>
      </w:pPr>
    </w:p>
    <w:p w14:paraId="6458EEEC" w14:textId="77777777" w:rsidR="00136AA4" w:rsidRDefault="00136AA4" w:rsidP="00DB55EE">
      <w:pPr>
        <w:spacing w:line="276" w:lineRule="auto"/>
        <w:jc w:val="center"/>
      </w:pPr>
    </w:p>
    <w:p w14:paraId="2B368596" w14:textId="77777777" w:rsidR="00136AA4" w:rsidRDefault="00136AA4" w:rsidP="00DB55EE">
      <w:pPr>
        <w:spacing w:line="276" w:lineRule="auto"/>
        <w:jc w:val="center"/>
      </w:pPr>
    </w:p>
    <w:p w14:paraId="680A2E8B" w14:textId="77777777" w:rsidR="00136AA4" w:rsidRDefault="00136AA4" w:rsidP="00DB55EE">
      <w:pPr>
        <w:spacing w:line="276" w:lineRule="auto"/>
        <w:jc w:val="center"/>
      </w:pPr>
    </w:p>
    <w:p w14:paraId="23A057B3" w14:textId="3FF04D82" w:rsidR="00136AA4" w:rsidRDefault="00136AA4">
      <w:r>
        <w:br w:type="page"/>
      </w:r>
    </w:p>
    <w:p w14:paraId="7F50B349" w14:textId="0D9345AD" w:rsidR="0068015F" w:rsidRPr="00904C6F" w:rsidRDefault="0068015F" w:rsidP="00904C6F">
      <w:pPr>
        <w:pStyle w:val="Heading2"/>
      </w:pPr>
      <w:bookmarkStart w:id="1" w:name="_Toc149091528"/>
      <w:r w:rsidRPr="00904C6F">
        <w:lastRenderedPageBreak/>
        <w:t>SOFR Curve Construction</w:t>
      </w:r>
      <w:bookmarkEnd w:id="1"/>
    </w:p>
    <w:p w14:paraId="7907C27A" w14:textId="32F3497F" w:rsidR="00A91E6C" w:rsidRDefault="00A32A6D" w:rsidP="00A91E6C">
      <w:r>
        <w:t xml:space="preserve">I have built the </w:t>
      </w:r>
      <w:r w:rsidR="004501AE">
        <w:t>SOFR</w:t>
      </w:r>
      <w:r w:rsidR="006F77F0">
        <w:t xml:space="preserve"> </w:t>
      </w:r>
      <w:r>
        <w:t>curve as of closing 8/25/2</w:t>
      </w:r>
      <w:r w:rsidR="00B760D6">
        <w:t>02</w:t>
      </w:r>
      <w:r>
        <w:t>3</w:t>
      </w:r>
      <w:r w:rsidR="004501AE">
        <w:t>. T</w:t>
      </w:r>
      <w:r w:rsidR="00547B06">
        <w:t xml:space="preserve">he accuracy to </w:t>
      </w:r>
      <w:r w:rsidR="004D083A">
        <w:t xml:space="preserve">Bloomberg </w:t>
      </w:r>
      <w:r w:rsidR="001C7F81">
        <w:t>benchmark</w:t>
      </w:r>
      <w:r w:rsidR="00851EC6">
        <w:t xml:space="preserve"> is always within </w:t>
      </w:r>
      <w:r w:rsidR="00CF072A">
        <w:t>0.0</w:t>
      </w:r>
      <w:r w:rsidR="00BC568B">
        <w:t>2</w:t>
      </w:r>
      <w:r w:rsidR="00851EC6">
        <w:t>bp.</w:t>
      </w:r>
      <w:r w:rsidR="00466F76">
        <w:t xml:space="preserve"> The library is written in Python, using datasets from Bloomberg.</w:t>
      </w:r>
    </w:p>
    <w:p w14:paraId="425C016E" w14:textId="70C713EE" w:rsidR="00BA470B" w:rsidRDefault="00BA470B" w:rsidP="00A91E6C">
      <w:r>
        <w:t xml:space="preserve">See below </w:t>
      </w:r>
      <w:r w:rsidR="001B36A8">
        <w:t>the</w:t>
      </w:r>
      <w:r w:rsidR="00366BF9">
        <w:t xml:space="preserve"> overnight forward curve and the par swap yield curve</w:t>
      </w:r>
      <w:r w:rsidR="001B36A8">
        <w:t>.</w:t>
      </w:r>
    </w:p>
    <w:p w14:paraId="0DD5B4A6" w14:textId="476913F7" w:rsidR="00EB0744" w:rsidRDefault="00791704" w:rsidP="00A91E6C">
      <w:r>
        <w:rPr>
          <w:noProof/>
        </w:rPr>
        <w:drawing>
          <wp:inline distT="0" distB="0" distL="0" distR="0" wp14:anchorId="6D93AE44" wp14:editId="68B8D3DF">
            <wp:extent cx="5943600" cy="2990215"/>
            <wp:effectExtent l="0" t="0" r="0" b="635"/>
            <wp:docPr id="15" name="Picture 15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7AD3" w14:textId="77777777" w:rsidR="00015022" w:rsidRDefault="00015022" w:rsidP="00A91E6C"/>
    <w:p w14:paraId="6D4BF190" w14:textId="3EC631D1" w:rsidR="004501AE" w:rsidRDefault="00035E17" w:rsidP="00A91E6C">
      <w:r>
        <w:rPr>
          <w:noProof/>
        </w:rPr>
        <w:drawing>
          <wp:inline distT="0" distB="0" distL="0" distR="0" wp14:anchorId="5F2C8D53" wp14:editId="5415FF96">
            <wp:extent cx="5943600" cy="2948940"/>
            <wp:effectExtent l="0" t="0" r="0" b="3810"/>
            <wp:docPr id="12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7149" w14:textId="2150B20C" w:rsidR="00F633D4" w:rsidRDefault="00F633D4">
      <w:r>
        <w:br w:type="page"/>
      </w:r>
    </w:p>
    <w:p w14:paraId="1BA82B01" w14:textId="0B462936" w:rsidR="00954D25" w:rsidRPr="00904C6F" w:rsidRDefault="00954D25" w:rsidP="00904C6F">
      <w:pPr>
        <w:pStyle w:val="Heading3"/>
      </w:pPr>
      <w:bookmarkStart w:id="2" w:name="_Toc149091529"/>
      <w:r w:rsidRPr="00904C6F">
        <w:lastRenderedPageBreak/>
        <w:t>Assumption</w:t>
      </w:r>
      <w:r w:rsidR="00551D0F">
        <w:t>s</w:t>
      </w:r>
      <w:bookmarkEnd w:id="2"/>
    </w:p>
    <w:p w14:paraId="76A7676C" w14:textId="21526C43" w:rsidR="000363F0" w:rsidRDefault="00B05B15" w:rsidP="00B54D5E">
      <w:r>
        <w:t xml:space="preserve">My focus in on </w:t>
      </w:r>
      <w:r w:rsidR="00342385">
        <w:t xml:space="preserve">the </w:t>
      </w:r>
      <w:r w:rsidR="00FE0F43">
        <w:t>overnight</w:t>
      </w:r>
      <w:r w:rsidR="00342385">
        <w:t xml:space="preserve"> forward curve backboned upon SOFR</w:t>
      </w:r>
      <w:r w:rsidR="004169D0">
        <w:t xml:space="preserve"> Index</w:t>
      </w:r>
      <w:r w:rsidR="00404C8C">
        <w:t xml:space="preserve">, which can </w:t>
      </w:r>
      <w:r w:rsidR="00FE0F43">
        <w:t>easily</w:t>
      </w:r>
      <w:r w:rsidR="00404C8C">
        <w:t xml:space="preserve"> </w:t>
      </w:r>
      <w:r w:rsidR="00177072">
        <w:t>transfer</w:t>
      </w:r>
      <w:r w:rsidR="00404C8C">
        <w:t xml:space="preserve"> to par swap rate curve. </w:t>
      </w:r>
      <w:r w:rsidR="00C55410">
        <w:t xml:space="preserve">The </w:t>
      </w:r>
      <w:r w:rsidR="004169D0">
        <w:t>initial</w:t>
      </w:r>
      <w:r w:rsidR="00C55410">
        <w:t xml:space="preserve"> date is set to be 8/25/2023</w:t>
      </w:r>
      <w:r w:rsidR="004169D0">
        <w:t xml:space="preserve">, settlement is 8/27/2023. </w:t>
      </w:r>
    </w:p>
    <w:p w14:paraId="52615230" w14:textId="66645222" w:rsidR="00B54D5E" w:rsidRDefault="003A6B22" w:rsidP="00B54D5E">
      <w:pPr>
        <w:pStyle w:val="ListParagraph"/>
        <w:numPr>
          <w:ilvl w:val="0"/>
          <w:numId w:val="7"/>
        </w:numPr>
      </w:pPr>
      <w:r>
        <w:t xml:space="preserve">Using the SR3 futures in the front end (&lt;3yrs), adjusted by convexity. </w:t>
      </w:r>
    </w:p>
    <w:p w14:paraId="732BAB53" w14:textId="08132B5E" w:rsidR="003A6B22" w:rsidRDefault="003A6B22" w:rsidP="00B54D5E">
      <w:pPr>
        <w:pStyle w:val="ListParagraph"/>
        <w:numPr>
          <w:ilvl w:val="0"/>
          <w:numId w:val="7"/>
        </w:numPr>
      </w:pPr>
      <w:r>
        <w:t>Using Swap rates for 3+ tenor</w:t>
      </w:r>
      <w:r w:rsidR="00E311AB">
        <w:t>, first layer is 5</w:t>
      </w:r>
      <w:r w:rsidR="003408AE">
        <w:t>y</w:t>
      </w:r>
      <w:r w:rsidR="00E311AB">
        <w:t>, 7</w:t>
      </w:r>
      <w:r w:rsidR="003408AE">
        <w:t>y</w:t>
      </w:r>
      <w:r w:rsidR="00E311AB">
        <w:t xml:space="preserve">, </w:t>
      </w:r>
      <w:r w:rsidR="003408AE">
        <w:t xml:space="preserve">10y, 15y, 20y, 30y, 40y and 50y. and implemented </w:t>
      </w:r>
      <w:r w:rsidR="00DA2236">
        <w:t xml:space="preserve">the skewness adjustment for </w:t>
      </w:r>
      <w:r w:rsidR="008D033E">
        <w:t xml:space="preserve">4y, </w:t>
      </w:r>
      <w:r w:rsidR="00DA2236">
        <w:t>6y, 8y, 9y, 12y, 25y, 35y and 45y, which are the second layer. In practice, I would implement 3 layers</w:t>
      </w:r>
      <w:r w:rsidR="00CC5BB6">
        <w:t>:</w:t>
      </w:r>
    </w:p>
    <w:p w14:paraId="4DE2CE4B" w14:textId="303BA879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First layer: </w:t>
      </w:r>
      <w:r w:rsidR="00B74762">
        <w:t xml:space="preserve">Cash yield on </w:t>
      </w:r>
      <w:r w:rsidR="003B6A39">
        <w:t>(</w:t>
      </w:r>
      <w:r>
        <w:t>5y, 10y, 30y</w:t>
      </w:r>
      <w:r w:rsidR="003B6A39">
        <w:t>)</w:t>
      </w:r>
      <w:r w:rsidR="00B74762">
        <w:t xml:space="preserve"> + </w:t>
      </w:r>
      <w:r w:rsidR="003B6A39">
        <w:t xml:space="preserve">corresponding </w:t>
      </w:r>
      <w:r w:rsidR="00B74762">
        <w:t>swap spreads</w:t>
      </w:r>
    </w:p>
    <w:p w14:paraId="3236FAC7" w14:textId="6BD32328" w:rsidR="00CC5BB6" w:rsidRDefault="00CC5BB6" w:rsidP="00CC5BB6">
      <w:pPr>
        <w:pStyle w:val="ListParagraph"/>
        <w:numPr>
          <w:ilvl w:val="1"/>
          <w:numId w:val="7"/>
        </w:numPr>
      </w:pPr>
      <w:r>
        <w:t>Second layer: 4y, 7y, 15y, 20y</w:t>
      </w:r>
    </w:p>
    <w:p w14:paraId="65E2C730" w14:textId="1F21E782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Third layer: </w:t>
      </w:r>
      <w:r w:rsidR="00113E49">
        <w:t xml:space="preserve">6y, 8y, 9y, </w:t>
      </w:r>
      <w:r w:rsidR="00A57A75">
        <w:t xml:space="preserve">11y, </w:t>
      </w:r>
      <w:r w:rsidR="00113E49">
        <w:t xml:space="preserve">12y, 25y, </w:t>
      </w:r>
      <w:r w:rsidR="00A57A75">
        <w:t>40y, 50y</w:t>
      </w:r>
    </w:p>
    <w:p w14:paraId="0361C91F" w14:textId="3DC44986" w:rsidR="004A7632" w:rsidRDefault="004A7632" w:rsidP="004A7632">
      <w:pPr>
        <w:pStyle w:val="ListParagraph"/>
        <w:numPr>
          <w:ilvl w:val="0"/>
          <w:numId w:val="7"/>
        </w:numPr>
      </w:pPr>
      <w:r>
        <w:t xml:space="preserve">Using </w:t>
      </w:r>
      <w:r w:rsidR="00557AEF">
        <w:t xml:space="preserve">Log-linear interpolation on DF for front end, and </w:t>
      </w:r>
      <w:r w:rsidR="000E111A">
        <w:t>log-cubic spline interpolation for 3+ tenor.</w:t>
      </w:r>
    </w:p>
    <w:p w14:paraId="39EC014C" w14:textId="2E299AA1" w:rsidR="000E111A" w:rsidRDefault="008B39F4" w:rsidP="004A7632">
      <w:pPr>
        <w:pStyle w:val="ListParagraph"/>
        <w:numPr>
          <w:ilvl w:val="0"/>
          <w:numId w:val="7"/>
        </w:numPr>
      </w:pPr>
      <w:r>
        <w:t xml:space="preserve">The curve is solved </w:t>
      </w:r>
      <w:r w:rsidR="00551D0F">
        <w:t>by</w:t>
      </w:r>
      <w:r>
        <w:t xml:space="preserve"> auto-differentiation under Dual number</w:t>
      </w:r>
      <w:r w:rsidR="00D90F5A">
        <w:t xml:space="preserve">. </w:t>
      </w:r>
      <w:r w:rsidR="00F02120">
        <w:t xml:space="preserve">Levenberg-Marquardt method is used to blend both the gradient descent and Gauss-Newton method. </w:t>
      </w:r>
    </w:p>
    <w:p w14:paraId="3F3C5F12" w14:textId="68C368A0" w:rsidR="00DE7033" w:rsidRDefault="00DE7033" w:rsidP="004A7632">
      <w:pPr>
        <w:pStyle w:val="ListParagraph"/>
        <w:numPr>
          <w:ilvl w:val="0"/>
          <w:numId w:val="7"/>
        </w:numPr>
      </w:pPr>
      <w:r>
        <w:t>No turns</w:t>
      </w:r>
      <w:r w:rsidR="00551D0F">
        <w:t xml:space="preserve">, no </w:t>
      </w:r>
      <w:proofErr w:type="gramStart"/>
      <w:r w:rsidR="00551D0F">
        <w:t>holidays</w:t>
      </w:r>
      <w:proofErr w:type="gramEnd"/>
      <w:r w:rsidR="00551D0F">
        <w:t xml:space="preserve"> and no </w:t>
      </w:r>
      <w:r w:rsidR="00123E8B">
        <w:t>business day convention for simplicity</w:t>
      </w:r>
      <w:r w:rsidR="0098219D">
        <w:t>.</w:t>
      </w:r>
    </w:p>
    <w:p w14:paraId="26186C87" w14:textId="7479CB99" w:rsidR="008B4237" w:rsidRPr="00954D25" w:rsidRDefault="00F06A5E" w:rsidP="004A7632">
      <w:pPr>
        <w:pStyle w:val="ListParagraph"/>
        <w:numPr>
          <w:ilvl w:val="0"/>
          <w:numId w:val="7"/>
        </w:numPr>
      </w:pPr>
      <w:r>
        <w:t xml:space="preserve">Knots are placed at strategic points as IMM dates, rather than </w:t>
      </w:r>
      <w:r w:rsidR="002E0478">
        <w:t>at the maturity of par tenor</w:t>
      </w:r>
      <w:r w:rsidR="0098219D">
        <w:t>.</w:t>
      </w:r>
      <w:r w:rsidR="002E0478">
        <w:t xml:space="preserve"> instruments. This is to avoid</w:t>
      </w:r>
      <w:r w:rsidR="00033BB3">
        <w:t xml:space="preserve"> large exchange basis and carry fluctuation when market a</w:t>
      </w:r>
      <w:r w:rsidR="00254D1C">
        <w:t>dvanced.</w:t>
      </w:r>
    </w:p>
    <w:p w14:paraId="7DED8101" w14:textId="62F368F2" w:rsidR="00F11A4F" w:rsidRDefault="00BD622D" w:rsidP="00EC606B">
      <w:pPr>
        <w:pStyle w:val="Heading3"/>
      </w:pPr>
      <w:bookmarkStart w:id="3" w:name="_Toc149091530"/>
      <w:r>
        <w:t>Market Instruments</w:t>
      </w:r>
      <w:bookmarkEnd w:id="3"/>
    </w:p>
    <w:p w14:paraId="44815FC9" w14:textId="324469BA" w:rsidR="00B02E97" w:rsidRPr="00B02E97" w:rsidRDefault="00B02E97" w:rsidP="00B02E97">
      <w:pPr>
        <w:jc w:val="center"/>
      </w:pPr>
      <w:r w:rsidRPr="00104FAF">
        <w:rPr>
          <w:noProof/>
        </w:rPr>
        <w:drawing>
          <wp:inline distT="0" distB="0" distL="0" distR="0" wp14:anchorId="0598D7E5" wp14:editId="539F1F11">
            <wp:extent cx="4867275" cy="44174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95" cy="44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FD01" w14:textId="4C413225" w:rsidR="008F1A1C" w:rsidRDefault="002B5127" w:rsidP="002B5127">
      <w:pPr>
        <w:pStyle w:val="Heading3"/>
      </w:pPr>
      <w:bookmarkStart w:id="4" w:name="_Toc149091531"/>
      <w:r>
        <w:lastRenderedPageBreak/>
        <w:t xml:space="preserve">Front End </w:t>
      </w:r>
      <w:r w:rsidR="003F256D">
        <w:t>Curve</w:t>
      </w:r>
      <w:bookmarkEnd w:id="4"/>
    </w:p>
    <w:p w14:paraId="7A8292F7" w14:textId="5FFEE7E2" w:rsidR="003F256D" w:rsidRDefault="003F256D" w:rsidP="003F256D">
      <w:r>
        <w:t xml:space="preserve">Here we zoomed in to have a better view on </w:t>
      </w:r>
      <w:r w:rsidR="00E443C2">
        <w:t xml:space="preserve">the </w:t>
      </w:r>
      <w:proofErr w:type="gramStart"/>
      <w:r w:rsidR="00E443C2">
        <w:t>front end</w:t>
      </w:r>
      <w:proofErr w:type="gramEnd"/>
      <w:r w:rsidR="00E443C2">
        <w:t xml:space="preserve"> </w:t>
      </w:r>
      <w:r>
        <w:t xml:space="preserve">curve. For </w:t>
      </w:r>
      <w:r w:rsidR="00555182">
        <w:t>up to 3y, we have</w:t>
      </w:r>
    </w:p>
    <w:p w14:paraId="30ACEC18" w14:textId="1B25E9CF" w:rsidR="00416466" w:rsidRDefault="00416466" w:rsidP="003F256D">
      <w:r>
        <w:rPr>
          <w:noProof/>
        </w:rPr>
        <w:drawing>
          <wp:inline distT="0" distB="0" distL="0" distR="0" wp14:anchorId="1D782329" wp14:editId="19D4BA3B">
            <wp:extent cx="5943600" cy="3089910"/>
            <wp:effectExtent l="0" t="0" r="0" b="0"/>
            <wp:docPr id="10" name="Picture 10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A21" w14:textId="77777777" w:rsidR="005829A4" w:rsidRDefault="00031895" w:rsidP="003F256D">
      <w:r>
        <w:t>The nodes are placed at FOMC meeting dates.</w:t>
      </w:r>
      <w:r w:rsidR="00271EE1">
        <w:t xml:space="preserve"> </w:t>
      </w:r>
    </w:p>
    <w:p w14:paraId="3E4D8870" w14:textId="77777777" w:rsidR="00C83D86" w:rsidRDefault="00271EE1" w:rsidP="00C83D86">
      <w:r>
        <w:t xml:space="preserve">Note that the future convexity adjustment is based on the </w:t>
      </w:r>
      <w:r w:rsidR="00E03BE3">
        <w:t xml:space="preserve">following </w:t>
      </w:r>
      <w:r>
        <w:t>2 papers</w:t>
      </w:r>
      <w:r w:rsidR="00E03BE3">
        <w:t xml:space="preserve">. </w:t>
      </w:r>
    </w:p>
    <w:p w14:paraId="688D16E8" w14:textId="77777777" w:rsidR="00C83D86" w:rsidRDefault="0083379A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1" w:history="1"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Hull. 2002. Options, Future and Other Derivatives</w:t>
        </w:r>
      </w:hyperlink>
      <w:r w:rsidR="00DA16E0" w:rsidRPr="00C83D86">
        <w:rPr>
          <w:rFonts w:asciiTheme="majorHAnsi" w:eastAsia="Times New Roman" w:hAnsiTheme="majorHAnsi" w:cstheme="majorHAnsi"/>
          <w:sz w:val="23"/>
          <w:szCs w:val="23"/>
        </w:rPr>
        <w:t> p. 566.</w:t>
      </w:r>
    </w:p>
    <w:p w14:paraId="3C191E5B" w14:textId="038A37D8" w:rsidR="00DA16E0" w:rsidRPr="00C83D86" w:rsidRDefault="0083379A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2" w:history="1">
        <w:proofErr w:type="spellStart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Piterbarg</w:t>
        </w:r>
        <w:proofErr w:type="spellEnd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and </w:t>
        </w:r>
        <w:proofErr w:type="spellStart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Renedo</w:t>
        </w:r>
        <w:proofErr w:type="spellEnd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. 2006. Eurodollar Futures Convexity Adjustments in Stochastic </w:t>
        </w:r>
        <w:proofErr w:type="spellStart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Volalitiy</w:t>
        </w:r>
        <w:proofErr w:type="spellEnd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Model. 2006</w:t>
        </w:r>
      </w:hyperlink>
    </w:p>
    <w:p w14:paraId="07B4C064" w14:textId="531F313F" w:rsidR="00C83D86" w:rsidRDefault="00C83D86" w:rsidP="00C83D86">
      <w:r>
        <w:t xml:space="preserve">The mean reversion speed is set to be 0.03 and rate vol is set to be 140bps.  The closing for SFRM5 is </w:t>
      </w:r>
      <w:r w:rsidR="00FA4A3C">
        <w:t xml:space="preserve">96.075, so if you look at </w:t>
      </w:r>
      <w:r w:rsidR="00FA4A3C" w:rsidRPr="00FA4A3C">
        <w:rPr>
          <w:i/>
          <w:iCs/>
        </w:rPr>
        <w:t xml:space="preserve">SFRM5C 96.0000 COMB </w:t>
      </w:r>
      <w:proofErr w:type="spellStart"/>
      <w:r w:rsidR="00FA4A3C" w:rsidRPr="00FA4A3C">
        <w:rPr>
          <w:i/>
          <w:iCs/>
        </w:rPr>
        <w:t>Comdty</w:t>
      </w:r>
      <w:proofErr w:type="spellEnd"/>
      <w:r w:rsidR="00FA4A3C">
        <w:rPr>
          <w:i/>
          <w:iCs/>
        </w:rPr>
        <w:t xml:space="preserve">, </w:t>
      </w:r>
      <w:r w:rsidR="004D7713" w:rsidRPr="008B5B52">
        <w:t xml:space="preserve">this serial option has implied volatility at 37.188% which at current </w:t>
      </w:r>
      <w:r w:rsidR="00632C0D" w:rsidRPr="008B5B52">
        <w:t xml:space="preserve">rates </w:t>
      </w:r>
      <w:r w:rsidR="007F0BA3" w:rsidRPr="008B5B52">
        <w:t>(3.</w:t>
      </w:r>
      <w:r w:rsidR="008B5B52" w:rsidRPr="008B5B52">
        <w:t>925%) is around 140bps.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1631"/>
        <w:gridCol w:w="1631"/>
        <w:gridCol w:w="1631"/>
        <w:gridCol w:w="2414"/>
      </w:tblGrid>
      <w:tr w:rsidR="008B5B52" w:rsidRPr="00271EE1" w14:paraId="3E584D26" w14:textId="77777777" w:rsidTr="007E2CC0">
        <w:trPr>
          <w:trHeight w:val="144"/>
        </w:trPr>
        <w:tc>
          <w:tcPr>
            <w:tcW w:w="1093" w:type="pct"/>
            <w:shd w:val="clear" w:color="auto" w:fill="000000" w:themeFill="text1"/>
            <w:noWrap/>
            <w:vAlign w:val="bottom"/>
            <w:hideMark/>
          </w:tcPr>
          <w:p w14:paraId="0ADC95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Start Date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4B7181B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Days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C8B102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Ticker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DF819A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292" w:type="pct"/>
            <w:shd w:val="clear" w:color="auto" w:fill="000000" w:themeFill="text1"/>
            <w:noWrap/>
            <w:vAlign w:val="bottom"/>
            <w:hideMark/>
          </w:tcPr>
          <w:p w14:paraId="11FD52A5" w14:textId="1FA71D4F" w:rsidR="00271EE1" w:rsidRPr="00271EE1" w:rsidRDefault="005829A4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Implied Forward</w:t>
            </w:r>
          </w:p>
        </w:tc>
      </w:tr>
      <w:tr w:rsidR="007E2CC0" w:rsidRPr="00271EE1" w14:paraId="6B900E7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C94700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08/30/2023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59B032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6D5C3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1B9931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94.6847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74BA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5.3153</w:t>
            </w:r>
          </w:p>
        </w:tc>
      </w:tr>
      <w:tr w:rsidR="007E2CC0" w:rsidRPr="00271EE1" w14:paraId="627882B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088A1E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4B738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F54D8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4AC3E4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DE553A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5.4543</w:t>
            </w:r>
          </w:p>
        </w:tc>
      </w:tr>
      <w:tr w:rsidR="007E2CC0" w:rsidRPr="00271EE1" w14:paraId="4E5A53D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43A741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183EA7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CC606B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FB374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78542A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5.4868</w:t>
            </w:r>
          </w:p>
        </w:tc>
      </w:tr>
      <w:tr w:rsidR="007E2CC0" w:rsidRPr="00271EE1" w14:paraId="4EC8B97D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A50077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03/20/2024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B3A892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FACE7B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74196F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5A4972D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5.3482</w:t>
            </w:r>
          </w:p>
        </w:tc>
      </w:tr>
      <w:tr w:rsidR="007E2CC0" w:rsidRPr="00271EE1" w14:paraId="4041D17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580E08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06/19/2024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C31848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2B572A6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5FC3B1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94.925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087309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5.0634</w:t>
            </w:r>
          </w:p>
        </w:tc>
      </w:tr>
      <w:tr w:rsidR="007E2CC0" w:rsidRPr="00271EE1" w14:paraId="2CBC320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80DB65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11A22D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2B690A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0D74F2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95.295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F034D6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4.6874</w:t>
            </w:r>
          </w:p>
        </w:tc>
      </w:tr>
      <w:tr w:rsidR="007E2CC0" w:rsidRPr="00271EE1" w14:paraId="113C795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AD8A5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4518FE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80AE6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F911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CDE24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4.3304</w:t>
            </w:r>
          </w:p>
        </w:tc>
      </w:tr>
      <w:tr w:rsidR="007E2CC0" w:rsidRPr="00271EE1" w14:paraId="0ECE879A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806AF4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03/19/2025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37F1FF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EFB2E0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101A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95.91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49585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4.0572</w:t>
            </w:r>
          </w:p>
        </w:tc>
      </w:tr>
      <w:tr w:rsidR="007E2CC0" w:rsidRPr="00271EE1" w14:paraId="0AD9298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434E6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06/18/2025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C8727B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80C0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FB2EED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96.075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E82613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3.883</w:t>
            </w:r>
          </w:p>
        </w:tc>
      </w:tr>
      <w:tr w:rsidR="007E2CC0" w:rsidRPr="00271EE1" w14:paraId="5C16E741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1B7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1DC7F5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0E635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A0674B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96.16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4B8A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3.7877</w:t>
            </w:r>
          </w:p>
        </w:tc>
      </w:tr>
      <w:tr w:rsidR="007E2CC0" w:rsidRPr="00271EE1" w14:paraId="15703842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5B2A15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0E3B88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B2B090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D073B2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974EB3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3.7414</w:t>
            </w:r>
          </w:p>
        </w:tc>
      </w:tr>
      <w:tr w:rsidR="007E2CC0" w:rsidRPr="00271EE1" w14:paraId="42C481C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D2AF3F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03/18/2026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3DD7F0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60046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595550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96.215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CEBF2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3.7092</w:t>
            </w:r>
          </w:p>
        </w:tc>
      </w:tr>
      <w:tr w:rsidR="007E2CC0" w:rsidRPr="00271EE1" w14:paraId="621999E4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7B3B3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06/17/2026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407255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12F183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6C20C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96.235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4D7379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3.6759</w:t>
            </w:r>
          </w:p>
        </w:tc>
      </w:tr>
    </w:tbl>
    <w:p w14:paraId="613E8083" w14:textId="77777777" w:rsidR="005E633C" w:rsidRDefault="005E633C" w:rsidP="005E633C">
      <w:pPr>
        <w:pStyle w:val="Heading3"/>
      </w:pPr>
      <w:bookmarkStart w:id="5" w:name="_Toc149091532"/>
      <w:r>
        <w:lastRenderedPageBreak/>
        <w:t>3y+ Curve Residual control</w:t>
      </w:r>
      <w:bookmarkEnd w:id="5"/>
    </w:p>
    <w:p w14:paraId="00482E76" w14:textId="2D6A1380" w:rsidR="00271EE1" w:rsidRDefault="005E633C" w:rsidP="005E633C">
      <w:r>
        <w:t xml:space="preserve">In the daily trading activities, we need to </w:t>
      </w:r>
      <w:r w:rsidR="008B6672">
        <w:t>mark</w:t>
      </w:r>
      <w:r>
        <w:t xml:space="preserve"> </w:t>
      </w:r>
      <w:r w:rsidR="008B6672">
        <w:t>level 2 and level 3 residuals according to broker’s screen. I have also implemented this in my curve</w:t>
      </w:r>
      <w:r w:rsidR="00B759AC">
        <w:t>, which gives me control to skew the curve on 4y, 6y, 8y, 9y, 12y, 25y, 35y and 45y.</w:t>
      </w:r>
      <w:r w:rsidR="000D63FB">
        <w:t xml:space="preserve"> this is implemented </w:t>
      </w:r>
      <w:r w:rsidR="00926F9D">
        <w:t xml:space="preserve">by having a </w:t>
      </w:r>
      <w:r w:rsidR="0053425D">
        <w:t xml:space="preserve">layered curve set.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3052"/>
        <w:gridCol w:w="3628"/>
      </w:tblGrid>
      <w:tr w:rsidR="005045D6" w:rsidRPr="005045D6" w14:paraId="1F0C115C" w14:textId="77777777" w:rsidTr="00AC536D">
        <w:trPr>
          <w:trHeight w:val="20"/>
        </w:trPr>
        <w:tc>
          <w:tcPr>
            <w:tcW w:w="1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E501B9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Input Instruments</w:t>
            </w:r>
          </w:p>
        </w:tc>
        <w:tc>
          <w:tcPr>
            <w:tcW w:w="16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3F39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First Layer Rate (bps)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8B3F6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Second Layer Skew (bps)</w:t>
            </w:r>
          </w:p>
        </w:tc>
      </w:tr>
      <w:tr w:rsidR="005045D6" w:rsidRPr="005045D6" w14:paraId="6CC4F91C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C01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87F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301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5EFC726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92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835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421.5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8D4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A0BD9A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B27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6y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1E1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78E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2624D1AB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F48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7y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812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406.3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E7F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F61234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512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8y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42A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A3E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00CF3BE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F10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9y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312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60B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2ABF705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9E2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E95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396.75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CC4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7D97B1C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AE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12y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78E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A73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-0.02</w:t>
            </w:r>
          </w:p>
        </w:tc>
      </w:tr>
      <w:tr w:rsidR="005045D6" w:rsidRPr="005045D6" w14:paraId="16C1097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1B3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445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393.125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3369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3194A24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8A8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20y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FE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386.525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A90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87F506F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08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25y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25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4E4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-0.5</w:t>
            </w:r>
          </w:p>
        </w:tc>
      </w:tr>
      <w:tr w:rsidR="005045D6" w:rsidRPr="005045D6" w14:paraId="3DF52CD8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81F9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8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362.7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05AB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EE9DC5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8C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35y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04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C35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0.4</w:t>
            </w:r>
          </w:p>
        </w:tc>
      </w:tr>
      <w:tr w:rsidR="005045D6" w:rsidRPr="005045D6" w14:paraId="05B7B68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BEB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F0D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340.845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F58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3DD257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156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45y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068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66E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0.7</w:t>
            </w:r>
          </w:p>
        </w:tc>
      </w:tr>
      <w:tr w:rsidR="005045D6" w:rsidRPr="005045D6" w14:paraId="337F2354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7B7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06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319.735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A7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14F3FA3" w14:textId="77777777" w:rsidR="000D63FB" w:rsidRDefault="000D63FB" w:rsidP="005E633C"/>
    <w:p w14:paraId="1FF0A4E4" w14:textId="7B218FE7" w:rsidR="00031895" w:rsidRDefault="005045D6" w:rsidP="003F256D">
      <w:r>
        <w:t>By implement the skew, our final curve</w:t>
      </w:r>
      <w:r w:rsidR="00963AB6">
        <w:t xml:space="preserve"> (i.e., the 2</w:t>
      </w:r>
      <w:r w:rsidR="00963AB6" w:rsidRPr="00963AB6">
        <w:rPr>
          <w:vertAlign w:val="superscript"/>
        </w:rPr>
        <w:t>nd</w:t>
      </w:r>
      <w:r w:rsidR="00963AB6">
        <w:t xml:space="preserve"> layer below)</w:t>
      </w:r>
      <w:r>
        <w:t xml:space="preserve"> have less than 0.</w:t>
      </w:r>
      <w:r w:rsidR="00C37529">
        <w:t>0</w:t>
      </w:r>
      <w:r>
        <w:t>2bps difference to Bloomberg’s closing yield.</w:t>
      </w:r>
    </w:p>
    <w:p w14:paraId="555B71DC" w14:textId="70AD5829" w:rsidR="005045D6" w:rsidRDefault="00633FCA" w:rsidP="00633FCA">
      <w:pPr>
        <w:jc w:val="center"/>
      </w:pPr>
      <w:r>
        <w:rPr>
          <w:noProof/>
        </w:rPr>
        <w:drawing>
          <wp:inline distT="0" distB="0" distL="0" distR="0" wp14:anchorId="1D5F8219" wp14:editId="76424445">
            <wp:extent cx="5172978" cy="3218180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65" cy="322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393C9" w14:textId="15F043B7" w:rsidR="00260D73" w:rsidRPr="007849F7" w:rsidRDefault="002D0F25" w:rsidP="0083379A">
      <w:pPr>
        <w:pStyle w:val="Heading2"/>
        <w:numPr>
          <w:ilvl w:val="0"/>
          <w:numId w:val="0"/>
        </w:numPr>
      </w:pPr>
      <w:r>
        <w:t xml:space="preserve"> </w:t>
      </w:r>
    </w:p>
    <w:sectPr w:rsidR="00260D73" w:rsidRPr="0078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34"/>
    <w:multiLevelType w:val="hybridMultilevel"/>
    <w:tmpl w:val="ED16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5EE5"/>
    <w:multiLevelType w:val="hybridMultilevel"/>
    <w:tmpl w:val="A31C05E8"/>
    <w:lvl w:ilvl="0" w:tplc="02D034D0">
      <w:start w:val="1"/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220672B"/>
    <w:multiLevelType w:val="hybridMultilevel"/>
    <w:tmpl w:val="CA18700E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200"/>
    <w:multiLevelType w:val="hybridMultilevel"/>
    <w:tmpl w:val="DA6E480A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400C"/>
    <w:multiLevelType w:val="hybridMultilevel"/>
    <w:tmpl w:val="F4669F80"/>
    <w:lvl w:ilvl="0" w:tplc="0D6C45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099E"/>
    <w:multiLevelType w:val="hybridMultilevel"/>
    <w:tmpl w:val="EC9825CA"/>
    <w:lvl w:ilvl="0" w:tplc="49AC98AC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229C2E4A">
      <w:start w:val="1"/>
      <w:numFmt w:val="decimal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0E1E"/>
    <w:multiLevelType w:val="hybridMultilevel"/>
    <w:tmpl w:val="A80A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56507"/>
    <w:multiLevelType w:val="hybridMultilevel"/>
    <w:tmpl w:val="E864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73EC"/>
    <w:multiLevelType w:val="hybridMultilevel"/>
    <w:tmpl w:val="60EC9C68"/>
    <w:lvl w:ilvl="0" w:tplc="02D034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08121F"/>
    <w:multiLevelType w:val="hybridMultilevel"/>
    <w:tmpl w:val="B37A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E71DA"/>
    <w:multiLevelType w:val="hybridMultilevel"/>
    <w:tmpl w:val="08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4384"/>
    <w:multiLevelType w:val="multilevel"/>
    <w:tmpl w:val="D590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7F54"/>
    <w:multiLevelType w:val="hybridMultilevel"/>
    <w:tmpl w:val="2DC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800AA"/>
    <w:multiLevelType w:val="hybridMultilevel"/>
    <w:tmpl w:val="311430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D04F6"/>
    <w:multiLevelType w:val="hybridMultilevel"/>
    <w:tmpl w:val="8F8A4828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893">
    <w:abstractNumId w:val="7"/>
  </w:num>
  <w:num w:numId="2" w16cid:durableId="642319396">
    <w:abstractNumId w:val="4"/>
  </w:num>
  <w:num w:numId="3" w16cid:durableId="488250264">
    <w:abstractNumId w:val="5"/>
  </w:num>
  <w:num w:numId="4" w16cid:durableId="672605614">
    <w:abstractNumId w:val="6"/>
  </w:num>
  <w:num w:numId="5" w16cid:durableId="1484395137">
    <w:abstractNumId w:val="14"/>
  </w:num>
  <w:num w:numId="6" w16cid:durableId="1437823603">
    <w:abstractNumId w:val="10"/>
  </w:num>
  <w:num w:numId="7" w16cid:durableId="985620899">
    <w:abstractNumId w:val="9"/>
  </w:num>
  <w:num w:numId="8" w16cid:durableId="73747308">
    <w:abstractNumId w:val="11"/>
  </w:num>
  <w:num w:numId="9" w16cid:durableId="1930192205">
    <w:abstractNumId w:val="0"/>
  </w:num>
  <w:num w:numId="10" w16cid:durableId="349336415">
    <w:abstractNumId w:val="2"/>
  </w:num>
  <w:num w:numId="11" w16cid:durableId="1135178211">
    <w:abstractNumId w:val="3"/>
  </w:num>
  <w:num w:numId="12" w16cid:durableId="951935537">
    <w:abstractNumId w:val="8"/>
  </w:num>
  <w:num w:numId="13" w16cid:durableId="726802756">
    <w:abstractNumId w:val="13"/>
  </w:num>
  <w:num w:numId="14" w16cid:durableId="385571042">
    <w:abstractNumId w:val="1"/>
  </w:num>
  <w:num w:numId="15" w16cid:durableId="739331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BF"/>
    <w:rsid w:val="00004001"/>
    <w:rsid w:val="00011E9C"/>
    <w:rsid w:val="00015022"/>
    <w:rsid w:val="000218EC"/>
    <w:rsid w:val="00031895"/>
    <w:rsid w:val="00033BB3"/>
    <w:rsid w:val="00033E54"/>
    <w:rsid w:val="00035E17"/>
    <w:rsid w:val="000363F0"/>
    <w:rsid w:val="00050AC6"/>
    <w:rsid w:val="00062A99"/>
    <w:rsid w:val="00096348"/>
    <w:rsid w:val="000B0AF8"/>
    <w:rsid w:val="000D22CF"/>
    <w:rsid w:val="000D63FB"/>
    <w:rsid w:val="000E111A"/>
    <w:rsid w:val="000E2AAE"/>
    <w:rsid w:val="000E4877"/>
    <w:rsid w:val="00104FAF"/>
    <w:rsid w:val="00113E49"/>
    <w:rsid w:val="00115545"/>
    <w:rsid w:val="00123E8B"/>
    <w:rsid w:val="001240A7"/>
    <w:rsid w:val="00136AA4"/>
    <w:rsid w:val="0014029E"/>
    <w:rsid w:val="00151804"/>
    <w:rsid w:val="00152DB2"/>
    <w:rsid w:val="00177072"/>
    <w:rsid w:val="0018642B"/>
    <w:rsid w:val="001963AD"/>
    <w:rsid w:val="001A12AE"/>
    <w:rsid w:val="001B36A8"/>
    <w:rsid w:val="001C1593"/>
    <w:rsid w:val="001C390C"/>
    <w:rsid w:val="001C7F81"/>
    <w:rsid w:val="001D6BBC"/>
    <w:rsid w:val="001E2C11"/>
    <w:rsid w:val="001E45E5"/>
    <w:rsid w:val="001F7567"/>
    <w:rsid w:val="00201499"/>
    <w:rsid w:val="00211AC8"/>
    <w:rsid w:val="00215539"/>
    <w:rsid w:val="0022133F"/>
    <w:rsid w:val="00230676"/>
    <w:rsid w:val="00240AFB"/>
    <w:rsid w:val="002452E0"/>
    <w:rsid w:val="00245B80"/>
    <w:rsid w:val="002508AF"/>
    <w:rsid w:val="00254D1C"/>
    <w:rsid w:val="00260D73"/>
    <w:rsid w:val="00266818"/>
    <w:rsid w:val="00271EE1"/>
    <w:rsid w:val="00276546"/>
    <w:rsid w:val="002968B7"/>
    <w:rsid w:val="002B5127"/>
    <w:rsid w:val="002C27E7"/>
    <w:rsid w:val="002D0F25"/>
    <w:rsid w:val="002E0478"/>
    <w:rsid w:val="003250F1"/>
    <w:rsid w:val="003408AE"/>
    <w:rsid w:val="00342385"/>
    <w:rsid w:val="00354FC1"/>
    <w:rsid w:val="00366BF9"/>
    <w:rsid w:val="003904EF"/>
    <w:rsid w:val="003A306F"/>
    <w:rsid w:val="003A6B22"/>
    <w:rsid w:val="003B662C"/>
    <w:rsid w:val="003B6A39"/>
    <w:rsid w:val="003C15BF"/>
    <w:rsid w:val="003E57DB"/>
    <w:rsid w:val="003F256D"/>
    <w:rsid w:val="0040346B"/>
    <w:rsid w:val="00404C8C"/>
    <w:rsid w:val="00406988"/>
    <w:rsid w:val="00410AD5"/>
    <w:rsid w:val="004144F5"/>
    <w:rsid w:val="00416466"/>
    <w:rsid w:val="004169D0"/>
    <w:rsid w:val="00420FE8"/>
    <w:rsid w:val="004269DB"/>
    <w:rsid w:val="00426EAE"/>
    <w:rsid w:val="00431C90"/>
    <w:rsid w:val="004501AE"/>
    <w:rsid w:val="004517F1"/>
    <w:rsid w:val="00461D2F"/>
    <w:rsid w:val="00466F76"/>
    <w:rsid w:val="00474233"/>
    <w:rsid w:val="0047775D"/>
    <w:rsid w:val="004A1A21"/>
    <w:rsid w:val="004A55A4"/>
    <w:rsid w:val="004A7632"/>
    <w:rsid w:val="004B2171"/>
    <w:rsid w:val="004D083A"/>
    <w:rsid w:val="004D7713"/>
    <w:rsid w:val="004E2883"/>
    <w:rsid w:val="005045D6"/>
    <w:rsid w:val="005068EB"/>
    <w:rsid w:val="00514993"/>
    <w:rsid w:val="00514BEF"/>
    <w:rsid w:val="005158A1"/>
    <w:rsid w:val="00516958"/>
    <w:rsid w:val="00530543"/>
    <w:rsid w:val="0053425D"/>
    <w:rsid w:val="00535E58"/>
    <w:rsid w:val="00540981"/>
    <w:rsid w:val="0054185C"/>
    <w:rsid w:val="00547B06"/>
    <w:rsid w:val="00551D0F"/>
    <w:rsid w:val="00551F84"/>
    <w:rsid w:val="00555182"/>
    <w:rsid w:val="005566D1"/>
    <w:rsid w:val="00557AEF"/>
    <w:rsid w:val="005721F6"/>
    <w:rsid w:val="00581796"/>
    <w:rsid w:val="005829A4"/>
    <w:rsid w:val="005838EC"/>
    <w:rsid w:val="00585A72"/>
    <w:rsid w:val="00590945"/>
    <w:rsid w:val="005942D9"/>
    <w:rsid w:val="005C06DF"/>
    <w:rsid w:val="005C0BFC"/>
    <w:rsid w:val="005E028C"/>
    <w:rsid w:val="005E2C78"/>
    <w:rsid w:val="005E633C"/>
    <w:rsid w:val="00622458"/>
    <w:rsid w:val="00631B06"/>
    <w:rsid w:val="00632C0D"/>
    <w:rsid w:val="00633FCA"/>
    <w:rsid w:val="006530B4"/>
    <w:rsid w:val="0068015F"/>
    <w:rsid w:val="0068666A"/>
    <w:rsid w:val="0069410E"/>
    <w:rsid w:val="00695E02"/>
    <w:rsid w:val="006C59E4"/>
    <w:rsid w:val="006D6262"/>
    <w:rsid w:val="006F77F0"/>
    <w:rsid w:val="00717CAC"/>
    <w:rsid w:val="00723662"/>
    <w:rsid w:val="00763E78"/>
    <w:rsid w:val="007849F7"/>
    <w:rsid w:val="00791704"/>
    <w:rsid w:val="00797751"/>
    <w:rsid w:val="007A3310"/>
    <w:rsid w:val="007B0DB4"/>
    <w:rsid w:val="007B2134"/>
    <w:rsid w:val="007C2EDF"/>
    <w:rsid w:val="007C6936"/>
    <w:rsid w:val="007E2CC0"/>
    <w:rsid w:val="007F0BA3"/>
    <w:rsid w:val="00816580"/>
    <w:rsid w:val="0083379A"/>
    <w:rsid w:val="00844A39"/>
    <w:rsid w:val="00851EC6"/>
    <w:rsid w:val="00881A58"/>
    <w:rsid w:val="00884A1D"/>
    <w:rsid w:val="008A132C"/>
    <w:rsid w:val="008B39F4"/>
    <w:rsid w:val="008B4237"/>
    <w:rsid w:val="008B5B52"/>
    <w:rsid w:val="008B6672"/>
    <w:rsid w:val="008D033E"/>
    <w:rsid w:val="008D15EE"/>
    <w:rsid w:val="008E1A86"/>
    <w:rsid w:val="008F1A1C"/>
    <w:rsid w:val="008F4A32"/>
    <w:rsid w:val="009010B9"/>
    <w:rsid w:val="00904C6F"/>
    <w:rsid w:val="00926F9D"/>
    <w:rsid w:val="0093081E"/>
    <w:rsid w:val="00954D25"/>
    <w:rsid w:val="0096147C"/>
    <w:rsid w:val="00962E90"/>
    <w:rsid w:val="00963AB6"/>
    <w:rsid w:val="00972AEE"/>
    <w:rsid w:val="0098219D"/>
    <w:rsid w:val="00987C8F"/>
    <w:rsid w:val="00995E29"/>
    <w:rsid w:val="00996EE2"/>
    <w:rsid w:val="009A433F"/>
    <w:rsid w:val="009B21E2"/>
    <w:rsid w:val="009D6E87"/>
    <w:rsid w:val="009E1286"/>
    <w:rsid w:val="009E55BC"/>
    <w:rsid w:val="00A16AE9"/>
    <w:rsid w:val="00A16F90"/>
    <w:rsid w:val="00A23B10"/>
    <w:rsid w:val="00A2441E"/>
    <w:rsid w:val="00A32A6D"/>
    <w:rsid w:val="00A45037"/>
    <w:rsid w:val="00A5583F"/>
    <w:rsid w:val="00A57A75"/>
    <w:rsid w:val="00A7682F"/>
    <w:rsid w:val="00A80AA0"/>
    <w:rsid w:val="00A91E6C"/>
    <w:rsid w:val="00A92A07"/>
    <w:rsid w:val="00AB0CC5"/>
    <w:rsid w:val="00AC536D"/>
    <w:rsid w:val="00AD420F"/>
    <w:rsid w:val="00AD568E"/>
    <w:rsid w:val="00AD5855"/>
    <w:rsid w:val="00AD6CAD"/>
    <w:rsid w:val="00AE29A3"/>
    <w:rsid w:val="00AE2E94"/>
    <w:rsid w:val="00AE477A"/>
    <w:rsid w:val="00AE55FA"/>
    <w:rsid w:val="00B02E97"/>
    <w:rsid w:val="00B05427"/>
    <w:rsid w:val="00B05B15"/>
    <w:rsid w:val="00B3405E"/>
    <w:rsid w:val="00B41B75"/>
    <w:rsid w:val="00B4577E"/>
    <w:rsid w:val="00B528E7"/>
    <w:rsid w:val="00B54D5E"/>
    <w:rsid w:val="00B553A9"/>
    <w:rsid w:val="00B66629"/>
    <w:rsid w:val="00B74762"/>
    <w:rsid w:val="00B759AC"/>
    <w:rsid w:val="00B760D6"/>
    <w:rsid w:val="00B823E9"/>
    <w:rsid w:val="00B874F5"/>
    <w:rsid w:val="00BA1513"/>
    <w:rsid w:val="00BA470B"/>
    <w:rsid w:val="00BB4161"/>
    <w:rsid w:val="00BC568B"/>
    <w:rsid w:val="00BD622D"/>
    <w:rsid w:val="00BF1595"/>
    <w:rsid w:val="00BF1637"/>
    <w:rsid w:val="00C06EFC"/>
    <w:rsid w:val="00C129D6"/>
    <w:rsid w:val="00C12EC3"/>
    <w:rsid w:val="00C37529"/>
    <w:rsid w:val="00C437BD"/>
    <w:rsid w:val="00C46E60"/>
    <w:rsid w:val="00C54398"/>
    <w:rsid w:val="00C55410"/>
    <w:rsid w:val="00C75148"/>
    <w:rsid w:val="00C83D86"/>
    <w:rsid w:val="00C83DE3"/>
    <w:rsid w:val="00C917A3"/>
    <w:rsid w:val="00CB726A"/>
    <w:rsid w:val="00CC2321"/>
    <w:rsid w:val="00CC5BB6"/>
    <w:rsid w:val="00CC7E20"/>
    <w:rsid w:val="00CD4118"/>
    <w:rsid w:val="00CD4646"/>
    <w:rsid w:val="00CD714C"/>
    <w:rsid w:val="00CF072A"/>
    <w:rsid w:val="00D06A09"/>
    <w:rsid w:val="00D159DB"/>
    <w:rsid w:val="00D21B7C"/>
    <w:rsid w:val="00D21F1F"/>
    <w:rsid w:val="00D428A6"/>
    <w:rsid w:val="00D44352"/>
    <w:rsid w:val="00D46CA3"/>
    <w:rsid w:val="00D6301F"/>
    <w:rsid w:val="00D66846"/>
    <w:rsid w:val="00D80669"/>
    <w:rsid w:val="00D874EB"/>
    <w:rsid w:val="00D90F5A"/>
    <w:rsid w:val="00DA16E0"/>
    <w:rsid w:val="00DA2236"/>
    <w:rsid w:val="00DA2F78"/>
    <w:rsid w:val="00DB55EE"/>
    <w:rsid w:val="00DB655B"/>
    <w:rsid w:val="00DC13E6"/>
    <w:rsid w:val="00DC1B73"/>
    <w:rsid w:val="00DC2773"/>
    <w:rsid w:val="00DC4786"/>
    <w:rsid w:val="00DC5E5C"/>
    <w:rsid w:val="00DD39AC"/>
    <w:rsid w:val="00DD541A"/>
    <w:rsid w:val="00DE7033"/>
    <w:rsid w:val="00DF611B"/>
    <w:rsid w:val="00DF68FD"/>
    <w:rsid w:val="00E00484"/>
    <w:rsid w:val="00E03BE3"/>
    <w:rsid w:val="00E14410"/>
    <w:rsid w:val="00E1555C"/>
    <w:rsid w:val="00E30542"/>
    <w:rsid w:val="00E311AB"/>
    <w:rsid w:val="00E367AD"/>
    <w:rsid w:val="00E379C9"/>
    <w:rsid w:val="00E43E7E"/>
    <w:rsid w:val="00E443C2"/>
    <w:rsid w:val="00E47CF4"/>
    <w:rsid w:val="00E9760B"/>
    <w:rsid w:val="00EB0744"/>
    <w:rsid w:val="00EC3EB0"/>
    <w:rsid w:val="00EC606B"/>
    <w:rsid w:val="00EE3300"/>
    <w:rsid w:val="00EE50F8"/>
    <w:rsid w:val="00EF3C57"/>
    <w:rsid w:val="00EF4AD7"/>
    <w:rsid w:val="00EF4C3D"/>
    <w:rsid w:val="00EF5126"/>
    <w:rsid w:val="00F02120"/>
    <w:rsid w:val="00F0601C"/>
    <w:rsid w:val="00F06A5E"/>
    <w:rsid w:val="00F11652"/>
    <w:rsid w:val="00F11A4F"/>
    <w:rsid w:val="00F373C3"/>
    <w:rsid w:val="00F40498"/>
    <w:rsid w:val="00F633D4"/>
    <w:rsid w:val="00F86B6A"/>
    <w:rsid w:val="00FA4A3C"/>
    <w:rsid w:val="00FB618B"/>
    <w:rsid w:val="00FB7FE5"/>
    <w:rsid w:val="00FD483B"/>
    <w:rsid w:val="00FE0F43"/>
    <w:rsid w:val="00FE3D3C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0FE"/>
  <w15:chartTrackingRefBased/>
  <w15:docId w15:val="{FFDBDEF3-0A7D-4425-AB84-7626391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6F"/>
    <w:pPr>
      <w:numPr>
        <w:numId w:val="3"/>
      </w:numPr>
      <w:ind w:left="540" w:hanging="54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04C6F"/>
    <w:pPr>
      <w:numPr>
        <w:ilvl w:val="1"/>
        <w:numId w:val="3"/>
      </w:numPr>
      <w:tabs>
        <w:tab w:val="left" w:pos="900"/>
      </w:tabs>
      <w:ind w:left="990" w:hanging="5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4C6F"/>
    <w:rPr>
      <w:u w:val="single"/>
    </w:rPr>
  </w:style>
  <w:style w:type="character" w:styleId="Hyperlink">
    <w:name w:val="Hyperlink"/>
    <w:basedOn w:val="DefaultParagraphFont"/>
    <w:uiPriority w:val="99"/>
    <w:unhideWhenUsed/>
    <w:rsid w:val="00DA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2ED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36AA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A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A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risk.net/journal-of-computational-finance/2160379/eurodollar-futures-convexity-adjustments-in-stochastic-volatility-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enze1909@gmail.com" TargetMode="External"/><Relationship Id="rId11" Type="http://schemas.openxmlformats.org/officeDocument/2006/relationships/hyperlink" Target="https://rads.stackoverflow.com/amzn/click/com/B01K94T4C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6FDD-C057-4ABD-8F68-788B74A4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LI</dc:creator>
  <cp:keywords/>
  <dc:description/>
  <cp:lastModifiedBy>JINYANG LI</cp:lastModifiedBy>
  <cp:revision>51</cp:revision>
  <cp:lastPrinted>2023-09-07T16:19:00Z</cp:lastPrinted>
  <dcterms:created xsi:type="dcterms:W3CDTF">2023-08-28T20:30:00Z</dcterms:created>
  <dcterms:modified xsi:type="dcterms:W3CDTF">2023-10-25T05:59:00Z</dcterms:modified>
</cp:coreProperties>
</file>