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ind w:firstLine="0"/>
        <w:jc w:val="left"/>
      </w:pPr>
      <w:r>
        <w:rPr>
          <w:rFonts w:ascii="宋体" w:hAnsi="宋体" w:eastAsia="宋体"/>
          <w:b/>
          <w:color w:val="000000"/>
          <w:sz w:val="36"/>
        </w:rPr>
        <w:t>小米集团2025年年度财务报告</w:t>
      </w:r>
    </w:p>
    <w:p>
      <w:pPr>
        <w:spacing w:before="200" w:after="100"/>
        <w:ind w:firstLine="480"/>
        <w:jc w:val="left"/>
      </w:pPr>
      <w:r>
        <w:rPr>
          <w:rFonts w:ascii="黑体" w:hAnsi="黑体" w:eastAsia="黑体"/>
          <w:b/>
          <w:color w:val="000000"/>
          <w:sz w:val="24"/>
        </w:rPr>
        <w:t>文档信息</w:t>
      </w:r>
    </w:p>
    <w:p>
      <w:pPr>
        <w:spacing w:line="360" w:lineRule="auto" w:before="0" w:after="0"/>
        <w:ind w:firstLine="480"/>
        <w:jc w:val="left"/>
      </w:pPr>
      <w:r>
        <w:rPr>
          <w:rFonts w:ascii="仿宋_GB2312" w:hAnsi="仿宋_GB2312" w:eastAsia="仿宋_GB2312"/>
          <w:b/>
          <w:color w:val="000000"/>
          <w:sz w:val="24"/>
        </w:rPr>
        <w:t>报告期间</w:t>
      </w:r>
      <w:r>
        <w:rPr>
          <w:rFonts w:ascii="仿宋_GB2312" w:hAnsi="仿宋_GB2312" w:eastAsia="仿宋_GB2312"/>
          <w:color w:val="000000"/>
          <w:sz w:val="24"/>
        </w:rPr>
        <w:t>：2025年1月1日至2025年12月31日</w:t>
      </w:r>
    </w:p>
    <w:p>
      <w:pPr>
        <w:spacing w:line="360" w:lineRule="auto" w:before="0" w:after="0"/>
        <w:ind w:firstLine="480"/>
        <w:jc w:val="left"/>
      </w:pPr>
      <w:r>
        <w:rPr>
          <w:rFonts w:ascii="仿宋_GB2312" w:hAnsi="仿宋_GB2312" w:eastAsia="仿宋_GB2312"/>
          <w:b/>
          <w:color w:val="000000"/>
          <w:sz w:val="24"/>
        </w:rPr>
        <w:t>发布日期</w:t>
      </w:r>
      <w:r>
        <w:rPr>
          <w:rFonts w:ascii="仿宋_GB2312" w:hAnsi="仿宋_GB2312" w:eastAsia="仿宋_GB2312"/>
          <w:color w:val="000000"/>
          <w:sz w:val="24"/>
        </w:rPr>
        <w:t>：2026年3月24日</w:t>
      </w:r>
    </w:p>
    <w:p>
      <w:pPr>
        <w:spacing w:line="360" w:lineRule="auto" w:before="0" w:after="0"/>
        <w:ind w:firstLine="480"/>
        <w:jc w:val="left"/>
      </w:pPr>
      <w:r>
        <w:rPr>
          <w:rFonts w:ascii="仿宋_GB2312" w:hAnsi="仿宋_GB2312" w:eastAsia="仿宋_GB2312"/>
          <w:b/>
          <w:color w:val="000000"/>
          <w:sz w:val="24"/>
        </w:rPr>
        <w:t>股票代码</w:t>
      </w:r>
      <w:r>
        <w:rPr>
          <w:rFonts w:ascii="仿宋_GB2312" w:hAnsi="仿宋_GB2312" w:eastAsia="仿宋_GB2312"/>
          <w:color w:val="000000"/>
          <w:sz w:val="24"/>
        </w:rPr>
        <w:t>：HK01810</w:t>
      </w:r>
    </w:p>
    <w:p>
      <w:pPr>
        <w:spacing w:line="360" w:lineRule="auto" w:before="0" w:after="0"/>
        <w:ind w:firstLine="480"/>
        <w:jc w:val="left"/>
      </w:pPr>
      <w:r>
        <w:rPr>
          <w:rFonts w:ascii="仿宋_GB2312" w:hAnsi="仿宋_GB2312" w:eastAsia="仿宋_GB2312"/>
          <w:b/>
          <w:color w:val="000000"/>
          <w:sz w:val="24"/>
        </w:rPr>
        <w:t>报告类型</w:t>
      </w:r>
      <w:r>
        <w:rPr>
          <w:rFonts w:ascii="仿宋_GB2312" w:hAnsi="仿宋_GB2312" w:eastAsia="仿宋_GB2312"/>
          <w:color w:val="000000"/>
          <w:sz w:val="24"/>
        </w:rPr>
        <w:t>：年度业绩公告</w:t>
      </w:r>
    </w:p>
    <w:p>
      <w:pPr>
        <w:spacing w:before="240" w:after="240"/>
        <w:pBdr>
          <w:bottom w:val="single" w:sz="12" w:color="A0A0A0" w:space="2"/>
        </w:pBdr>
      </w:pPr>
    </w:p>
    <w:p>
      <w:pPr>
        <w:spacing w:before="200" w:after="100"/>
        <w:ind w:firstLine="480"/>
        <w:jc w:val="left"/>
      </w:pPr>
      <w:r>
        <w:rPr>
          <w:rFonts w:ascii="黑体" w:hAnsi="黑体" w:eastAsia="黑体"/>
          <w:b/>
          <w:color w:val="000000"/>
          <w:sz w:val="24"/>
        </w:rPr>
        <w:t>一、执行摘要</w:t>
      </w:r>
    </w:p>
    <w:p>
      <w:pPr>
        <w:spacing w:before="160" w:after="80"/>
        <w:ind w:firstLine="480"/>
        <w:jc w:val="left"/>
      </w:pPr>
      <w:r>
        <w:rPr>
          <w:rFonts w:ascii="楷体_GB2312" w:hAnsi="楷体_GB2312" w:eastAsia="楷体_GB2312"/>
          <w:b/>
          <w:color w:val="000000"/>
          <w:sz w:val="24"/>
        </w:rPr>
        <w:t>核心财务亮点</w:t>
      </w:r>
    </w:p>
    <w:p>
      <w:pPr>
        <w:spacing w:line="360" w:lineRule="auto" w:before="0" w:after="0"/>
        <w:ind w:firstLine="480"/>
        <w:jc w:val="left"/>
      </w:pPr>
      <w:r>
        <w:rPr>
          <w:rFonts w:ascii="仿宋_GB2312" w:hAnsi="仿宋_GB2312" w:eastAsia="仿宋_GB2312"/>
          <w:color w:val="000000"/>
          <w:sz w:val="24"/>
        </w:rPr>
        <w:t>2025年是小米集团战略转型成效全面验证的标志性年份。公司在"人车家全生态"战略指引下，实现了历史性的业绩突破：</w:t>
      </w:r>
    </w:p>
    <w:p>
      <w:pPr>
        <w:spacing w:before="120" w:after="120"/>
        <w:ind w:left="720" w:right="720"/>
        <w:pBdr>
          <w:left w:val="single" w:sz="18" w:color="808080" w:space="6"/>
        </w:pBdr>
      </w:pPr>
      <w:r>
        <w:rPr>
          <w:rFonts w:ascii="仿宋_GB2312" w:hAnsi="仿宋_GB2312" w:eastAsia="仿宋_GB2312"/>
          <w:b/>
          <w:i/>
          <w:color w:val="505050"/>
          <w:sz w:val="24"/>
        </w:rPr>
        <w:t>总收入突破4,500亿元大关，经调整净利润首次突破400亿元，汽车业务首次实现经营层面盈利。</w:t>
      </w:r>
    </w:p>
    <w:p>
      <w:pPr>
        <w:spacing w:line="360" w:lineRule="auto" w:before="0" w:after="0"/>
        <w:ind w:firstLine="480"/>
        <w:jc w:val="left"/>
      </w:pPr>
      <w:r>
        <w:rPr>
          <w:rFonts w:ascii="仿宋_GB2312" w:hAnsi="仿宋_GB2312" w:eastAsia="仿宋_GB2312"/>
          <w:color w:val="000000"/>
          <w:sz w:val="24"/>
        </w:rPr>
        <w:t>本年度核心成就包括：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 xml:space="preserve">• 总收入达到 </w:t>
      </w:r>
      <w:r>
        <w:rPr>
          <w:rFonts w:ascii="仿宋_GB2312" w:hAnsi="仿宋_GB2312" w:eastAsia="仿宋_GB2312"/>
          <w:b/>
          <w:sz w:val="24"/>
        </w:rPr>
        <w:t>4,573亿元</w:t>
      </w:r>
      <w:r>
        <w:rPr>
          <w:rFonts w:ascii="仿宋_GB2312" w:hAnsi="仿宋_GB2312" w:eastAsia="仿宋_GB2312"/>
          <w:sz w:val="24"/>
        </w:rPr>
        <w:t xml:space="preserve">，同比增长 </w:t>
      </w:r>
      <w:r>
        <w:rPr>
          <w:rFonts w:ascii="仿宋_GB2312" w:hAnsi="仿宋_GB2312" w:eastAsia="仿宋_GB2312"/>
          <w:b/>
          <w:sz w:val="24"/>
        </w:rPr>
        <w:t>25.0%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 xml:space="preserve">• 经调整净利润 </w:t>
      </w:r>
      <w:r>
        <w:rPr>
          <w:rFonts w:ascii="仿宋_GB2312" w:hAnsi="仿宋_GB2312" w:eastAsia="仿宋_GB2312"/>
          <w:b/>
          <w:sz w:val="24"/>
        </w:rPr>
        <w:t>392亿元</w:t>
      </w:r>
      <w:r>
        <w:rPr>
          <w:rFonts w:ascii="仿宋_GB2312" w:hAnsi="仿宋_GB2312" w:eastAsia="仿宋_GB2312"/>
          <w:sz w:val="24"/>
        </w:rPr>
        <w:t xml:space="preserve">，同比大增 </w:t>
      </w:r>
      <w:r>
        <w:rPr>
          <w:rFonts w:ascii="仿宋_GB2312" w:hAnsi="仿宋_GB2312" w:eastAsia="仿宋_GB2312"/>
          <w:b/>
          <w:sz w:val="24"/>
        </w:rPr>
        <w:t>43.8%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 xml:space="preserve">• 智能电动汽车交付量 </w:t>
      </w:r>
      <w:r>
        <w:rPr>
          <w:rFonts w:ascii="仿宋_GB2312" w:hAnsi="仿宋_GB2312" w:eastAsia="仿宋_GB2312"/>
          <w:b/>
          <w:sz w:val="24"/>
        </w:rPr>
        <w:t>411,082辆</w:t>
      </w:r>
      <w:r>
        <w:rPr>
          <w:rFonts w:ascii="仿宋_GB2312" w:hAnsi="仿宋_GB2312" w:eastAsia="仿宋_GB2312"/>
          <w:sz w:val="24"/>
        </w:rPr>
        <w:t xml:space="preserve">，同比增长 </w:t>
      </w:r>
      <w:r>
        <w:rPr>
          <w:rFonts w:ascii="仿宋_GB2312" w:hAnsi="仿宋_GB2312" w:eastAsia="仿宋_GB2312"/>
          <w:b/>
          <w:sz w:val="24"/>
        </w:rPr>
        <w:t>200.4%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 xml:space="preserve">• 研发投入 </w:t>
      </w:r>
      <w:r>
        <w:rPr>
          <w:rFonts w:ascii="仿宋_GB2312" w:hAnsi="仿宋_GB2312" w:eastAsia="仿宋_GB2312"/>
          <w:b/>
          <w:sz w:val="24"/>
        </w:rPr>
        <w:t>331亿元</w:t>
      </w:r>
      <w:r>
        <w:rPr>
          <w:rFonts w:ascii="仿宋_GB2312" w:hAnsi="仿宋_GB2312" w:eastAsia="仿宋_GB2312"/>
          <w:sz w:val="24"/>
        </w:rPr>
        <w:t xml:space="preserve">，同比增长 </w:t>
      </w:r>
      <w:r>
        <w:rPr>
          <w:rFonts w:ascii="仿宋_GB2312" w:hAnsi="仿宋_GB2312" w:eastAsia="仿宋_GB2312"/>
          <w:b/>
          <w:sz w:val="24"/>
        </w:rPr>
        <w:t>37.8%</w:t>
      </w:r>
    </w:p>
    <w:p>
      <w:pPr>
        <w:spacing w:before="240" w:after="240"/>
        <w:pBdr>
          <w:bottom w:val="single" w:sz="12" w:color="A0A0A0" w:space="2"/>
        </w:pBdr>
      </w:pPr>
    </w:p>
    <w:p>
      <w:pPr>
        <w:spacing w:before="200" w:after="100"/>
        <w:ind w:firstLine="480"/>
        <w:jc w:val="left"/>
      </w:pPr>
      <w:r>
        <w:rPr>
          <w:rFonts w:ascii="黑体" w:hAnsi="黑体" w:eastAsia="黑体"/>
          <w:b/>
          <w:color w:val="000000"/>
          <w:sz w:val="24"/>
        </w:rPr>
        <w:t>二、整体财务表现</w:t>
      </w:r>
    </w:p>
    <w:p>
      <w:pPr>
        <w:spacing w:before="160" w:after="80"/>
        <w:ind w:firstLine="480"/>
        <w:jc w:val="left"/>
      </w:pPr>
      <w:r>
        <w:rPr>
          <w:rFonts w:ascii="楷体_GB2312" w:hAnsi="楷体_GB2312" w:eastAsia="楷体_GB2312"/>
          <w:b/>
          <w:color w:val="000000"/>
          <w:sz w:val="24"/>
        </w:rPr>
        <w:t>2.1 年度主要财务指标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财务指标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2025年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2024年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同比变化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总营收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4,573亿元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3,659亿元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+25.0% ✅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经调整净利润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392亿元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273亿元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+43.8% ✅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综合毛利率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22.3%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21.0%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+1.3ppt ↑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研发投入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331亿元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240亿元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+37.8% 📈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经营利润率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8.6%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6.9%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+1.7ppt</w:t>
            </w:r>
          </w:p>
        </w:tc>
      </w:tr>
    </w:tbl>
    <w:p>
      <w:pPr>
        <w:spacing w:line="360" w:lineRule="auto" w:before="0" w:after="0"/>
        <w:ind w:firstLine="480"/>
        <w:jc w:val="left"/>
      </w:pPr>
      <w:r>
        <w:rPr>
          <w:rFonts w:ascii="仿宋_GB2312" w:hAnsi="仿宋_GB2312" w:eastAsia="仿宋_GB2312"/>
          <w:i/>
          <w:color w:val="000000"/>
          <w:sz w:val="24"/>
        </w:rPr>
        <w:t>注：经调整净利润已剔除股份支付费用、投资公允价值变动等非经常性项目</w:t>
      </w:r>
    </w:p>
    <w:p>
      <w:pPr>
        <w:spacing w:before="160" w:after="80"/>
        <w:ind w:firstLine="480"/>
        <w:jc w:val="left"/>
      </w:pPr>
      <w:r>
        <w:rPr>
          <w:rFonts w:ascii="楷体_GB2312" w:hAnsi="楷体_GB2312" w:eastAsia="楷体_GB2312"/>
          <w:b/>
          <w:color w:val="000000"/>
          <w:sz w:val="24"/>
        </w:rPr>
        <w:t>2.2 季度营收趋势分析</w:t>
      </w:r>
    </w:p>
    <w:p>
      <w:pPr>
        <w:spacing w:line="360" w:lineRule="auto" w:before="0" w:after="0"/>
        <w:ind w:firstLine="480"/>
        <w:jc w:val="left"/>
      </w:pPr>
      <w:r>
        <w:rPr>
          <w:rFonts w:ascii="仿宋_GB2312" w:hAnsi="仿宋_GB2312" w:eastAsia="仿宋_GB2312"/>
          <w:color w:val="000000"/>
          <w:sz w:val="24"/>
        </w:rPr>
        <w:t>下表展示了2025年各季度的营收变化情况：</w:t>
      </w:r>
    </w:p>
    <w:p>
      <w:pPr>
        <w:spacing w:before="120" w:after="60"/>
        <w:ind w:firstLine="480"/>
        <w:jc w:val="left"/>
      </w:pPr>
      <w:r>
        <w:rPr>
          <w:rFonts w:ascii="仿宋_GB2312" w:hAnsi="仿宋_GB2312" w:eastAsia="仿宋_GB2312"/>
          <w:b/>
          <w:color w:val="000000"/>
          <w:sz w:val="24"/>
        </w:rPr>
        <w:t>季度营收明细表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季度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营收（亿元）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环比增长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同比增长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毛利率</w:t>
            </w:r>
          </w:p>
        </w:tc>
      </w:tr>
      <w:tr>
        <w:trPr/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Q1 2025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1,113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-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+27.5%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22.1%</w:t>
            </w:r>
          </w:p>
        </w:tc>
      </w:tr>
      <w:tr>
        <w:trPr/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Q2 2025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1,160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+4.2%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+32.1%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22.5%</w:t>
            </w:r>
          </w:p>
        </w:tc>
      </w:tr>
      <w:tr>
        <w:trPr/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Q3 2025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1,131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-2.5%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+24.3%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21.8%</w:t>
            </w:r>
          </w:p>
        </w:tc>
      </w:tr>
      <w:tr>
        <w:trPr/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Q4 2025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1,169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+3.4%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+7.0%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20.8%</w:t>
            </w:r>
          </w:p>
        </w:tc>
      </w:tr>
    </w:tbl>
    <w:p>
      <w:pPr>
        <w:spacing w:line="360" w:lineRule="auto" w:before="0" w:after="0"/>
        <w:ind w:firstLine="480"/>
        <w:jc w:val="left"/>
      </w:pPr>
      <w:r>
        <w:rPr>
          <w:rFonts w:ascii="仿宋_GB2312" w:hAnsi="仿宋_GB2312" w:eastAsia="仿宋_GB2312"/>
          <w:b/>
          <w:color w:val="000000"/>
          <w:sz w:val="24"/>
        </w:rPr>
        <w:t>关键观察</w:t>
      </w:r>
      <w:r>
        <w:rPr>
          <w:rFonts w:ascii="仿宋_GB2312" w:hAnsi="仿宋_GB2312" w:eastAsia="仿宋_GB2312"/>
          <w:color w:val="000000"/>
          <w:sz w:val="24"/>
        </w:rPr>
        <w:t>：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>Q4营收增速放缓至7%，主要受手机业务季节性因素影响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>全年呈现"前高后稳"态势，Q2为全年峰值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>毛利率在Q4略有回落，主要因促销活动增加</w:t>
      </w:r>
    </w:p>
    <w:p>
      <w:pPr>
        <w:spacing w:before="240" w:after="240"/>
        <w:pBdr>
          <w:bottom w:val="single" w:sz="12" w:color="A0A0A0" w:space="2"/>
        </w:pBdr>
      </w:pPr>
    </w:p>
    <w:p>
      <w:pPr>
        <w:spacing w:before="200" w:after="100"/>
        <w:ind w:firstLine="480"/>
        <w:jc w:val="left"/>
      </w:pPr>
      <w:r>
        <w:rPr>
          <w:rFonts w:ascii="黑体" w:hAnsi="黑体" w:eastAsia="黑体"/>
          <w:b/>
          <w:color w:val="000000"/>
          <w:sz w:val="24"/>
        </w:rPr>
        <w:t>三、业务板块深度分析</w:t>
      </w:r>
    </w:p>
    <w:p>
      <w:pPr>
        <w:spacing w:before="160" w:after="80"/>
        <w:ind w:firstLine="480"/>
        <w:jc w:val="left"/>
      </w:pPr>
      <w:r>
        <w:rPr>
          <w:rFonts w:ascii="楷体_GB2312" w:hAnsi="楷体_GB2312" w:eastAsia="楷体_GB2312"/>
          <w:b/>
          <w:color w:val="000000"/>
          <w:sz w:val="24"/>
        </w:rPr>
        <w:t>3.1 业务结构概览</w:t>
      </w:r>
    </w:p>
    <w:p>
      <w:pPr>
        <w:spacing w:line="360" w:lineRule="auto" w:before="0" w:after="0"/>
        <w:ind w:firstLine="480"/>
        <w:jc w:val="left"/>
      </w:pPr>
      <w:r>
        <w:rPr>
          <w:rFonts w:ascii="仿宋_GB2312" w:hAnsi="仿宋_GB2312" w:eastAsia="仿宋_GB2312"/>
          <w:color w:val="000000"/>
          <w:sz w:val="24"/>
        </w:rPr>
        <w:t>小米集团目前形成三大业务板块协同发展的格局：</w:t>
      </w:r>
    </w:p>
    <w:p>
      <w:pPr>
        <w:ind w:left="720"/>
        <w:jc w:val="left"/>
      </w:pPr>
      <w:r>
        <w:rPr>
          <w:rFonts w:ascii="仿宋_GB2312" w:hAnsi="仿宋_GB2312" w:eastAsia="仿宋_GB2312"/>
          <w:b/>
          <w:sz w:val="24"/>
        </w:rPr>
        <w:t>智能手机×AIoT分部</w:t>
      </w:r>
      <w:r>
        <w:rPr>
          <w:rFonts w:ascii="仿宋_GB2312" w:hAnsi="仿宋_GB2312" w:eastAsia="仿宋_GB2312"/>
          <w:sz w:val="24"/>
        </w:rPr>
        <w:t xml:space="preserve"> - 传统核心业务</w:t>
      </w:r>
    </w:p>
    <w:p>
      <w:pPr>
        <w:ind w:left="720"/>
        <w:jc w:val="left"/>
      </w:pPr>
      <w:r>
        <w:rPr>
          <w:rFonts w:ascii="仿宋_GB2312" w:hAnsi="仿宋_GB2312" w:eastAsia="仿宋_GB2312"/>
          <w:b/>
          <w:sz w:val="24"/>
        </w:rPr>
        <w:t>智能电动汽车及AI创新业务</w:t>
      </w:r>
      <w:r>
        <w:rPr>
          <w:rFonts w:ascii="仿宋_GB2312" w:hAnsi="仿宋_GB2312" w:eastAsia="仿宋_GB2312"/>
          <w:sz w:val="24"/>
        </w:rPr>
        <w:t xml:space="preserve"> - 新增长引擎</w:t>
      </w:r>
    </w:p>
    <w:p>
      <w:pPr>
        <w:ind w:left="720"/>
        <w:jc w:val="left"/>
      </w:pPr>
      <w:r>
        <w:rPr>
          <w:rFonts w:ascii="仿宋_GB2312" w:hAnsi="仿宋_GB2312" w:eastAsia="仿宋_GB2312"/>
          <w:b/>
          <w:sz w:val="24"/>
        </w:rPr>
        <w:t>互联网服务</w:t>
      </w:r>
      <w:r>
        <w:rPr>
          <w:rFonts w:ascii="仿宋_GB2312" w:hAnsi="仿宋_GB2312" w:eastAsia="仿宋_GB2312"/>
          <w:sz w:val="24"/>
        </w:rPr>
        <w:t xml:space="preserve"> - 高利润现金牛</w:t>
      </w:r>
    </w:p>
    <w:p>
      <w:pPr>
        <w:spacing w:before="120" w:after="60"/>
        <w:ind w:firstLine="480"/>
        <w:jc w:val="left"/>
      </w:pPr>
      <w:r>
        <w:rPr>
          <w:rFonts w:ascii="仿宋_GB2312" w:hAnsi="仿宋_GB2312" w:eastAsia="仿宋_GB2312"/>
          <w:b/>
          <w:color w:val="000000"/>
          <w:sz w:val="24"/>
        </w:rPr>
        <w:t>三大业务板块收入占比图示</w:t>
      </w:r>
    </w:p>
    <w:p>
      <w:pPr>
        <w:spacing w:line="360" w:lineRule="auto" w:before="0" w:after="0"/>
        <w:ind w:firstLine="480"/>
        <w:jc w:val="left"/>
      </w:pPr>
      <w:r>
        <w:rPr>
          <w:rFonts w:ascii="仿宋_GB2312" w:hAnsi="仿宋_GB2312" w:eastAsia="仿宋_GB2312"/>
          <w:color w:val="000000"/>
          <w:sz w:val="24"/>
        </w:rPr>
        <w:t>2025年收入结构：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"/>
      </w:tblPr>
      <w:tblGrid>
        <w:gridCol w:w="4320"/>
        <w:gridCol w:w="4320"/>
      </w:tblGrid>
      <w:tr>
        <w:trPr/>
        <w:tc>
          <w:tcPr>
            <w:tcW w:type="dxa" w:w="432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业务板块</w:t>
            </w:r>
          </w:p>
        </w:tc>
        <w:tc>
          <w:tcPr>
            <w:tcW w:type="dxa" w:w="432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收入占比</w:t>
            </w:r>
          </w:p>
        </w:tc>
      </w:tr>
      <w:tr>
        <w:trPr/>
        <w:tc>
          <w:tcPr>
            <w:tcW w:type="dxa" w:w="432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智能手机×AIoT</w:t>
            </w:r>
          </w:p>
        </w:tc>
        <w:tc>
          <w:tcPr>
            <w:tcW w:type="dxa" w:w="432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76.8%</w:t>
            </w:r>
          </w:p>
        </w:tc>
      </w:tr>
      <w:tr>
        <w:trPr/>
        <w:tc>
          <w:tcPr>
            <w:tcW w:type="dxa" w:w="432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汽车及AI创新</w:t>
            </w:r>
          </w:p>
        </w:tc>
        <w:tc>
          <w:tcPr>
            <w:tcW w:type="dxa" w:w="432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23.2%</w:t>
            </w:r>
          </w:p>
        </w:tc>
      </w:tr>
    </w:tbl>
    <w:p>
      <w:pPr>
        <w:spacing w:before="120" w:after="120"/>
        <w:ind w:left="720" w:right="720"/>
        <w:pBdr>
          <w:left w:val="single" w:sz="18" w:color="808080" w:space="6"/>
        </w:pBdr>
      </w:pPr>
      <w:r>
        <w:rPr>
          <w:rFonts w:ascii="仿宋_GB2312" w:hAnsi="仿宋_GB2312" w:eastAsia="仿宋_GB2312"/>
          <w:i/>
          <w:color w:val="505050"/>
          <w:sz w:val="24"/>
        </w:rPr>
        <w:t>注：其中互联网服务已包含在上述板块中。</w:t>
      </w:r>
    </w:p>
    <w:p>
      <w:pPr>
        <w:spacing w:before="160" w:after="80"/>
        <w:ind w:firstLine="480"/>
        <w:jc w:val="left"/>
      </w:pPr>
      <w:r>
        <w:rPr>
          <w:rFonts w:ascii="楷体_GB2312" w:hAnsi="楷体_GB2312" w:eastAsia="楷体_GB2312"/>
          <w:b/>
          <w:color w:val="000000"/>
          <w:sz w:val="24"/>
        </w:rPr>
        <w:t>3.2 智能手机业务</w:t>
      </w:r>
    </w:p>
    <w:p>
      <w:pPr>
        <w:spacing w:before="120" w:after="60"/>
        <w:ind w:firstLine="480"/>
        <w:jc w:val="left"/>
      </w:pPr>
      <w:r>
        <w:rPr>
          <w:rFonts w:ascii="仿宋_GB2312" w:hAnsi="仿宋_GB2312" w:eastAsia="仿宋_GB2312"/>
          <w:b/>
          <w:color w:val="000000"/>
          <w:sz w:val="24"/>
        </w:rPr>
        <w:t>3.2.1 手机业务核心数据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指标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2025年表现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同比变化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市场地位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营收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1,864亿元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+3.2%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全球前三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出货量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约1.65亿台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+5.1%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连续5年前三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ASP（均价）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1,130元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-1.8%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-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毛利率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10.9%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-0.8ppt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行业平均</w:t>
            </w:r>
          </w:p>
        </w:tc>
      </w:tr>
    </w:tbl>
    <w:p>
      <w:pPr>
        <w:spacing w:line="360" w:lineRule="auto" w:before="0" w:after="0"/>
        <w:ind w:firstLine="480"/>
        <w:jc w:val="left"/>
      </w:pPr>
      <w:r>
        <w:rPr>
          <w:rFonts w:ascii="仿宋_GB2312" w:hAnsi="仿宋_GB2312" w:eastAsia="仿宋_GB2312"/>
          <w:b/>
          <w:color w:val="000000"/>
          <w:sz w:val="24"/>
        </w:rPr>
        <w:t>市场排名详情</w:t>
      </w:r>
      <w:r>
        <w:rPr>
          <w:rFonts w:ascii="仿宋_GB2312" w:hAnsi="仿宋_GB2312" w:eastAsia="仿宋_GB2312"/>
          <w:color w:val="000000"/>
          <w:sz w:val="24"/>
        </w:rPr>
        <w:t>：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b/>
          <w:sz w:val="24"/>
        </w:rPr>
        <w:t>全球市场</w:t>
      </w:r>
      <w:r>
        <w:rPr>
          <w:rFonts w:ascii="仿宋_GB2312" w:hAnsi="仿宋_GB2312" w:eastAsia="仿宋_GB2312"/>
          <w:sz w:val="24"/>
        </w:rPr>
        <w:t>：出货量连续五年稳居</w:t>
      </w:r>
      <w:r>
        <w:rPr>
          <w:rFonts w:ascii="仿宋_GB2312" w:hAnsi="仿宋_GB2312" w:eastAsia="仿宋_GB2312"/>
          <w:b/>
          <w:sz w:val="24"/>
        </w:rPr>
        <w:t>全球前三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b/>
          <w:sz w:val="24"/>
        </w:rPr>
        <w:t>中国大陆</w:t>
      </w:r>
      <w:r>
        <w:rPr>
          <w:rFonts w:ascii="仿宋_GB2312" w:hAnsi="仿宋_GB2312" w:eastAsia="仿宋_GB2312"/>
          <w:sz w:val="24"/>
        </w:rPr>
        <w:t>：销量升至</w:t>
      </w:r>
      <w:r>
        <w:rPr>
          <w:rFonts w:ascii="仿宋_GB2312" w:hAnsi="仿宋_GB2312" w:eastAsia="仿宋_GB2312"/>
          <w:b/>
          <w:sz w:val="24"/>
        </w:rPr>
        <w:t>第二</w:t>
      </w:r>
      <w:r>
        <w:rPr>
          <w:rFonts w:ascii="仿宋_GB2312" w:hAnsi="仿宋_GB2312" w:eastAsia="仿宋_GB2312"/>
          <w:sz w:val="24"/>
        </w:rPr>
        <w:t xml:space="preserve">，市占率达 </w:t>
      </w:r>
      <w:r>
        <w:rPr>
          <w:rFonts w:ascii="仿宋_GB2312" w:hAnsi="仿宋_GB2312" w:eastAsia="仿宋_GB2312"/>
          <w:b/>
          <w:sz w:val="24"/>
        </w:rPr>
        <w:t>16.6%</w:t>
      </w:r>
      <w:r>
        <w:rPr>
          <w:rFonts w:ascii="仿宋_GB2312" w:hAnsi="仿宋_GB2312" w:eastAsia="仿宋_GB2312"/>
          <w:sz w:val="24"/>
        </w:rPr>
        <w:t>（同比+0.7ppt）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b/>
          <w:sz w:val="24"/>
        </w:rPr>
        <w:t>国际市场</w:t>
      </w:r>
      <w:r>
        <w:rPr>
          <w:rFonts w:ascii="仿宋_GB2312" w:hAnsi="仿宋_GB2312" w:eastAsia="仿宋_GB2312"/>
          <w:sz w:val="24"/>
        </w:rPr>
        <w:t>：在58个国家和地区排名前三，70个国家和地区排名前五</w:t>
      </w:r>
    </w:p>
    <w:p>
      <w:pPr>
        <w:spacing w:before="120" w:after="60"/>
        <w:ind w:firstLine="480"/>
        <w:jc w:val="left"/>
      </w:pPr>
      <w:r>
        <w:rPr>
          <w:rFonts w:ascii="仿宋_GB2312" w:hAnsi="仿宋_GB2312" w:eastAsia="仿宋_GB2312"/>
          <w:b/>
          <w:color w:val="000000"/>
          <w:sz w:val="24"/>
        </w:rPr>
        <w:t>3.2.2 高端化战略成果</w:t>
      </w:r>
    </w:p>
    <w:p>
      <w:pPr>
        <w:spacing w:line="360" w:lineRule="auto" w:before="0" w:after="0"/>
        <w:ind w:firstLine="480"/>
        <w:jc w:val="left"/>
      </w:pPr>
      <w:r>
        <w:rPr>
          <w:rFonts w:ascii="仿宋_GB2312" w:hAnsi="仿宋_GB2312" w:eastAsia="仿宋_GB2312"/>
          <w:color w:val="000000"/>
          <w:sz w:val="24"/>
        </w:rPr>
        <w:t>2025年高端市场突破显著：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价位段（人民币）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销量占比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同比提升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代表产品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3,000元以上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27.1%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+3.8ppt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小米15系列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4,000-6,000元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17.3%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+0.5ppt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Xiaomi 17 Pro Max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6,000-10,000元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4.5%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+2.1ppt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小米17 Ultra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10,000元以上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1.2%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+0.8ppt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小米15 Ultra</w:t>
            </w:r>
          </w:p>
        </w:tc>
      </w:tr>
    </w:tbl>
    <w:p>
      <w:pPr>
        <w:spacing w:before="120" w:after="120"/>
        <w:ind w:left="720" w:right="720"/>
        <w:pBdr>
          <w:left w:val="single" w:sz="18" w:color="808080" w:space="6"/>
        </w:pBdr>
      </w:pPr>
      <w:r>
        <w:rPr>
          <w:rFonts w:ascii="仿宋_GB2312" w:hAnsi="仿宋_GB2312" w:eastAsia="仿宋_GB2312"/>
          <w:b/>
          <w:i/>
          <w:color w:val="505050"/>
          <w:sz w:val="24"/>
        </w:rPr>
        <w:t>西欧市场突破</w:t>
      </w:r>
      <w:r>
        <w:rPr>
          <w:rFonts w:ascii="仿宋_GB2312" w:hAnsi="仿宋_GB2312" w:eastAsia="仿宋_GB2312"/>
          <w:i/>
          <w:color w:val="505050"/>
          <w:sz w:val="24"/>
        </w:rPr>
        <w:t>：高端机型销量增长约40%，Xiaomi T系列Pro版销量占比超55%</w:t>
      </w:r>
    </w:p>
    <w:p>
      <w:pPr>
        <w:spacing w:before="160" w:after="80"/>
        <w:ind w:firstLine="480"/>
        <w:jc w:val="left"/>
      </w:pPr>
      <w:r>
        <w:rPr>
          <w:rFonts w:ascii="楷体_GB2312" w:hAnsi="楷体_GB2312" w:eastAsia="楷体_GB2312"/>
          <w:b/>
          <w:color w:val="000000"/>
          <w:sz w:val="24"/>
        </w:rPr>
        <w:t>3.3 IoT与生活消费产品</w:t>
      </w:r>
    </w:p>
    <w:p>
      <w:pPr>
        <w:spacing w:before="120" w:after="60"/>
        <w:ind w:firstLine="480"/>
        <w:jc w:val="left"/>
      </w:pPr>
      <w:r>
        <w:rPr>
          <w:rFonts w:ascii="仿宋_GB2312" w:hAnsi="仿宋_GB2312" w:eastAsia="仿宋_GB2312"/>
          <w:b/>
          <w:color w:val="000000"/>
          <w:sz w:val="24"/>
        </w:rPr>
        <w:t>3.3.1 IoT业务全景</w:t>
      </w:r>
    </w:p>
    <w:p>
      <w:pPr>
        <w:spacing w:line="360" w:lineRule="auto" w:before="0" w:after="0"/>
        <w:ind w:firstLine="480"/>
        <w:jc w:val="left"/>
      </w:pPr>
      <w:r>
        <w:rPr>
          <w:rFonts w:ascii="仿宋_GB2312" w:hAnsi="仿宋_GB2312" w:eastAsia="仿宋_GB2312"/>
          <w:color w:val="000000"/>
          <w:sz w:val="24"/>
        </w:rPr>
        <w:t xml:space="preserve">IoT业务全年收入 </w:t>
      </w:r>
      <w:r>
        <w:rPr>
          <w:rFonts w:ascii="仿宋_GB2312" w:hAnsi="仿宋_GB2312" w:eastAsia="仿宋_GB2312"/>
          <w:b/>
          <w:color w:val="000000"/>
          <w:sz w:val="24"/>
        </w:rPr>
        <w:t>1,232亿元</w:t>
      </w:r>
      <w:r>
        <w:rPr>
          <w:rFonts w:ascii="仿宋_GB2312" w:hAnsi="仿宋_GB2312" w:eastAsia="仿宋_GB2312"/>
          <w:color w:val="000000"/>
          <w:sz w:val="24"/>
        </w:rPr>
        <w:t xml:space="preserve">，同比增长 </w:t>
      </w:r>
      <w:r>
        <w:rPr>
          <w:rFonts w:ascii="仿宋_GB2312" w:hAnsi="仿宋_GB2312" w:eastAsia="仿宋_GB2312"/>
          <w:b/>
          <w:color w:val="000000"/>
          <w:sz w:val="24"/>
        </w:rPr>
        <w:t>18.3%</w:t>
      </w:r>
      <w:r>
        <w:rPr>
          <w:rFonts w:ascii="仿宋_GB2312" w:hAnsi="仿宋_GB2312" w:eastAsia="仿宋_GB2312"/>
          <w:color w:val="000000"/>
          <w:sz w:val="24"/>
        </w:rPr>
        <w:t>，创历史新高。</w:t>
      </w:r>
    </w:p>
    <w:p>
      <w:pPr>
        <w:spacing w:line="360" w:lineRule="auto" w:before="0" w:after="0"/>
        <w:ind w:firstLine="480"/>
        <w:jc w:val="left"/>
      </w:pPr>
      <w:r>
        <w:rPr>
          <w:rFonts w:ascii="仿宋_GB2312" w:hAnsi="仿宋_GB2312" w:eastAsia="仿宋_GB2312"/>
          <w:b/>
          <w:color w:val="000000"/>
          <w:sz w:val="24"/>
        </w:rPr>
        <w:t>细分品类表现</w:t>
      </w:r>
      <w:r>
        <w:rPr>
          <w:rFonts w:ascii="仿宋_GB2312" w:hAnsi="仿宋_GB2312" w:eastAsia="仿宋_GB2312"/>
          <w:color w:val="000000"/>
          <w:sz w:val="24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产品类别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收入（亿元）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同比增长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市场地位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智能大家电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~350亿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+23%+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国内前列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可穿戴设备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~180亿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+12%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全球腕带第一🥇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TWS耳机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~150亿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+18%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全球第二🥈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平板电脑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~120亿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+25.2%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全球前五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智能电视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~100亿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+8%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国内前三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其他IoT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~332亿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+15%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-</w:t>
            </w:r>
          </w:p>
        </w:tc>
      </w:tr>
    </w:tbl>
    <w:p>
      <w:pPr>
        <w:spacing w:before="120" w:after="60"/>
        <w:ind w:firstLine="480"/>
        <w:jc w:val="left"/>
      </w:pPr>
      <w:r>
        <w:rPr>
          <w:rFonts w:ascii="仿宋_GB2312" w:hAnsi="仿宋_GB2312" w:eastAsia="仿宋_GB2312"/>
          <w:b/>
          <w:color w:val="000000"/>
          <w:sz w:val="24"/>
        </w:rPr>
        <w:t>3.3.2 AIoT平台生态数据</w:t>
      </w:r>
    </w:p>
    <w:p>
      <w:pPr>
        <w:spacing w:line="360" w:lineRule="auto" w:before="0" w:after="0"/>
        <w:ind w:firstLine="480"/>
        <w:jc w:val="left"/>
      </w:pPr>
      <w:r>
        <w:rPr>
          <w:rFonts w:ascii="仿宋_GB2312" w:hAnsi="仿宋_GB2312" w:eastAsia="仿宋_GB2312"/>
          <w:color w:val="000000"/>
          <w:sz w:val="24"/>
        </w:rPr>
        <w:t>截至2025年12月31日：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b/>
          <w:sz w:val="24"/>
        </w:rPr>
        <w:t>AIoT连接设备数</w:t>
      </w:r>
      <w:r>
        <w:rPr>
          <w:rFonts w:ascii="仿宋_GB2312" w:hAnsi="仿宋_GB2312" w:eastAsia="仿宋_GB2312"/>
          <w:sz w:val="24"/>
        </w:rPr>
        <w:t>：</w:t>
      </w:r>
      <w:r>
        <w:rPr>
          <w:rFonts w:ascii="仿宋_GB2312" w:hAnsi="仿宋_GB2312" w:eastAsia="仿宋_GB2312"/>
          <w:b/>
          <w:sz w:val="24"/>
        </w:rPr>
        <w:t>10.79亿台</w:t>
      </w:r>
      <w:r>
        <w:rPr>
          <w:rFonts w:ascii="仿宋_GB2312" w:hAnsi="仿宋_GB2312" w:eastAsia="仿宋_GB2312"/>
          <w:sz w:val="24"/>
        </w:rPr>
        <w:t>（同比+19.3%）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b/>
          <w:sz w:val="24"/>
        </w:rPr>
        <w:t>五件及以上设备用户数</w:t>
      </w:r>
      <w:r>
        <w:rPr>
          <w:rFonts w:ascii="仿宋_GB2312" w:hAnsi="仿宋_GB2312" w:eastAsia="仿宋_GB2312"/>
          <w:sz w:val="24"/>
        </w:rPr>
        <w:t>：</w:t>
      </w:r>
      <w:r>
        <w:rPr>
          <w:rFonts w:ascii="仿宋_GB2312" w:hAnsi="仿宋_GB2312" w:eastAsia="仿宋_GB2312"/>
          <w:b/>
          <w:sz w:val="24"/>
        </w:rPr>
        <w:t>2,270万</w:t>
      </w:r>
      <w:r>
        <w:rPr>
          <w:rFonts w:ascii="仿宋_GB2312" w:hAnsi="仿宋_GB2312" w:eastAsia="仿宋_GB2312"/>
          <w:sz w:val="24"/>
        </w:rPr>
        <w:t>（同比+22.1%）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b/>
          <w:sz w:val="24"/>
        </w:rPr>
        <w:t>小爱同学MAU</w:t>
      </w:r>
      <w:r>
        <w:rPr>
          <w:rFonts w:ascii="仿宋_GB2312" w:hAnsi="仿宋_GB2312" w:eastAsia="仿宋_GB2312"/>
          <w:sz w:val="24"/>
        </w:rPr>
        <w:t>：</w:t>
      </w:r>
      <w:r>
        <w:rPr>
          <w:rFonts w:ascii="仿宋_GB2312" w:hAnsi="仿宋_GB2312" w:eastAsia="仿宋_GB2312"/>
          <w:b/>
          <w:sz w:val="24"/>
        </w:rPr>
        <w:t>1.60亿</w:t>
      </w:r>
      <w:r>
        <w:rPr>
          <w:rFonts w:ascii="仿宋_GB2312" w:hAnsi="仿宋_GB2312" w:eastAsia="仿宋_GB2312"/>
          <w:sz w:val="24"/>
        </w:rPr>
        <w:t>（同比+16.7%）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b/>
          <w:sz w:val="24"/>
        </w:rPr>
        <w:t>米家APP MAU</w:t>
      </w:r>
      <w:r>
        <w:rPr>
          <w:rFonts w:ascii="仿宋_GB2312" w:hAnsi="仿宋_GB2312" w:eastAsia="仿宋_GB2312"/>
          <w:sz w:val="24"/>
        </w:rPr>
        <w:t>：</w:t>
      </w:r>
      <w:r>
        <w:rPr>
          <w:rFonts w:ascii="仿宋_GB2312" w:hAnsi="仿宋_GB2312" w:eastAsia="仿宋_GB2312"/>
          <w:b/>
          <w:sz w:val="24"/>
        </w:rPr>
        <w:t>9,850万</w:t>
      </w:r>
      <w:r>
        <w:rPr>
          <w:rFonts w:ascii="仿宋_GB2312" w:hAnsi="仿宋_GB2312" w:eastAsia="仿宋_GB2312"/>
          <w:sz w:val="24"/>
        </w:rPr>
        <w:t>（同比+14.2%）</w:t>
      </w:r>
    </w:p>
    <w:p>
      <w:pPr>
        <w:spacing w:before="160" w:after="80"/>
        <w:ind w:firstLine="480"/>
        <w:jc w:val="left"/>
      </w:pPr>
      <w:r>
        <w:rPr>
          <w:rFonts w:ascii="楷体_GB2312" w:hAnsi="楷体_GB2312" w:eastAsia="楷体_GB2312"/>
          <w:b/>
          <w:color w:val="000000"/>
          <w:sz w:val="24"/>
        </w:rPr>
        <w:t>3.4 互联网服务业务</w:t>
      </w:r>
    </w:p>
    <w:p>
      <w:pPr>
        <w:spacing w:before="120" w:after="60"/>
        <w:ind w:firstLine="480"/>
        <w:jc w:val="left"/>
      </w:pPr>
      <w:r>
        <w:rPr>
          <w:rFonts w:ascii="仿宋_GB2312" w:hAnsi="仿宋_GB2312" w:eastAsia="仿宋_GB2312"/>
          <w:b/>
          <w:color w:val="000000"/>
          <w:sz w:val="24"/>
        </w:rPr>
        <w:t>3.4.1 互联网服务收入构成</w:t>
      </w:r>
    </w:p>
    <w:p>
      <w:pPr>
        <w:spacing w:line="360" w:lineRule="auto" w:before="0" w:after="0"/>
        <w:ind w:firstLine="480"/>
        <w:jc w:val="left"/>
      </w:pPr>
      <w:r>
        <w:rPr>
          <w:rFonts w:ascii="仿宋_GB2312" w:hAnsi="仿宋_GB2312" w:eastAsia="仿宋_GB2312"/>
          <w:color w:val="000000"/>
          <w:sz w:val="24"/>
        </w:rPr>
        <w:t xml:space="preserve">2025年互联网服务收入 </w:t>
      </w:r>
      <w:r>
        <w:rPr>
          <w:rFonts w:ascii="仿宋_GB2312" w:hAnsi="仿宋_GB2312" w:eastAsia="仿宋_GB2312"/>
          <w:b/>
          <w:color w:val="000000"/>
          <w:sz w:val="24"/>
        </w:rPr>
        <w:t>374亿元</w:t>
      </w:r>
      <w:r>
        <w:rPr>
          <w:rFonts w:ascii="仿宋_GB2312" w:hAnsi="仿宋_GB2312" w:eastAsia="仿宋_GB2312"/>
          <w:color w:val="000000"/>
          <w:sz w:val="24"/>
        </w:rPr>
        <w:t xml:space="preserve">，同比增长 </w:t>
      </w:r>
      <w:r>
        <w:rPr>
          <w:rFonts w:ascii="仿宋_GB2312" w:hAnsi="仿宋_GB2312" w:eastAsia="仿宋_GB2312"/>
          <w:b/>
          <w:color w:val="000000"/>
          <w:sz w:val="24"/>
        </w:rPr>
        <w:t>9.7%</w:t>
      </w:r>
      <w:r>
        <w:rPr>
          <w:rFonts w:ascii="仿宋_GB2312" w:hAnsi="仿宋_GB2312" w:eastAsia="仿宋_GB2312"/>
          <w:color w:val="000000"/>
          <w:sz w:val="24"/>
        </w:rPr>
        <w:t xml:space="preserve">，毛利率高达 </w:t>
      </w:r>
      <w:r>
        <w:rPr>
          <w:rFonts w:ascii="仿宋_GB2312" w:hAnsi="仿宋_GB2312" w:eastAsia="仿宋_GB2312"/>
          <w:b/>
          <w:color w:val="000000"/>
          <w:sz w:val="24"/>
        </w:rPr>
        <w:t>73.5%</w:t>
      </w:r>
      <w:r>
        <w:rPr>
          <w:rFonts w:ascii="仿宋_GB2312" w:hAnsi="仿宋_GB2312" w:eastAsia="仿宋_GB2312"/>
          <w:color w:val="000000"/>
          <w:sz w:val="24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收入来源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金额（亿元）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占比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同比增长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广告业务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245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65.5%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+12.3%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游戏分发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52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13.9%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+3.2%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会员订阅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45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12.0%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+18.5%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金融科技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20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5.3%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+8.7%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其他服务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12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3.3%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+5.1%</w:t>
            </w:r>
          </w:p>
        </w:tc>
      </w:tr>
    </w:tbl>
    <w:p>
      <w:pPr>
        <w:spacing w:line="360" w:lineRule="auto" w:before="0" w:after="0"/>
        <w:ind w:firstLine="480"/>
        <w:jc w:val="left"/>
      </w:pPr>
      <w:r>
        <w:rPr>
          <w:rFonts w:ascii="仿宋_GB2312" w:hAnsi="仿宋_GB2312" w:eastAsia="仿宋_GB2312"/>
          <w:b/>
          <w:color w:val="000000"/>
          <w:sz w:val="24"/>
        </w:rPr>
        <w:t>境外互联网服务</w:t>
      </w:r>
      <w:r>
        <w:rPr>
          <w:rFonts w:ascii="仿宋_GB2312" w:hAnsi="仿宋_GB2312" w:eastAsia="仿宋_GB2312"/>
          <w:color w:val="000000"/>
          <w:sz w:val="24"/>
        </w:rPr>
        <w:t>表现亮眼：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 xml:space="preserve">• 境外收入 </w:t>
      </w:r>
      <w:r>
        <w:rPr>
          <w:rFonts w:ascii="仿宋_GB2312" w:hAnsi="仿宋_GB2312" w:eastAsia="仿宋_GB2312"/>
          <w:b/>
          <w:sz w:val="24"/>
        </w:rPr>
        <w:t>126亿元</w:t>
      </w:r>
      <w:r>
        <w:rPr>
          <w:rFonts w:ascii="仿宋_GB2312" w:hAnsi="仿宋_GB2312" w:eastAsia="仿宋_GB2312"/>
          <w:sz w:val="24"/>
        </w:rPr>
        <w:t xml:space="preserve">，同比增长 </w:t>
      </w:r>
      <w:r>
        <w:rPr>
          <w:rFonts w:ascii="仿宋_GB2312" w:hAnsi="仿宋_GB2312" w:eastAsia="仿宋_GB2312"/>
          <w:b/>
          <w:sz w:val="24"/>
        </w:rPr>
        <w:t>15.2%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 xml:space="preserve">• 占互联网服务总收入比重提升至 </w:t>
      </w:r>
      <w:r>
        <w:rPr>
          <w:rFonts w:ascii="仿宋_GB2312" w:hAnsi="仿宋_GB2312" w:eastAsia="仿宋_GB2312"/>
          <w:b/>
          <w:sz w:val="24"/>
        </w:rPr>
        <w:t>33.7%</w:t>
      </w:r>
    </w:p>
    <w:p>
      <w:pPr>
        <w:spacing w:before="120" w:after="60"/>
        <w:ind w:firstLine="480"/>
        <w:jc w:val="left"/>
      </w:pPr>
      <w:r>
        <w:rPr>
          <w:rFonts w:ascii="仿宋_GB2312" w:hAnsi="仿宋_GB2312" w:eastAsia="仿宋_GB2312"/>
          <w:b/>
          <w:color w:val="000000"/>
          <w:sz w:val="24"/>
        </w:rPr>
        <w:t>3.4.2 全球用户规模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b/>
          <w:sz w:val="24"/>
        </w:rPr>
        <w:t>全球月活跃用户（MAU）</w:t>
      </w:r>
      <w:r>
        <w:rPr>
          <w:rFonts w:ascii="仿宋_GB2312" w:hAnsi="仿宋_GB2312" w:eastAsia="仿宋_GB2312"/>
          <w:sz w:val="24"/>
        </w:rPr>
        <w:t>：</w:t>
      </w:r>
      <w:r>
        <w:rPr>
          <w:rFonts w:ascii="仿宋_GB2312" w:hAnsi="仿宋_GB2312" w:eastAsia="仿宋_GB2312"/>
          <w:b/>
          <w:sz w:val="24"/>
        </w:rPr>
        <w:t>7.54亿</w:t>
      </w:r>
      <w:r>
        <w:rPr>
          <w:rFonts w:ascii="仿宋_GB2312" w:hAnsi="仿宋_GB2312" w:eastAsia="仿宋_GB2312"/>
          <w:sz w:val="24"/>
        </w:rPr>
        <w:t>（同比+8.2%）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b/>
          <w:sz w:val="24"/>
        </w:rPr>
        <w:t>中国大陆MAU</w:t>
      </w:r>
      <w:r>
        <w:rPr>
          <w:rFonts w:ascii="仿宋_GB2312" w:hAnsi="仿宋_GB2312" w:eastAsia="仿宋_GB2312"/>
          <w:sz w:val="24"/>
        </w:rPr>
        <w:t>：</w:t>
      </w:r>
      <w:r>
        <w:rPr>
          <w:rFonts w:ascii="仿宋_GB2312" w:hAnsi="仿宋_GB2312" w:eastAsia="仿宋_GB2312"/>
          <w:b/>
          <w:sz w:val="24"/>
        </w:rPr>
        <w:t>1.62亿</w:t>
      </w:r>
      <w:r>
        <w:rPr>
          <w:rFonts w:ascii="仿宋_GB2312" w:hAnsi="仿宋_GB2312" w:eastAsia="仿宋_GB2312"/>
          <w:sz w:val="24"/>
        </w:rPr>
        <w:t>（同比+5.5%）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b/>
          <w:sz w:val="24"/>
        </w:rPr>
        <w:t>境外MAU</w:t>
      </w:r>
      <w:r>
        <w:rPr>
          <w:rFonts w:ascii="仿宋_GB2312" w:hAnsi="仿宋_GB2312" w:eastAsia="仿宋_GB2312"/>
          <w:sz w:val="24"/>
        </w:rPr>
        <w:t>：</w:t>
      </w:r>
      <w:r>
        <w:rPr>
          <w:rFonts w:ascii="仿宋_GB2312" w:hAnsi="仿宋_GB2312" w:eastAsia="仿宋_GB2312"/>
          <w:b/>
          <w:sz w:val="24"/>
        </w:rPr>
        <w:t>5.92亿</w:t>
      </w:r>
      <w:r>
        <w:rPr>
          <w:rFonts w:ascii="仿宋_GB2312" w:hAnsi="仿宋_GB2312" w:eastAsia="仿宋_GB2312"/>
          <w:sz w:val="24"/>
        </w:rPr>
        <w:t>（同比+9.3%）</w:t>
      </w:r>
    </w:p>
    <w:p>
      <w:pPr>
        <w:spacing w:before="160" w:after="80"/>
        <w:ind w:firstLine="480"/>
        <w:jc w:val="left"/>
      </w:pPr>
      <w:r>
        <w:rPr>
          <w:rFonts w:ascii="楷体_GB2312" w:hAnsi="楷体_GB2312" w:eastAsia="楷体_GB2312"/>
          <w:b/>
          <w:color w:val="000000"/>
          <w:sz w:val="24"/>
        </w:rPr>
        <w:t>3.5 智能电动汽车业务 ⭐</w:t>
      </w:r>
    </w:p>
    <w:p>
      <w:pPr>
        <w:spacing w:before="120" w:after="60"/>
        <w:ind w:firstLine="480"/>
        <w:jc w:val="left"/>
      </w:pPr>
      <w:r>
        <w:rPr>
          <w:rFonts w:ascii="仿宋_GB2312" w:hAnsi="仿宋_GB2312" w:eastAsia="仿宋_GB2312"/>
          <w:b/>
          <w:color w:val="000000"/>
          <w:sz w:val="24"/>
        </w:rPr>
        <w:t>3.5.1 汽车业务里程碑式突破</w:t>
      </w:r>
    </w:p>
    <w:p>
      <w:pPr>
        <w:spacing w:line="360" w:lineRule="auto" w:before="0" w:after="0"/>
        <w:ind w:firstLine="480"/>
        <w:jc w:val="left"/>
      </w:pPr>
      <w:r>
        <w:rPr>
          <w:rFonts w:ascii="仿宋_GB2312" w:hAnsi="仿宋_GB2312" w:eastAsia="仿宋_GB2312"/>
          <w:color w:val="000000"/>
          <w:sz w:val="24"/>
        </w:rPr>
        <w:t>2025年是小米汽车业务的</w:t>
      </w:r>
      <w:r>
        <w:rPr>
          <w:rFonts w:ascii="仿宋_GB2312" w:hAnsi="仿宋_GB2312" w:eastAsia="仿宋_GB2312"/>
          <w:b/>
          <w:color w:val="000000"/>
          <w:sz w:val="24"/>
        </w:rPr>
        <w:t>里程碑年份</w:t>
      </w:r>
      <w:r>
        <w:rPr>
          <w:rFonts w:ascii="仿宋_GB2312" w:hAnsi="仿宋_GB2312" w:eastAsia="仿宋_GB2312"/>
          <w:color w:val="000000"/>
          <w:sz w:val="24"/>
        </w:rPr>
        <w:t>，多项指标创下新纪录：</w:t>
      </w:r>
    </w:p>
    <w:p>
      <w:pPr>
        <w:spacing w:before="100" w:after="50"/>
        <w:ind w:firstLine="480"/>
        <w:jc w:val="left"/>
      </w:pPr>
      <w:r>
        <w:rPr>
          <w:rFonts w:ascii="仿宋_GB2312" w:hAnsi="仿宋_GB2312" w:eastAsia="仿宋_GB2312"/>
          <w:b/>
          <w:color w:val="000000"/>
          <w:sz w:val="24"/>
        </w:rPr>
        <w:t>🚗 年度交付成绩单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指标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2025年数据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2024年数据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同比/对比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交付量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411,082辆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136,789辆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+200.4%</w:t>
            </w:r>
            <w:r>
              <w:rPr>
                <w:rFonts w:ascii="宋体" w:hAnsi="宋体" w:eastAsia="宋体" w:cs="宋体"/>
                <w:color w:val="000000"/>
                <w:sz w:val="21"/>
              </w:rPr>
              <w:t xml:space="preserve"> 🚀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营收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1,061亿元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328亿元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+223.8%</w:t>
            </w:r>
            <w:r>
              <w:rPr>
                <w:rFonts w:ascii="宋体" w:hAnsi="宋体" w:eastAsia="宋体" w:cs="宋体"/>
                <w:color w:val="000000"/>
                <w:sz w:val="21"/>
              </w:rPr>
              <w:t xml:space="preserve"> 💰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毛利率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24.3%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18.5%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+5.8ppt</w:t>
            </w:r>
            <w:r>
              <w:rPr>
                <w:rFonts w:ascii="宋体" w:hAnsi="宋体" w:eastAsia="宋体" w:cs="宋体"/>
                <w:color w:val="000000"/>
                <w:sz w:val="21"/>
              </w:rPr>
              <w:t xml:space="preserve"> 📈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单车均价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25.8万元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24.0万元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+7.5%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经营利润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+9亿元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-38亿元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扭亏为盈</w:t>
            </w:r>
            <w:r>
              <w:rPr>
                <w:rFonts w:ascii="宋体" w:hAnsi="宋体" w:eastAsia="宋体" w:cs="宋体"/>
                <w:color w:val="000000"/>
                <w:sz w:val="21"/>
              </w:rPr>
              <w:t xml:space="preserve"> ✅</w:t>
            </w:r>
          </w:p>
        </w:tc>
      </w:tr>
    </w:tbl>
    <w:p>
      <w:pPr>
        <w:spacing w:line="360" w:lineRule="auto" w:before="0" w:after="0"/>
        <w:ind w:firstLine="480"/>
        <w:jc w:val="left"/>
      </w:pPr>
      <w:r>
        <w:rPr>
          <w:rFonts w:ascii="仿宋_GB2312" w:hAnsi="仿宋_GB2312" w:eastAsia="仿宋_GB2312"/>
          <w:b/>
          <w:color w:val="000000"/>
          <w:sz w:val="24"/>
        </w:rPr>
        <w:t>季度交付趋势</w:t>
      </w:r>
      <w:r>
        <w:rPr>
          <w:rFonts w:ascii="仿宋_GB2312" w:hAnsi="仿宋_GB2312" w:eastAsia="仿宋_GB2312"/>
          <w:color w:val="000000"/>
          <w:sz w:val="24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季度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交付量（辆）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环比增长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主要车型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Q1 2025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87,234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+15.2%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SU7系列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Q2 2025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108,567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+24.5%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SU7/YU7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Q3 2025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110,891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+2.1%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SU7 Ultra发布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Q4 2025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104,390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-5.8%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新款SU7上市</w:t>
            </w:r>
          </w:p>
        </w:tc>
      </w:tr>
    </w:tbl>
    <w:p>
      <w:pPr>
        <w:spacing w:before="120" w:after="60"/>
        <w:ind w:firstLine="480"/>
        <w:jc w:val="left"/>
      </w:pPr>
      <w:r>
        <w:rPr>
          <w:rFonts w:ascii="仿宋_GB2312" w:hAnsi="仿宋_GB2312" w:eastAsia="仿宋_GB2312"/>
          <w:b/>
          <w:color w:val="000000"/>
          <w:sz w:val="24"/>
        </w:rPr>
        <w:t>3.5.2 核心车型市场表现</w:t>
      </w:r>
    </w:p>
    <w:p>
      <w:pPr>
        <w:spacing w:line="360" w:lineRule="auto" w:before="0" w:after="0"/>
        <w:ind w:firstLine="480"/>
        <w:jc w:val="left"/>
      </w:pPr>
      <w:r>
        <w:rPr>
          <w:rFonts w:ascii="仿宋_GB2312" w:hAnsi="仿宋_GB2312" w:eastAsia="仿宋_GB2312"/>
          <w:b/>
          <w:color w:val="000000"/>
          <w:sz w:val="24"/>
        </w:rPr>
        <w:t>小米SU7系列</w:t>
      </w:r>
      <w:r>
        <w:rPr>
          <w:rFonts w:ascii="仿宋_GB2312" w:hAnsi="仿宋_GB2312" w:eastAsia="仿宋_GB2312"/>
          <w:color w:val="000000"/>
          <w:sz w:val="24"/>
        </w:rPr>
        <w:t>（2025年累计销量）：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b/>
          <w:sz w:val="24"/>
        </w:rPr>
        <w:t>SU7标准版</w:t>
      </w:r>
      <w:r>
        <w:rPr>
          <w:rFonts w:ascii="仿宋_GB2312" w:hAnsi="仿宋_GB2312" w:eastAsia="仿宋_GB2312"/>
          <w:sz w:val="24"/>
        </w:rPr>
        <w:t>：98,500辆（均价21.59万元）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b/>
          <w:sz w:val="24"/>
        </w:rPr>
        <w:t>SU7 Pro版</w:t>
      </w:r>
      <w:r>
        <w:rPr>
          <w:rFonts w:ascii="仿宋_GB2312" w:hAnsi="仿宋_GB2312" w:eastAsia="仿宋_GB2312"/>
          <w:sz w:val="24"/>
        </w:rPr>
        <w:t>：72,300辆（均价24.59万元）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b/>
          <w:sz w:val="24"/>
        </w:rPr>
        <w:t>SU7 Max版</w:t>
      </w:r>
      <w:r>
        <w:rPr>
          <w:rFonts w:ascii="仿宋_GB2312" w:hAnsi="仿宋_GB2312" w:eastAsia="仿宋_GB2312"/>
          <w:sz w:val="24"/>
        </w:rPr>
        <w:t>：75,200辆（均价29.99万元）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b/>
          <w:sz w:val="24"/>
        </w:rPr>
        <w:t>合计</w:t>
      </w:r>
      <w:r>
        <w:rPr>
          <w:rFonts w:ascii="仿宋_GB2312" w:hAnsi="仿宋_GB2312" w:eastAsia="仿宋_GB2312"/>
          <w:sz w:val="24"/>
        </w:rPr>
        <w:t>：</w:t>
      </w:r>
      <w:r>
        <w:rPr>
          <w:rFonts w:ascii="仿宋_GB2312" w:hAnsi="仿宋_GB2312" w:eastAsia="仿宋_GB2312"/>
          <w:b/>
          <w:sz w:val="24"/>
        </w:rPr>
        <w:t>246,000辆</w:t>
      </w:r>
      <w:r>
        <w:rPr>
          <w:rFonts w:ascii="仿宋_GB2312" w:hAnsi="仿宋_GB2312" w:eastAsia="仿宋_GB2312"/>
          <w:sz w:val="24"/>
        </w:rPr>
        <w:t xml:space="preserve"> → </w:t>
      </w:r>
      <w:r>
        <w:rPr>
          <w:rFonts w:ascii="仿宋_GB2312" w:hAnsi="仿宋_GB2312" w:eastAsia="仿宋_GB2312"/>
          <w:b/>
          <w:sz w:val="24"/>
        </w:rPr>
        <w:t>2025年中国20万元以上轿车销量冠军</w:t>
      </w:r>
      <w:r>
        <w:rPr>
          <w:rFonts w:ascii="仿宋_GB2312" w:hAnsi="仿宋_GB2312" w:eastAsia="仿宋_GB2312"/>
          <w:sz w:val="24"/>
        </w:rPr>
        <w:t xml:space="preserve"> 🏆</w:t>
      </w:r>
    </w:p>
    <w:p>
      <w:pPr>
        <w:spacing w:line="360" w:lineRule="auto" w:before="0" w:after="0"/>
        <w:ind w:firstLine="480"/>
        <w:jc w:val="left"/>
      </w:pPr>
      <w:r>
        <w:rPr>
          <w:rFonts w:ascii="仿宋_GB2312" w:hAnsi="仿宋_GB2312" w:eastAsia="仿宋_GB2312"/>
          <w:b/>
          <w:color w:val="000000"/>
          <w:sz w:val="24"/>
        </w:rPr>
        <w:t>小米YU7系列</w:t>
      </w:r>
      <w:r>
        <w:rPr>
          <w:rFonts w:ascii="仿宋_GB2312" w:hAnsi="仿宋_GB2312" w:eastAsia="仿宋_GB2312"/>
          <w:color w:val="000000"/>
          <w:sz w:val="24"/>
        </w:rPr>
        <w:t>：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>• 自2025年下半年上市以来，连续7个月稳居</w:t>
      </w:r>
      <w:r>
        <w:rPr>
          <w:rFonts w:ascii="仿宋_GB2312" w:hAnsi="仿宋_GB2312" w:eastAsia="仿宋_GB2312"/>
          <w:b/>
          <w:sz w:val="24"/>
        </w:rPr>
        <w:t>国内中大型SUV销量第一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>• 截至2026年2月，累计订单量超过85,000辆</w:t>
      </w:r>
    </w:p>
    <w:p>
      <w:pPr>
        <w:spacing w:before="120" w:after="120"/>
        <w:ind w:left="720" w:right="720"/>
        <w:pBdr>
          <w:left w:val="single" w:sz="18" w:color="808080" w:space="6"/>
        </w:pBdr>
      </w:pPr>
      <w:r>
        <w:rPr>
          <w:rFonts w:ascii="仿宋_GB2312" w:hAnsi="仿宋_GB2312" w:eastAsia="仿宋_GB2312"/>
          <w:b/>
          <w:i/>
          <w:color w:val="505050"/>
          <w:sz w:val="24"/>
        </w:rPr>
        <w:t>新一代小米SU7</w:t>
      </w:r>
      <w:r>
        <w:rPr>
          <w:rFonts w:ascii="仿宋_GB2312" w:hAnsi="仿宋_GB2312" w:eastAsia="仿宋_GB2312"/>
          <w:i/>
          <w:color w:val="505050"/>
          <w:sz w:val="24"/>
        </w:rPr>
        <w:t>（3月19日发布）：开售34分钟锁单突破1.5万台，开售3天锁单突破3万台！</w:t>
      </w:r>
    </w:p>
    <w:p>
      <w:pPr>
        <w:spacing w:before="120" w:after="60"/>
        <w:ind w:firstLine="480"/>
        <w:jc w:val="left"/>
      </w:pPr>
      <w:r>
        <w:rPr>
          <w:rFonts w:ascii="仿宋_GB2312" w:hAnsi="仿宋_GB2312" w:eastAsia="仿宋_GB2312"/>
          <w:b/>
          <w:color w:val="000000"/>
          <w:sz w:val="24"/>
        </w:rPr>
        <w:t>3.5.3 汽车业务Q4 2025详细数据</w:t>
      </w:r>
    </w:p>
    <w:p>
      <w:pPr>
        <w:spacing w:line="360" w:lineRule="auto" w:before="0" w:after="0"/>
        <w:ind w:firstLine="480"/>
        <w:jc w:val="left"/>
      </w:pPr>
      <w:r>
        <w:rPr>
          <w:rFonts w:ascii="仿宋_GB2312" w:hAnsi="仿宋_GB2312" w:eastAsia="仿宋_GB2312"/>
          <w:color w:val="000000"/>
          <w:sz w:val="24"/>
        </w:rPr>
        <w:t>第四季度汽车业务单独表现：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"/>
      </w:tblPr>
      <w:tblGrid>
        <w:gridCol w:w="2880"/>
        <w:gridCol w:w="2880"/>
        <w:gridCol w:w="2880"/>
      </w:tblGrid>
      <w:tr>
        <w:trPr/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Q4指标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数值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备注</w:t>
            </w:r>
          </w:p>
        </w:tc>
      </w:tr>
      <w:tr>
        <w:trPr/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营收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372亿元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占集团总营收31.8%</w:t>
            </w:r>
          </w:p>
        </w:tc>
      </w:tr>
      <w:tr>
        <w:trPr/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交付量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14.5万辆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单车均价25万元</w:t>
            </w:r>
          </w:p>
        </w:tc>
      </w:tr>
      <w:tr>
        <w:trPr/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毛利率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22.7%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环比略降1.6ppt</w:t>
            </w:r>
          </w:p>
        </w:tc>
      </w:tr>
      <w:tr>
        <w:trPr/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核心利润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10.5亿元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连续第二季度盈利</w:t>
            </w:r>
          </w:p>
        </w:tc>
      </w:tr>
      <w:tr>
        <w:trPr/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费用投入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74亿元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含研发、销售、行政</w:t>
            </w:r>
          </w:p>
        </w:tc>
      </w:tr>
    </w:tbl>
    <w:p>
      <w:pPr>
        <w:spacing w:before="240" w:after="240"/>
        <w:pBdr>
          <w:bottom w:val="single" w:sz="12" w:color="A0A0A0" w:space="2"/>
        </w:pBdr>
      </w:pPr>
    </w:p>
    <w:p>
      <w:pPr>
        <w:spacing w:before="200" w:after="100"/>
        <w:ind w:firstLine="480"/>
        <w:jc w:val="left"/>
      </w:pPr>
      <w:r>
        <w:rPr>
          <w:rFonts w:ascii="黑体" w:hAnsi="黑体" w:eastAsia="黑体"/>
          <w:b/>
          <w:color w:val="000000"/>
          <w:sz w:val="24"/>
        </w:rPr>
        <w:t>四、研发创新与技术投入</w:t>
      </w:r>
    </w:p>
    <w:p>
      <w:pPr>
        <w:spacing w:before="160" w:after="80"/>
        <w:ind w:firstLine="480"/>
        <w:jc w:val="left"/>
      </w:pPr>
      <w:r>
        <w:rPr>
          <w:rFonts w:ascii="楷体_GB2312" w:hAnsi="楷体_GB2312" w:eastAsia="楷体_GB2312"/>
          <w:b/>
          <w:color w:val="000000"/>
          <w:sz w:val="24"/>
        </w:rPr>
        <w:t>4.1 研发投入概览</w:t>
      </w:r>
    </w:p>
    <w:p>
      <w:pPr>
        <w:spacing w:line="360" w:lineRule="auto" w:before="0" w:after="0"/>
        <w:ind w:firstLine="480"/>
        <w:jc w:val="left"/>
      </w:pPr>
      <w:r>
        <w:rPr>
          <w:rFonts w:ascii="仿宋_GB2312" w:hAnsi="仿宋_GB2312" w:eastAsia="仿宋_GB2312"/>
          <w:color w:val="000000"/>
          <w:sz w:val="24"/>
        </w:rPr>
        <w:t>小米坚持</w:t>
      </w:r>
      <w:r>
        <w:rPr>
          <w:rFonts w:ascii="仿宋_GB2312" w:hAnsi="仿宋_GB2312" w:eastAsia="仿宋_GB2312"/>
          <w:b/>
          <w:color w:val="000000"/>
          <w:sz w:val="24"/>
        </w:rPr>
        <w:t>技术立业</w:t>
      </w:r>
      <w:r>
        <w:rPr>
          <w:rFonts w:ascii="仿宋_GB2312" w:hAnsi="仿宋_GB2312" w:eastAsia="仿宋_GB2312"/>
          <w:color w:val="000000"/>
          <w:sz w:val="24"/>
        </w:rPr>
        <w:t>，持续加大研发投入力度：</w:t>
      </w:r>
    </w:p>
    <w:p>
      <w:pPr>
        <w:spacing w:before="120" w:after="60"/>
        <w:ind w:firstLine="480"/>
        <w:jc w:val="left"/>
      </w:pPr>
      <w:r>
        <w:rPr>
          <w:rFonts w:ascii="仿宋_GB2312" w:hAnsi="仿宋_GB2312" w:eastAsia="仿宋_GB2312"/>
          <w:b/>
          <w:color w:val="000000"/>
          <w:sz w:val="24"/>
        </w:rPr>
        <w:t>近五年研发投入趋势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年度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研发投入（亿元）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同比增长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占营收比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2021年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132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-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4.3%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2022年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160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+21.2%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5.0%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2023年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191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+19.4%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5.6%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2024年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240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+25.7%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6.6%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2025年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331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+37.8%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7.2%</w:t>
            </w:r>
            <w:r>
              <w:rPr>
                <w:rFonts w:ascii="宋体" w:hAnsi="宋体" w:eastAsia="宋体" w:cs="宋体"/>
                <w:color w:val="000000"/>
                <w:sz w:val="21"/>
              </w:rPr>
              <w:t xml:space="preserve"> 🔬</w:t>
            </w:r>
          </w:p>
        </w:tc>
      </w:tr>
    </w:tbl>
    <w:p>
      <w:pPr>
        <w:spacing w:line="360" w:lineRule="auto" w:before="0" w:after="0"/>
        <w:ind w:firstLine="480"/>
        <w:jc w:val="left"/>
      </w:pPr>
      <w:r>
        <w:rPr>
          <w:rFonts w:ascii="仿宋_GB2312" w:hAnsi="仿宋_GB2312" w:eastAsia="仿宋_GB2312"/>
          <w:b/>
          <w:color w:val="000000"/>
          <w:sz w:val="24"/>
        </w:rPr>
        <w:t>累计投入</w:t>
      </w:r>
      <w:r>
        <w:rPr>
          <w:rFonts w:ascii="仿宋_GB2312" w:hAnsi="仿宋_GB2312" w:eastAsia="仿宋_GB2312"/>
          <w:color w:val="000000"/>
          <w:sz w:val="24"/>
        </w:rPr>
        <w:t xml:space="preserve">：过去五年（2021-2025）累计研发投入达 </w:t>
      </w:r>
      <w:r>
        <w:rPr>
          <w:rFonts w:ascii="仿宋_GB2312" w:hAnsi="仿宋_GB2312" w:eastAsia="仿宋_GB2312"/>
          <w:b/>
          <w:color w:val="000000"/>
          <w:sz w:val="24"/>
        </w:rPr>
        <w:t>1,055亿元</w:t>
      </w:r>
    </w:p>
    <w:p>
      <w:pPr>
        <w:spacing w:before="160" w:after="80"/>
        <w:ind w:firstLine="480"/>
        <w:jc w:val="left"/>
      </w:pPr>
      <w:r>
        <w:rPr>
          <w:rFonts w:ascii="楷体_GB2312" w:hAnsi="楷体_GB2312" w:eastAsia="楷体_GB2312"/>
          <w:b/>
          <w:color w:val="000000"/>
          <w:sz w:val="24"/>
        </w:rPr>
        <w:t>4.2 研发人员队伍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指标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2025年末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2024年末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变化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研发人员总数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25,457人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21,198人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+20.1% 👨‍💻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占员工总数比例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52.3%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48.6%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+3.7ppt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博士学历人数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8,600人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6,800人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+26.5% 🎓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AI领域专家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4,200人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2,800人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+50.0% 🤖</w:t>
            </w:r>
          </w:p>
        </w:tc>
      </w:tr>
    </w:tbl>
    <w:p>
      <w:pPr>
        <w:spacing w:before="160" w:after="80"/>
        <w:ind w:firstLine="480"/>
        <w:jc w:val="left"/>
      </w:pPr>
      <w:r>
        <w:rPr>
          <w:rFonts w:ascii="楷体_GB2312" w:hAnsi="楷体_GB2312" w:eastAsia="楷体_GB2312"/>
          <w:b/>
          <w:color w:val="000000"/>
          <w:sz w:val="24"/>
        </w:rPr>
        <w:t>4.3 未来研发规划</w:t>
      </w:r>
    </w:p>
    <w:p>
      <w:pPr>
        <w:spacing w:line="360" w:lineRule="auto" w:before="0" w:after="0"/>
        <w:ind w:firstLine="480"/>
        <w:jc w:val="left"/>
      </w:pPr>
      <w:r>
        <w:rPr>
          <w:rFonts w:ascii="仿宋_GB2312" w:hAnsi="仿宋_GB2312" w:eastAsia="仿宋_GB2312"/>
          <w:color w:val="000000"/>
          <w:sz w:val="24"/>
        </w:rPr>
        <w:t>小米公布了雄心勃勃的研发投入计划：</w:t>
      </w:r>
    </w:p>
    <w:p>
      <w:pPr>
        <w:spacing w:line="360" w:lineRule="auto" w:before="0" w:after="0"/>
        <w:ind w:firstLine="480"/>
        <w:jc w:val="left"/>
      </w:pPr>
      <w:r>
        <w:rPr>
          <w:rFonts w:ascii="仿宋_GB2312" w:hAnsi="仿宋_GB2312" w:eastAsia="仿宋_GB2312"/>
          <w:b/>
          <w:color w:val="000000"/>
          <w:sz w:val="24"/>
        </w:rPr>
        <w:t>短期目标（2026年）</w:t>
      </w:r>
      <w:r>
        <w:rPr>
          <w:rFonts w:ascii="仿宋_GB2312" w:hAnsi="仿宋_GB2312" w:eastAsia="仿宋_GB2312"/>
          <w:color w:val="000000"/>
          <w:sz w:val="24"/>
        </w:rPr>
        <w:t>：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 xml:space="preserve">• 研发投入预计超过 </w:t>
      </w:r>
      <w:r>
        <w:rPr>
          <w:rFonts w:ascii="仿宋_GB2312" w:hAnsi="仿宋_GB2312" w:eastAsia="仿宋_GB2312"/>
          <w:b/>
          <w:sz w:val="24"/>
        </w:rPr>
        <w:t>400亿元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 xml:space="preserve">• AI领域专项投入约 </w:t>
      </w:r>
      <w:r>
        <w:rPr>
          <w:rFonts w:ascii="仿宋_GB2312" w:hAnsi="仿宋_GB2312" w:eastAsia="仿宋_GB2312"/>
          <w:b/>
          <w:sz w:val="24"/>
        </w:rPr>
        <w:t>160亿元</w:t>
      </w:r>
    </w:p>
    <w:p>
      <w:pPr>
        <w:spacing w:line="360" w:lineRule="auto" w:before="0" w:after="0"/>
        <w:ind w:firstLine="480"/>
        <w:jc w:val="left"/>
      </w:pPr>
      <w:r>
        <w:rPr>
          <w:rFonts w:ascii="仿宋_GB2312" w:hAnsi="仿宋_GB2312" w:eastAsia="仿宋_GB2312"/>
          <w:b/>
          <w:color w:val="000000"/>
          <w:sz w:val="24"/>
        </w:rPr>
        <w:t>中期目标（2026-2028年）</w:t>
      </w:r>
      <w:r>
        <w:rPr>
          <w:rFonts w:ascii="仿宋_GB2312" w:hAnsi="仿宋_GB2312" w:eastAsia="仿宋_GB2312"/>
          <w:color w:val="000000"/>
          <w:sz w:val="24"/>
        </w:rPr>
        <w:t>：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 xml:space="preserve">• 三年累计研发投入不低于 </w:t>
      </w:r>
      <w:r>
        <w:rPr>
          <w:rFonts w:ascii="仿宋_GB2312" w:hAnsi="仿宋_GB2312" w:eastAsia="仿宋_GB2312"/>
          <w:b/>
          <w:sz w:val="24"/>
        </w:rPr>
        <w:t>1,400亿元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 xml:space="preserve">• AI领域累计投入不低于 </w:t>
      </w:r>
      <w:r>
        <w:rPr>
          <w:rFonts w:ascii="仿宋_GB2312" w:hAnsi="仿宋_GB2312" w:eastAsia="仿宋_GB2312"/>
          <w:b/>
          <w:sz w:val="24"/>
        </w:rPr>
        <w:t>600亿元</w:t>
      </w:r>
    </w:p>
    <w:p>
      <w:pPr>
        <w:spacing w:line="360" w:lineRule="auto" w:before="0" w:after="0"/>
        <w:ind w:firstLine="480"/>
        <w:jc w:val="left"/>
      </w:pPr>
      <w:r>
        <w:rPr>
          <w:rFonts w:ascii="仿宋_GB2312" w:hAnsi="仿宋_GB2312" w:eastAsia="仿宋_GB2312"/>
          <w:b/>
          <w:color w:val="000000"/>
          <w:sz w:val="24"/>
        </w:rPr>
        <w:t>长期目标（2026-2030年）</w:t>
      </w:r>
      <w:r>
        <w:rPr>
          <w:rFonts w:ascii="仿宋_GB2312" w:hAnsi="仿宋_GB2312" w:eastAsia="仿宋_GB2312"/>
          <w:color w:val="000000"/>
          <w:sz w:val="24"/>
        </w:rPr>
        <w:t>：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 xml:space="preserve">• 五年累计研发投入目标 </w:t>
      </w:r>
      <w:r>
        <w:rPr>
          <w:rFonts w:ascii="仿宋_GB2312" w:hAnsi="仿宋_GB2312" w:eastAsia="仿宋_GB2312"/>
          <w:b/>
          <w:sz w:val="24"/>
        </w:rPr>
        <w:t>超2,000亿元</w:t>
      </w:r>
      <w:r>
        <w:rPr>
          <w:rFonts w:ascii="仿宋_GB2312" w:hAnsi="仿宋_GB2312" w:eastAsia="仿宋_GB2312"/>
          <w:sz w:val="24"/>
        </w:rPr>
        <w:t xml:space="preserve"> 🎯</w:t>
      </w:r>
    </w:p>
    <w:p>
      <w:pPr>
        <w:spacing w:before="160" w:after="80"/>
        <w:ind w:firstLine="480"/>
        <w:jc w:val="left"/>
      </w:pPr>
      <w:r>
        <w:rPr>
          <w:rFonts w:ascii="楷体_GB2312" w:hAnsi="楷体_GB2312" w:eastAsia="楷体_GB2312"/>
          <w:b/>
          <w:color w:val="000000"/>
          <w:sz w:val="24"/>
        </w:rPr>
        <w:t>4.4 AI大模型战略</w:t>
      </w:r>
    </w:p>
    <w:p>
      <w:pPr>
        <w:spacing w:line="360" w:lineRule="auto" w:before="0" w:after="0"/>
        <w:ind w:firstLine="480"/>
        <w:jc w:val="left"/>
      </w:pPr>
      <w:r>
        <w:rPr>
          <w:rFonts w:ascii="仿宋_GB2312" w:hAnsi="仿宋_GB2312" w:eastAsia="仿宋_GB2312"/>
          <w:color w:val="000000"/>
          <w:sz w:val="24"/>
        </w:rPr>
        <w:t>小米近期发布了</w:t>
      </w:r>
      <w:r>
        <w:rPr>
          <w:rFonts w:ascii="仿宋_GB2312" w:hAnsi="仿宋_GB2312" w:eastAsia="仿宋_GB2312"/>
          <w:b/>
          <w:color w:val="000000"/>
          <w:sz w:val="24"/>
        </w:rPr>
        <w:t>三款面向Agent时代打造的自研大模型</w:t>
      </w:r>
      <w:r>
        <w:rPr>
          <w:rFonts w:ascii="仿宋_GB2312" w:hAnsi="仿宋_GB2312" w:eastAsia="仿宋_GB2312"/>
          <w:color w:val="000000"/>
          <w:sz w:val="24"/>
        </w:rPr>
        <w:t>：</w:t>
      </w:r>
    </w:p>
    <w:p>
      <w:pPr>
        <w:ind w:left="720"/>
        <w:jc w:val="left"/>
      </w:pPr>
      <w:r>
        <w:rPr>
          <w:rFonts w:ascii="仿宋_GB2312" w:hAnsi="仿宋_GB2312" w:eastAsia="仿宋_GB2312"/>
          <w:b/>
          <w:sz w:val="24"/>
        </w:rPr>
        <w:t>MiLM-1.5B</w:t>
      </w:r>
      <w:r>
        <w:rPr>
          <w:rFonts w:ascii="仿宋_GB2312" w:hAnsi="仿宋_GB2312" w:eastAsia="仿宋_GB2312"/>
          <w:sz w:val="24"/>
        </w:rPr>
        <w:t xml:space="preserve"> - 轻量级端侧模型</w:t>
      </w:r>
    </w:p>
    <w:p>
      <w:pPr>
        <w:ind w:left="720"/>
        <w:jc w:val="left"/>
      </w:pPr>
      <w:r>
        <w:rPr>
          <w:rFonts w:ascii="仿宋_GB2312" w:hAnsi="仿宋_GB2312" w:eastAsia="仿宋_GB2312"/>
          <w:b/>
          <w:sz w:val="24"/>
        </w:rPr>
        <w:t>MiLM-7B</w:t>
      </w:r>
      <w:r>
        <w:rPr>
          <w:rFonts w:ascii="仿宋_GB2312" w:hAnsi="仿宋_GB2312" w:eastAsia="仿宋_GB2312"/>
          <w:sz w:val="24"/>
        </w:rPr>
        <w:t xml:space="preserve"> - 通用基础模型</w:t>
      </w:r>
    </w:p>
    <w:p>
      <w:pPr>
        <w:ind w:left="720"/>
        <w:jc w:val="left"/>
      </w:pPr>
      <w:r>
        <w:rPr>
          <w:rFonts w:ascii="仿宋_GB2312" w:hAnsi="仿宋_GB2312" w:eastAsia="仿宋_GB2312"/>
          <w:b/>
          <w:sz w:val="24"/>
        </w:rPr>
        <w:t>MiLM-65B</w:t>
      </w:r>
      <w:r>
        <w:rPr>
          <w:rFonts w:ascii="仿宋_GB2312" w:hAnsi="仿宋_GB2312" w:eastAsia="仿宋_GB2312"/>
          <w:sz w:val="24"/>
        </w:rPr>
        <w:t xml:space="preserve"> - 大规模认知模型</w:t>
      </w:r>
    </w:p>
    <w:p>
      <w:pPr>
        <w:spacing w:before="120" w:after="120"/>
        <w:ind w:left="720" w:right="720"/>
        <w:pBdr>
          <w:left w:val="single" w:sz="18" w:color="808080" w:space="6"/>
        </w:pBdr>
      </w:pPr>
      <w:r>
        <w:rPr>
          <w:rFonts w:ascii="仿宋_GB2312" w:hAnsi="仿宋_GB2312" w:eastAsia="仿宋_GB2312"/>
          <w:i/>
          <w:color w:val="505050"/>
          <w:sz w:val="24"/>
        </w:rPr>
        <w:t>雷军在发布会上表示："小米在AI领域上相对比较低调，实际进展可能比大家看到的要快很多。"</w:t>
      </w:r>
    </w:p>
    <w:p>
      <w:pPr>
        <w:spacing w:line="360" w:lineRule="auto" w:before="0" w:after="0"/>
        <w:ind w:firstLine="480"/>
        <w:jc w:val="left"/>
      </w:pPr>
      <w:r>
        <w:rPr>
          <w:rFonts w:ascii="仿宋_GB2312" w:hAnsi="仿宋_GB2312" w:eastAsia="仿宋_GB2312"/>
          <w:b/>
          <w:color w:val="000000"/>
          <w:sz w:val="24"/>
        </w:rPr>
        <w:t>具身智能领域进展</w:t>
      </w:r>
      <w:r>
        <w:rPr>
          <w:rFonts w:ascii="仿宋_GB2312" w:hAnsi="仿宋_GB2312" w:eastAsia="仿宋_GB2312"/>
          <w:color w:val="000000"/>
          <w:sz w:val="24"/>
        </w:rPr>
        <w:t>：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>• 2026年3月：小米人形机器人正式走入小米汽车工厂"实习"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>• CyberDog 2、CyberOne等产品持续迭代优化</w:t>
      </w:r>
    </w:p>
    <w:p>
      <w:pPr>
        <w:spacing w:before="240" w:after="240"/>
        <w:pBdr>
          <w:bottom w:val="single" w:sz="12" w:color="A0A0A0" w:space="2"/>
        </w:pBdr>
      </w:pPr>
    </w:p>
    <w:p>
      <w:pPr>
        <w:spacing w:before="200" w:after="100"/>
        <w:ind w:firstLine="480"/>
        <w:jc w:val="left"/>
      </w:pPr>
      <w:r>
        <w:rPr>
          <w:rFonts w:ascii="黑体" w:hAnsi="黑体" w:eastAsia="黑体"/>
          <w:b/>
          <w:color w:val="000000"/>
          <w:sz w:val="24"/>
        </w:rPr>
        <w:t>五、全球化布局与海外市场</w:t>
      </w:r>
    </w:p>
    <w:p>
      <w:pPr>
        <w:spacing w:before="160" w:after="80"/>
        <w:ind w:firstLine="480"/>
        <w:jc w:val="left"/>
      </w:pPr>
      <w:r>
        <w:rPr>
          <w:rFonts w:ascii="楷体_GB2312" w:hAnsi="楷体_GB2312" w:eastAsia="楷体_GB2312"/>
          <w:b/>
          <w:color w:val="000000"/>
          <w:sz w:val="24"/>
        </w:rPr>
        <w:t>5.1 海外市场营收分布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区域市场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2025年收入（亿元）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占比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同比增长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中国大陆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2,863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62.6%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+22.3%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欧洲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682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14.9%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+31.2% 🇪🇺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印度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423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9.3%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+12.5% 🇮🇳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东南亚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326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7.1%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+28.7% 🌏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拉丁美洲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168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3.7%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+35.4% 🌎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其他地区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111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2.4%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+18.9%</w:t>
            </w:r>
          </w:p>
        </w:tc>
      </w:tr>
    </w:tbl>
    <w:p>
      <w:pPr>
        <w:spacing w:line="360" w:lineRule="auto" w:before="0" w:after="0"/>
        <w:ind w:firstLine="480"/>
        <w:jc w:val="left"/>
      </w:pPr>
      <w:r>
        <w:rPr>
          <w:rFonts w:ascii="仿宋_GB2312" w:hAnsi="仿宋_GB2312" w:eastAsia="仿宋_GB2312"/>
          <w:b/>
          <w:color w:val="000000"/>
          <w:sz w:val="24"/>
        </w:rPr>
        <w:t>海外市场总计</w:t>
      </w:r>
      <w:r>
        <w:rPr>
          <w:rFonts w:ascii="仿宋_GB2312" w:hAnsi="仿宋_GB2312" w:eastAsia="仿宋_GB2312"/>
          <w:color w:val="000000"/>
          <w:sz w:val="24"/>
        </w:rPr>
        <w:t>：</w:t>
      </w:r>
      <w:r>
        <w:rPr>
          <w:rFonts w:ascii="仿宋_GB2312" w:hAnsi="仿宋_GB2312" w:eastAsia="仿宋_GB2312"/>
          <w:b/>
          <w:color w:val="000000"/>
          <w:sz w:val="24"/>
        </w:rPr>
        <w:t>1,710亿元</w:t>
      </w:r>
      <w:r>
        <w:rPr>
          <w:rFonts w:ascii="仿宋_GB2312" w:hAnsi="仿宋_GB2312" w:eastAsia="仿宋_GB2312"/>
          <w:color w:val="000000"/>
          <w:sz w:val="24"/>
        </w:rPr>
        <w:t>（占比37.4%，同比+26.3%）</w:t>
      </w:r>
    </w:p>
    <w:p>
      <w:pPr>
        <w:spacing w:before="160" w:after="80"/>
        <w:ind w:firstLine="480"/>
        <w:jc w:val="left"/>
      </w:pPr>
      <w:r>
        <w:rPr>
          <w:rFonts w:ascii="楷体_GB2312" w:hAnsi="楷体_GB2312" w:eastAsia="楷体_GB2312"/>
          <w:b/>
          <w:color w:val="000000"/>
          <w:sz w:val="24"/>
        </w:rPr>
        <w:t>5.2 重点区域突破</w:t>
      </w:r>
    </w:p>
    <w:p>
      <w:pPr>
        <w:spacing w:before="120" w:after="60"/>
        <w:ind w:firstLine="480"/>
        <w:jc w:val="left"/>
      </w:pPr>
      <w:r>
        <w:rPr>
          <w:rFonts w:ascii="仿宋_GB2312" w:hAnsi="仿宋_GB2312" w:eastAsia="仿宋_GB2312"/>
          <w:b/>
          <w:color w:val="000000"/>
          <w:sz w:val="24"/>
        </w:rPr>
        <w:t>西欧市场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 xml:space="preserve">• 高端机型销量增长约 </w:t>
      </w:r>
      <w:r>
        <w:rPr>
          <w:rFonts w:ascii="仿宋_GB2312" w:hAnsi="仿宋_GB2312" w:eastAsia="仿宋_GB2312"/>
          <w:b/>
          <w:sz w:val="24"/>
        </w:rPr>
        <w:t>40%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>• Xiaomi 17系列全球发布会于巴塞罗那举办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>• 在多个国家进入高端市场前五</w:t>
      </w:r>
    </w:p>
    <w:p>
      <w:pPr>
        <w:spacing w:before="120" w:after="60"/>
        <w:ind w:firstLine="480"/>
        <w:jc w:val="left"/>
      </w:pPr>
      <w:r>
        <w:rPr>
          <w:rFonts w:ascii="仿宋_GB2312" w:hAnsi="仿宋_GB2312" w:eastAsia="仿宋_GB2312"/>
          <w:b/>
          <w:color w:val="000000"/>
          <w:sz w:val="24"/>
        </w:rPr>
        <w:t>新兴市场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b/>
          <w:sz w:val="24"/>
        </w:rPr>
        <w:t>印度</w:t>
      </w:r>
      <w:r>
        <w:rPr>
          <w:rFonts w:ascii="仿宋_GB2312" w:hAnsi="仿宋_GB2312" w:eastAsia="仿宋_GB2312"/>
          <w:sz w:val="24"/>
        </w:rPr>
        <w:t>：重返增长轨道，线上份额回升至18%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b/>
          <w:sz w:val="24"/>
        </w:rPr>
        <w:t>东南亚</w:t>
      </w:r>
      <w:r>
        <w:rPr>
          <w:rFonts w:ascii="仿宋_GB2312" w:hAnsi="仿宋_GB2312" w:eastAsia="仿宋_GB2312"/>
          <w:sz w:val="24"/>
        </w:rPr>
        <w:t>：印尼、越南等国增速超过30%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b/>
          <w:sz w:val="24"/>
        </w:rPr>
        <w:t>拉美</w:t>
      </w:r>
      <w:r>
        <w:rPr>
          <w:rFonts w:ascii="仿宋_GB2312" w:hAnsi="仿宋_GB2312" w:eastAsia="仿宋_GB2312"/>
          <w:sz w:val="24"/>
        </w:rPr>
        <w:t>：巴西、墨西哥市场快速扩张</w:t>
      </w:r>
    </w:p>
    <w:p>
      <w:pPr>
        <w:spacing w:before="240" w:after="240"/>
        <w:pBdr>
          <w:bottom w:val="single" w:sz="12" w:color="A0A0A0" w:space="2"/>
        </w:pBdr>
      </w:pPr>
    </w:p>
    <w:p>
      <w:pPr>
        <w:spacing w:before="200" w:after="100"/>
        <w:ind w:firstLine="480"/>
        <w:jc w:val="left"/>
      </w:pPr>
      <w:r>
        <w:rPr>
          <w:rFonts w:ascii="黑体" w:hAnsi="黑体" w:eastAsia="黑体"/>
          <w:b/>
          <w:color w:val="000000"/>
          <w:sz w:val="24"/>
        </w:rPr>
        <w:t>六、风险因素与挑战</w:t>
      </w:r>
    </w:p>
    <w:p>
      <w:pPr>
        <w:spacing w:before="160" w:after="80"/>
        <w:ind w:firstLine="480"/>
        <w:jc w:val="left"/>
      </w:pPr>
      <w:r>
        <w:rPr>
          <w:rFonts w:ascii="楷体_GB2312" w:hAnsi="楷体_GB2312" w:eastAsia="楷体_GB2312"/>
          <w:b/>
          <w:color w:val="000000"/>
          <w:sz w:val="24"/>
        </w:rPr>
        <w:t>6.1 当前面临的主要挑战</w:t>
      </w:r>
    </w:p>
    <w:p>
      <w:pPr>
        <w:spacing w:line="360" w:lineRule="auto" w:before="0" w:after="0"/>
        <w:ind w:firstLine="480"/>
        <w:jc w:val="left"/>
      </w:pPr>
      <w:r>
        <w:rPr>
          <w:rFonts w:ascii="仿宋_GB2312" w:hAnsi="仿宋_GB2312" w:eastAsia="仿宋_GB2312"/>
          <w:color w:val="000000"/>
          <w:sz w:val="24"/>
        </w:rPr>
        <w:t>尽管业绩亮眼，小米仍面临多重挑战：</w:t>
      </w:r>
    </w:p>
    <w:p>
      <w:pPr>
        <w:ind w:left="720"/>
        <w:jc w:val="left"/>
      </w:pPr>
      <w:r>
        <w:rPr>
          <w:rFonts w:ascii="仿宋_GB2312" w:hAnsi="仿宋_GB2312" w:eastAsia="仿宋_GB2312"/>
          <w:b/>
          <w:sz w:val="24"/>
        </w:rPr>
        <w:t>手机业务压力</w:t>
      </w:r>
    </w:p>
    <w:p>
      <w:pPr>
        <w:ind w:left="1800"/>
        <w:jc w:val="left"/>
      </w:pPr>
      <w:r>
        <w:rPr>
          <w:rFonts w:ascii="仿宋_GB2312" w:hAnsi="仿宋_GB2312" w:eastAsia="仿宋_GB2312"/>
          <w:sz w:val="24"/>
        </w:rPr>
        <w:t xml:space="preserve">• Q4毛利率降至 </w:t>
      </w:r>
      <w:r>
        <w:rPr>
          <w:rFonts w:ascii="仿宋_GB2312" w:hAnsi="仿宋_GB2312" w:eastAsia="仿宋_GB2312"/>
          <w:b/>
          <w:sz w:val="24"/>
        </w:rPr>
        <w:t>8.3%</w:t>
      </w:r>
      <w:r>
        <w:rPr>
          <w:rFonts w:ascii="仿宋_GB2312" w:hAnsi="仿宋_GB2312" w:eastAsia="仿宋_GB2312"/>
          <w:sz w:val="24"/>
        </w:rPr>
        <w:t>（近年最低）</w:t>
      </w:r>
    </w:p>
    <w:p>
      <w:pPr>
        <w:ind w:left="1800"/>
        <w:jc w:val="left"/>
      </w:pPr>
      <w:r>
        <w:rPr>
          <w:rFonts w:ascii="仿宋_GB2312" w:hAnsi="仿宋_GB2312" w:eastAsia="仿宋_GB2312"/>
          <w:sz w:val="24"/>
        </w:rPr>
        <w:t>• 存储芯片涨价导致成本上升</w:t>
      </w:r>
    </w:p>
    <w:p>
      <w:pPr>
        <w:ind w:left="1800"/>
        <w:jc w:val="left"/>
      </w:pPr>
      <w:r>
        <w:rPr>
          <w:rFonts w:ascii="仿宋_GB2312" w:hAnsi="仿宋_GB2312" w:eastAsia="仿宋_GB2312"/>
          <w:sz w:val="24"/>
        </w:rPr>
        <w:t>• 国内市场竞争加剧</w:t>
      </w:r>
    </w:p>
    <w:p>
      <w:pPr>
        <w:ind w:left="720"/>
        <w:jc w:val="left"/>
      </w:pPr>
      <w:r>
        <w:rPr>
          <w:rFonts w:ascii="仿宋_GB2312" w:hAnsi="仿宋_GB2312" w:eastAsia="仿宋_GB2312"/>
          <w:b/>
          <w:sz w:val="24"/>
        </w:rPr>
        <w:t>汽车业务不确定性</w:t>
      </w:r>
    </w:p>
    <w:p>
      <w:pPr>
        <w:ind w:left="1800"/>
        <w:jc w:val="left"/>
      </w:pPr>
      <w:r>
        <w:rPr>
          <w:rFonts w:ascii="仿宋_GB2312" w:hAnsi="仿宋_GB2312" w:eastAsia="仿宋_GB2312"/>
          <w:sz w:val="24"/>
        </w:rPr>
        <w:t>• 2026年后订单量出现波动</w:t>
      </w:r>
    </w:p>
    <w:p>
      <w:pPr>
        <w:ind w:left="1800"/>
        <w:jc w:val="left"/>
      </w:pPr>
      <w:r>
        <w:rPr>
          <w:rFonts w:ascii="仿宋_GB2312" w:hAnsi="仿宋_GB2312" w:eastAsia="仿宋_GB2312"/>
          <w:sz w:val="24"/>
        </w:rPr>
        <w:t>• 55万辆全年目标存在挑战</w:t>
      </w:r>
    </w:p>
    <w:p>
      <w:pPr>
        <w:ind w:left="1800"/>
        <w:jc w:val="left"/>
      </w:pPr>
      <w:r>
        <w:rPr>
          <w:rFonts w:ascii="仿宋_GB2312" w:hAnsi="仿宋_GB2312" w:eastAsia="仿宋_GB2312"/>
          <w:sz w:val="24"/>
        </w:rPr>
        <w:t>• 价格战压力增大</w:t>
      </w:r>
    </w:p>
    <w:p>
      <w:pPr>
        <w:ind w:left="720"/>
        <w:jc w:val="left"/>
      </w:pPr>
      <w:r>
        <w:rPr>
          <w:rFonts w:ascii="仿宋_GB2312" w:hAnsi="仿宋_GB2312" w:eastAsia="仿宋_GB2312"/>
          <w:b/>
          <w:sz w:val="24"/>
        </w:rPr>
        <w:t>宏观环境风险</w:t>
      </w:r>
    </w:p>
    <w:p>
      <w:pPr>
        <w:ind w:left="1800"/>
        <w:jc w:val="left"/>
      </w:pPr>
      <w:r>
        <w:rPr>
          <w:rFonts w:ascii="仿宋_GB2312" w:hAnsi="仿宋_GB2312" w:eastAsia="仿宋_GB2312"/>
          <w:sz w:val="24"/>
        </w:rPr>
        <w:t>• 全球经济增速放缓</w:t>
      </w:r>
    </w:p>
    <w:p>
      <w:pPr>
        <w:ind w:left="1800"/>
        <w:jc w:val="left"/>
      </w:pPr>
      <w:r>
        <w:rPr>
          <w:rFonts w:ascii="仿宋_GB2312" w:hAnsi="仿宋_GB2312" w:eastAsia="仿宋_GB2312"/>
          <w:sz w:val="24"/>
        </w:rPr>
        <w:t>• 地缘政治影响供应链</w:t>
      </w:r>
    </w:p>
    <w:p>
      <w:pPr>
        <w:ind w:left="1800"/>
        <w:jc w:val="left"/>
      </w:pPr>
      <w:r>
        <w:rPr>
          <w:rFonts w:ascii="仿宋_GB2312" w:hAnsi="仿宋_GB2312" w:eastAsia="仿宋_GB2312"/>
          <w:sz w:val="24"/>
        </w:rPr>
        <w:t>• 汇率波动风险</w:t>
      </w:r>
    </w:p>
    <w:p>
      <w:pPr>
        <w:ind w:left="720"/>
        <w:jc w:val="left"/>
      </w:pPr>
      <w:r>
        <w:rPr>
          <w:rFonts w:ascii="仿宋_GB2312" w:hAnsi="仿宋_GB2312" w:eastAsia="仿宋_GB2312"/>
          <w:b/>
          <w:sz w:val="24"/>
        </w:rPr>
        <w:t>IoT业务周期性</w:t>
      </w:r>
    </w:p>
    <w:p>
      <w:pPr>
        <w:ind w:left="1800"/>
        <w:jc w:val="left"/>
      </w:pPr>
      <w:r>
        <w:rPr>
          <w:rFonts w:ascii="仿宋_GB2312" w:hAnsi="仿宋_GB2312" w:eastAsia="仿宋_GB2312"/>
          <w:sz w:val="24"/>
        </w:rPr>
        <w:t>• 国补政策退坡影响大家电销售</w:t>
      </w:r>
    </w:p>
    <w:p>
      <w:pPr>
        <w:ind w:left="1800"/>
        <w:jc w:val="left"/>
      </w:pPr>
      <w:r>
        <w:rPr>
          <w:rFonts w:ascii="仿宋_GB2312" w:hAnsi="仿宋_GB2312" w:eastAsia="仿宋_GB2312"/>
          <w:sz w:val="24"/>
        </w:rPr>
        <w:t>• Q4 IoT收入同比下滑20%</w:t>
      </w:r>
    </w:p>
    <w:p>
      <w:pPr>
        <w:spacing w:before="160" w:after="80"/>
        <w:ind w:firstLine="480"/>
        <w:jc w:val="left"/>
      </w:pPr>
      <w:r>
        <w:rPr>
          <w:rFonts w:ascii="楷体_GB2312" w:hAnsi="楷体_GB2312" w:eastAsia="楷体_GB2312"/>
          <w:b/>
          <w:color w:val="000000"/>
          <w:sz w:val="24"/>
        </w:rPr>
        <w:t>6.2 机构评级观点</w:t>
      </w:r>
    </w:p>
    <w:p>
      <w:pPr>
        <w:spacing w:line="360" w:lineRule="auto" w:before="0" w:after="0"/>
        <w:ind w:firstLine="480"/>
        <w:jc w:val="left"/>
      </w:pPr>
      <w:r>
        <w:rPr>
          <w:rFonts w:ascii="仿宋_GB2312" w:hAnsi="仿宋_GB2312" w:eastAsia="仿宋_GB2312"/>
          <w:b/>
          <w:color w:val="000000"/>
          <w:sz w:val="24"/>
        </w:rPr>
        <w:t>花旗银行</w:t>
      </w:r>
      <w:r>
        <w:rPr>
          <w:rFonts w:ascii="仿宋_GB2312" w:hAnsi="仿宋_GB2312" w:eastAsia="仿宋_GB2312"/>
          <w:color w:val="000000"/>
          <w:sz w:val="24"/>
        </w:rPr>
        <w:t>（2026年3月25日）：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 xml:space="preserve">• 目标价从42港元下调至 </w:t>
      </w:r>
      <w:r>
        <w:rPr>
          <w:rFonts w:ascii="仿宋_GB2312" w:hAnsi="仿宋_GB2312" w:eastAsia="仿宋_GB2312"/>
          <w:b/>
          <w:sz w:val="24"/>
        </w:rPr>
        <w:t>40港元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>• 确认Q4营业利润、综合毛利率均低于预期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b/>
          <w:sz w:val="24"/>
        </w:rPr>
        <w:t>维持"买入"评级</w:t>
      </w:r>
      <w:r>
        <w:rPr>
          <w:rFonts w:ascii="仿宋_GB2312" w:hAnsi="仿宋_GB2312" w:eastAsia="仿宋_GB2312"/>
          <w:sz w:val="24"/>
        </w:rPr>
        <w:t xml:space="preserve"> ✅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>• 长期看好AIoT与电动汽车业务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>• 重点看好2027年起小米汽车的海外市场放量</w:t>
      </w:r>
    </w:p>
    <w:p>
      <w:pPr>
        <w:spacing w:before="240" w:after="240"/>
        <w:pBdr>
          <w:bottom w:val="single" w:sz="12" w:color="A0A0A0" w:space="2"/>
        </w:pBdr>
      </w:pPr>
    </w:p>
    <w:p>
      <w:pPr>
        <w:spacing w:before="200" w:after="100"/>
        <w:ind w:firstLine="480"/>
        <w:jc w:val="left"/>
      </w:pPr>
      <w:r>
        <w:rPr>
          <w:rFonts w:ascii="黑体" w:hAnsi="黑体" w:eastAsia="黑体"/>
          <w:b/>
          <w:color w:val="000000"/>
          <w:sz w:val="24"/>
        </w:rPr>
        <w:t>七、未来展望与战略指引</w:t>
      </w:r>
    </w:p>
    <w:p>
      <w:pPr>
        <w:spacing w:before="160" w:after="80"/>
        <w:ind w:firstLine="480"/>
        <w:jc w:val="left"/>
      </w:pPr>
      <w:r>
        <w:rPr>
          <w:rFonts w:ascii="楷体_GB2312" w:hAnsi="楷体_GB2312" w:eastAsia="楷体_GB2312"/>
          <w:b/>
          <w:color w:val="000000"/>
          <w:sz w:val="24"/>
        </w:rPr>
        <w:t>7.1 2026年核心目标</w:t>
      </w:r>
    </w:p>
    <w:p>
      <w:pPr>
        <w:spacing w:before="120" w:after="60"/>
        <w:ind w:firstLine="480"/>
        <w:jc w:val="left"/>
      </w:pPr>
      <w:r>
        <w:rPr>
          <w:rFonts w:ascii="仿宋_GB2312" w:hAnsi="仿宋_GB2312" w:eastAsia="仿宋_GB2312"/>
          <w:b/>
          <w:color w:val="000000"/>
          <w:sz w:val="24"/>
        </w:rPr>
        <w:t>汽车业务目标 🚗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b/>
          <w:sz w:val="24"/>
        </w:rPr>
        <w:t>全年交付量</w:t>
      </w:r>
      <w:r>
        <w:rPr>
          <w:rFonts w:ascii="仿宋_GB2312" w:hAnsi="仿宋_GB2312" w:eastAsia="仿宋_GB2312"/>
          <w:sz w:val="24"/>
        </w:rPr>
        <w:t>：55万辆（挑战性目标）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b/>
          <w:sz w:val="24"/>
        </w:rPr>
        <w:t>欧洲市场出海</w:t>
      </w:r>
      <w:r>
        <w:rPr>
          <w:rFonts w:ascii="仿宋_GB2312" w:hAnsi="仿宋_GB2312" w:eastAsia="仿宋_GB2312"/>
          <w:sz w:val="24"/>
        </w:rPr>
        <w:t>：2027年正式启动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b/>
          <w:sz w:val="24"/>
        </w:rPr>
        <w:t>新产品线</w:t>
      </w:r>
      <w:r>
        <w:rPr>
          <w:rFonts w:ascii="仿宋_GB2312" w:hAnsi="仿宋_GB2312" w:eastAsia="仿宋_GB2312"/>
          <w:sz w:val="24"/>
        </w:rPr>
        <w:t>：计划推出更低价位车型</w:t>
      </w:r>
    </w:p>
    <w:p>
      <w:pPr>
        <w:spacing w:before="120" w:after="60"/>
        <w:ind w:firstLine="480"/>
        <w:jc w:val="left"/>
      </w:pPr>
      <w:r>
        <w:rPr>
          <w:rFonts w:ascii="仿宋_GB2312" w:hAnsi="仿宋_GB2312" w:eastAsia="仿宋_GB2312"/>
          <w:b/>
          <w:color w:val="000000"/>
          <w:sz w:val="24"/>
        </w:rPr>
        <w:t>整体业务目标 📊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>• 保持营收稳健增长（目标15-20%）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>• 提升整体毛利率水平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>• 加速AI技术商业化落地</w:t>
      </w:r>
    </w:p>
    <w:p>
      <w:pPr>
        <w:spacing w:before="160" w:after="80"/>
        <w:ind w:firstLine="480"/>
        <w:jc w:val="left"/>
      </w:pPr>
      <w:r>
        <w:rPr>
          <w:rFonts w:ascii="楷体_GB2312" w:hAnsi="楷体_GB2312" w:eastAsia="楷体_GB2312"/>
          <w:b/>
          <w:color w:val="000000"/>
          <w:sz w:val="24"/>
        </w:rPr>
        <w:t>7.2 中长期战略方向</w:t>
      </w:r>
    </w:p>
    <w:p>
      <w:pPr>
        <w:spacing w:line="360" w:lineRule="auto" w:before="0" w:after="0"/>
        <w:ind w:firstLine="480"/>
        <w:jc w:val="left"/>
      </w:pPr>
      <w:r>
        <w:rPr>
          <w:rFonts w:ascii="仿宋_GB2312" w:hAnsi="仿宋_GB2312" w:eastAsia="仿宋_GB2312"/>
          <w:b/>
          <w:color w:val="000000"/>
          <w:sz w:val="24"/>
        </w:rPr>
        <w:t>三大战略支柱</w:t>
      </w:r>
      <w:r>
        <w:rPr>
          <w:rFonts w:ascii="仿宋_GB2312" w:hAnsi="仿宋_GB2312" w:eastAsia="仿宋_GB2312"/>
          <w:color w:val="000000"/>
          <w:sz w:val="24"/>
        </w:rPr>
        <w:t>：</w:t>
      </w:r>
    </w:p>
    <w:p>
      <w:pPr>
        <w:ind w:left="720"/>
        <w:jc w:val="left"/>
      </w:pPr>
      <w:r>
        <w:rPr>
          <w:rFonts w:ascii="仿宋_GB2312" w:hAnsi="仿宋_GB2312" w:eastAsia="仿宋_GB2312"/>
          <w:b/>
          <w:sz w:val="24"/>
        </w:rPr>
        <w:t>高端化持续推进</w:t>
      </w:r>
    </w:p>
    <w:p>
      <w:pPr>
        <w:ind w:left="1800"/>
        <w:jc w:val="left"/>
      </w:pPr>
      <w:r>
        <w:rPr>
          <w:rFonts w:ascii="仿宋_GB2312" w:hAnsi="仿宋_GB2312" w:eastAsia="仿宋_GB2312"/>
          <w:sz w:val="24"/>
        </w:rPr>
        <w:t>• 巩固6K+市场份额</w:t>
      </w:r>
    </w:p>
    <w:p>
      <w:pPr>
        <w:ind w:left="1800"/>
        <w:jc w:val="left"/>
      </w:pPr>
      <w:r>
        <w:rPr>
          <w:rFonts w:ascii="仿宋_GB2312" w:hAnsi="仿宋_GB2312" w:eastAsia="仿宋_GB2312"/>
          <w:sz w:val="24"/>
        </w:rPr>
        <w:t>• 拓展全球高端市场</w:t>
      </w:r>
    </w:p>
    <w:p>
      <w:pPr>
        <w:ind w:left="1800"/>
        <w:jc w:val="left"/>
      </w:pPr>
      <w:r>
        <w:rPr>
          <w:rFonts w:ascii="仿宋_GB2312" w:hAnsi="仿宋_GB2312" w:eastAsia="仿宋_GB2312"/>
          <w:sz w:val="24"/>
        </w:rPr>
        <w:t>• 提升品牌溢价能力</w:t>
      </w:r>
    </w:p>
    <w:p>
      <w:pPr>
        <w:ind w:left="720"/>
        <w:jc w:val="left"/>
      </w:pPr>
      <w:r>
        <w:rPr>
          <w:rFonts w:ascii="仿宋_GB2312" w:hAnsi="仿宋_GB2312" w:eastAsia="仿宋_GB2312"/>
          <w:b/>
          <w:sz w:val="24"/>
        </w:rPr>
        <w:t>"人车家全生态"深化</w:t>
      </w:r>
    </w:p>
    <w:p>
      <w:pPr>
        <w:ind w:left="1800"/>
        <w:jc w:val="left"/>
      </w:pPr>
      <w:r>
        <w:rPr>
          <w:rFonts w:ascii="仿宋_GB2312" w:hAnsi="仿宋_GB2312" w:eastAsia="仿宋_GB2312"/>
          <w:sz w:val="24"/>
        </w:rPr>
        <w:t>• 手机、汽车、IoT深度融合</w:t>
      </w:r>
    </w:p>
    <w:p>
      <w:pPr>
        <w:ind w:left="1800"/>
        <w:jc w:val="left"/>
      </w:pPr>
      <w:r>
        <w:rPr>
          <w:rFonts w:ascii="仿宋_GB2312" w:hAnsi="仿宋_GB2312" w:eastAsia="仿宋_GB2312"/>
          <w:sz w:val="24"/>
        </w:rPr>
        <w:t>• AI能力跨端赋能</w:t>
      </w:r>
    </w:p>
    <w:p>
      <w:pPr>
        <w:ind w:left="1800"/>
        <w:jc w:val="left"/>
      </w:pPr>
      <w:r>
        <w:rPr>
          <w:rFonts w:ascii="仿宋_GB2312" w:hAnsi="仿宋_GB2312" w:eastAsia="仿宋_GB2312"/>
          <w:sz w:val="24"/>
        </w:rPr>
        <w:t>• 用户体验一体化升级</w:t>
      </w:r>
    </w:p>
    <w:p>
      <w:pPr>
        <w:ind w:left="720"/>
        <w:jc w:val="left"/>
      </w:pPr>
      <w:r>
        <w:rPr>
          <w:rFonts w:ascii="仿宋_GB2312" w:hAnsi="仿宋_GB2312" w:eastAsia="仿宋_GB2312"/>
          <w:b/>
          <w:sz w:val="24"/>
        </w:rPr>
        <w:t>全球化2.0阶段</w:t>
      </w:r>
    </w:p>
    <w:p>
      <w:pPr>
        <w:ind w:left="1800"/>
        <w:jc w:val="left"/>
      </w:pPr>
      <w:r>
        <w:rPr>
          <w:rFonts w:ascii="仿宋_GB2312" w:hAnsi="仿宋_GB2312" w:eastAsia="仿宋_GB2312"/>
          <w:sz w:val="24"/>
        </w:rPr>
        <w:t>• 从产品输出转向品牌输出</w:t>
      </w:r>
    </w:p>
    <w:p>
      <w:pPr>
        <w:ind w:left="1800"/>
        <w:jc w:val="left"/>
      </w:pPr>
      <w:r>
        <w:rPr>
          <w:rFonts w:ascii="仿宋_GB2312" w:hAnsi="仿宋_GB2312" w:eastAsia="仿宋_GB2312"/>
          <w:sz w:val="24"/>
        </w:rPr>
        <w:t>• 本地化运营深耕</w:t>
      </w:r>
    </w:p>
    <w:p>
      <w:pPr>
        <w:ind w:left="1800"/>
        <w:jc w:val="left"/>
      </w:pPr>
      <w:r>
        <w:rPr>
          <w:rFonts w:ascii="仿宋_GB2312" w:hAnsi="仿宋_GB2312" w:eastAsia="仿宋_GB2312"/>
          <w:sz w:val="24"/>
        </w:rPr>
        <w:t>• 发达市场重点突破</w:t>
      </w:r>
    </w:p>
    <w:p>
      <w:pPr>
        <w:spacing w:before="240" w:after="240"/>
        <w:pBdr>
          <w:bottom w:val="single" w:sz="12" w:color="A0A0A0" w:space="2"/>
        </w:pBdr>
      </w:pPr>
    </w:p>
    <w:p>
      <w:pPr>
        <w:spacing w:before="200" w:after="100"/>
        <w:ind w:firstLine="480"/>
        <w:jc w:val="left"/>
      </w:pPr>
      <w:r>
        <w:rPr>
          <w:rFonts w:ascii="黑体" w:hAnsi="黑体" w:eastAsia="黑体"/>
          <w:b/>
          <w:color w:val="000000"/>
          <w:sz w:val="24"/>
        </w:rPr>
        <w:t>八、财务报表摘要</w:t>
      </w:r>
    </w:p>
    <w:p>
      <w:pPr>
        <w:spacing w:before="160" w:after="80"/>
        <w:ind w:firstLine="480"/>
        <w:jc w:val="left"/>
      </w:pPr>
      <w:r>
        <w:rPr>
          <w:rFonts w:ascii="楷体_GB2312" w:hAnsi="楷体_GB2312" w:eastAsia="楷体_GB2312"/>
          <w:b/>
          <w:color w:val="000000"/>
          <w:sz w:val="24"/>
        </w:rPr>
        <w:t>8.1 合并利润表（简化版）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2025年（亿元）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2024年（亿元）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变动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营业总收入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4,573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3,659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+25.0%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营业成本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3,553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2,891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+22.9%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毛利润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1,020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768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+32.8%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销售费用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367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298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+23.2%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管理费用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128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105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+21.9%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研发费用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331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240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+37.8%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营业利润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393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280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+40.4%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净利润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352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235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+49.8%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经调整净利润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392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273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+43.8%</w:t>
            </w:r>
          </w:p>
        </w:tc>
      </w:tr>
    </w:tbl>
    <w:p>
      <w:pPr>
        <w:spacing w:before="160" w:after="80"/>
        <w:ind w:firstLine="480"/>
        <w:jc w:val="left"/>
      </w:pPr>
      <w:r>
        <w:rPr>
          <w:rFonts w:ascii="楷体_GB2312" w:hAnsi="楷体_GB2312" w:eastAsia="楷体_GB2312"/>
          <w:b/>
          <w:color w:val="000000"/>
          <w:sz w:val="24"/>
        </w:rPr>
        <w:t>8.2 关键比率分析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财务比率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2025年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2024年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行业平均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毛利率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22.3%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21.0%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18.5%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净利率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7.7%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6.4%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6.8%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ROE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15.64%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12.63%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12.0%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资产负债率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47.58%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49.23%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52.0%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研发费率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7.2%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6.6%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5.5%</w:t>
            </w:r>
          </w:p>
        </w:tc>
      </w:tr>
    </w:tbl>
    <w:p>
      <w:pPr>
        <w:spacing w:before="240" w:after="240"/>
        <w:pBdr>
          <w:bottom w:val="single" w:sz="12" w:color="A0A0A0" w:space="2"/>
        </w:pBdr>
      </w:pPr>
    </w:p>
    <w:p>
      <w:pPr>
        <w:spacing w:before="200" w:after="100"/>
        <w:ind w:firstLine="480"/>
        <w:jc w:val="left"/>
      </w:pPr>
      <w:r>
        <w:rPr>
          <w:rFonts w:ascii="黑体" w:hAnsi="黑体" w:eastAsia="黑体"/>
          <w:b/>
          <w:color w:val="000000"/>
          <w:sz w:val="24"/>
        </w:rPr>
        <w:t>九、附录</w:t>
      </w:r>
    </w:p>
    <w:p>
      <w:pPr>
        <w:spacing w:before="160" w:after="80"/>
        <w:ind w:firstLine="480"/>
        <w:jc w:val="left"/>
      </w:pPr>
      <w:r>
        <w:rPr>
          <w:rFonts w:ascii="楷体_GB2312" w:hAnsi="楷体_GB2312" w:eastAsia="楷体_GB2312"/>
          <w:b/>
          <w:color w:val="000000"/>
          <w:sz w:val="24"/>
        </w:rPr>
        <w:t>9.1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"/>
      </w:tblPr>
      <w:tblGrid>
        <w:gridCol w:w="2880"/>
        <w:gridCol w:w="2880"/>
        <w:gridCol w:w="2880"/>
      </w:tblGrid>
      <w:tr>
        <w:trPr/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术语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英文全称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解释</w:t>
            </w:r>
          </w:p>
        </w:tc>
      </w:tr>
      <w:tr>
        <w:trPr/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ASP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Average Selling Price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平均售价</w:t>
            </w:r>
          </w:p>
        </w:tc>
      </w:tr>
      <w:tr>
        <w:trPr/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MAU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Monthly Active Users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月活跃用户数</w:t>
            </w:r>
          </w:p>
        </w:tc>
      </w:tr>
      <w:tr>
        <w:trPr/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YoY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Year over Year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同比</w:t>
            </w:r>
          </w:p>
        </w:tc>
      </w:tr>
      <w:tr>
        <w:trPr/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QoQ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Quarter over Quarter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环比</w:t>
            </w:r>
          </w:p>
        </w:tc>
      </w:tr>
      <w:tr>
        <w:trPr/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ppt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percentage point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百分点</w:t>
            </w:r>
          </w:p>
        </w:tc>
      </w:tr>
      <w:tr>
        <w:trPr/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IoT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Internet of Things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物联网</w:t>
            </w:r>
          </w:p>
        </w:tc>
      </w:tr>
      <w:tr>
        <w:trPr/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AIoT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AI + IoT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人工智能物联网</w:t>
            </w:r>
          </w:p>
        </w:tc>
      </w:tr>
      <w:tr>
        <w:trPr/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EV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Electric Vehicle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电动汽车</w:t>
            </w:r>
          </w:p>
        </w:tc>
      </w:tr>
      <w:tr>
        <w:trPr/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ROE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Return on Equity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color w:val="000000"/>
                <w:sz w:val="21"/>
              </w:rPr>
              <w:t>净资产收益率</w:t>
            </w:r>
          </w:p>
        </w:tc>
      </w:tr>
    </w:tbl>
    <w:p>
      <w:pPr>
        <w:spacing w:before="160" w:after="80"/>
        <w:ind w:firstLine="480"/>
        <w:jc w:val="left"/>
      </w:pPr>
      <w:r>
        <w:rPr>
          <w:rFonts w:ascii="楷体_GB2312" w:hAnsi="楷体_GB2312" w:eastAsia="楷体_GB2312"/>
          <w:b/>
          <w:color w:val="000000"/>
          <w:sz w:val="24"/>
        </w:rPr>
        <w:t>9.2 数据来源说明</w:t>
      </w:r>
    </w:p>
    <w:p>
      <w:pPr>
        <w:spacing w:line="360" w:lineRule="auto" w:before="0" w:after="0"/>
        <w:ind w:firstLine="480"/>
        <w:jc w:val="left"/>
      </w:pPr>
      <w:r>
        <w:rPr>
          <w:rFonts w:ascii="仿宋_GB2312" w:hAnsi="仿宋_GB2312" w:eastAsia="仿宋_GB2312"/>
          <w:color w:val="000000"/>
          <w:sz w:val="24"/>
        </w:rPr>
        <w:t>本报告数据来源于：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>小米集团2025年年度公告（2026年3月24日发布）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>小米集团2025年Q4财报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>第三方市场研究机构数据（IDC、Counterpoint等）</w:t>
      </w:r>
    </w:p>
    <w:p>
      <w:pPr>
        <w:ind w:left="720"/>
        <w:jc w:val="left"/>
      </w:pPr>
      <w:r>
        <w:rPr>
          <w:rFonts w:ascii="仿宋_GB2312" w:hAnsi="仿宋_GB2312" w:eastAsia="仿宋_GB2312"/>
          <w:sz w:val="24"/>
        </w:rPr>
        <w:t>公司官方新闻发布会材料</w:t>
      </w:r>
    </w:p>
    <w:p>
      <w:pPr>
        <w:spacing w:before="160" w:after="80"/>
        <w:ind w:firstLine="480"/>
        <w:jc w:val="left"/>
      </w:pPr>
      <w:r>
        <w:rPr>
          <w:rFonts w:ascii="楷体_GB2312" w:hAnsi="楷体_GB2312" w:eastAsia="楷体_GB2312"/>
          <w:b/>
          <w:color w:val="000000"/>
          <w:sz w:val="24"/>
        </w:rPr>
        <w:t>9.3 免责声明</w:t>
      </w:r>
    </w:p>
    <w:p>
      <w:pPr>
        <w:spacing w:before="120" w:after="120"/>
        <w:ind w:left="720" w:right="720"/>
        <w:pBdr>
          <w:left w:val="single" w:sz="18" w:color="808080" w:space="6"/>
        </w:pBdr>
      </w:pPr>
      <w:r>
        <w:rPr>
          <w:rFonts w:ascii="仿宋_GB2312" w:hAnsi="仿宋_GB2312" w:eastAsia="仿宋_GB2312"/>
          <w:i/>
          <w:color w:val="505050"/>
          <w:sz w:val="24"/>
        </w:rPr>
        <w:t xml:space="preserve">⚠️ </w:t>
      </w:r>
      <w:r>
        <w:rPr>
          <w:rFonts w:ascii="仿宋_GB2312" w:hAnsi="仿宋_GB2312" w:eastAsia="仿宋_GB2312"/>
          <w:b/>
          <w:i/>
          <w:color w:val="505050"/>
          <w:sz w:val="24"/>
        </w:rPr>
        <w:t>风险提示</w:t>
      </w:r>
      <w:r>
        <w:rPr>
          <w:rFonts w:ascii="仿宋_GB2312" w:hAnsi="仿宋_GB2312" w:eastAsia="仿宋_GB2312"/>
          <w:i/>
          <w:color w:val="505050"/>
          <w:sz w:val="24"/>
        </w:rPr>
        <w:t>：以上内容仅作为财经知识分享和技术测试用途，不构成任何投资建议。股市有风险，投资需谨慎。过往业绩不代表未来表现。</w:t>
      </w:r>
    </w:p>
    <w:p>
      <w:pPr>
        <w:spacing w:before="240" w:after="240"/>
        <w:pBdr>
          <w:bottom w:val="single" w:sz="12" w:color="A0A0A0" w:space="2"/>
        </w:pBdr>
      </w:pPr>
    </w:p>
    <w:p>
      <w:pPr>
        <w:spacing w:before="200" w:after="100"/>
        <w:ind w:firstLine="480"/>
        <w:jc w:val="left"/>
      </w:pPr>
      <w:r>
        <w:rPr>
          <w:rFonts w:ascii="黑体" w:hAnsi="黑体" w:eastAsia="黑体"/>
          <w:b/>
          <w:color w:val="000000"/>
          <w:sz w:val="24"/>
        </w:rPr>
        <w:t>十、文档结束</w:t>
      </w:r>
    </w:p>
    <w:p>
      <w:pPr>
        <w:spacing w:line="360" w:lineRule="auto" w:before="0" w:after="0"/>
        <w:ind w:firstLine="480"/>
        <w:jc w:val="left"/>
      </w:pPr>
      <w:r>
        <w:rPr>
          <w:rFonts w:ascii="仿宋_GB2312" w:hAnsi="仿宋_GB2312" w:eastAsia="仿宋_GB2312"/>
          <w:b/>
          <w:color w:val="000000"/>
          <w:sz w:val="24"/>
        </w:rPr>
        <w:t>文档版本</w:t>
      </w:r>
      <w:r>
        <w:rPr>
          <w:rFonts w:ascii="仿宋_GB2312" w:hAnsi="仿宋_GB2312" w:eastAsia="仿宋_GB2312"/>
          <w:color w:val="000000"/>
          <w:sz w:val="24"/>
        </w:rPr>
        <w:t>：V1.0（测试用例）</w:t>
      </w:r>
    </w:p>
    <w:p>
      <w:pPr>
        <w:spacing w:line="360" w:lineRule="auto" w:before="0" w:after="0"/>
        <w:ind w:firstLine="480"/>
        <w:jc w:val="left"/>
      </w:pPr>
      <w:r>
        <w:rPr>
          <w:rFonts w:ascii="仿宋_GB2312" w:hAnsi="仿宋_GB2312" w:eastAsia="仿宋_GB2312"/>
          <w:b/>
          <w:color w:val="000000"/>
          <w:sz w:val="24"/>
        </w:rPr>
        <w:t>生成日期</w:t>
      </w:r>
      <w:r>
        <w:rPr>
          <w:rFonts w:ascii="仿宋_GB2312" w:hAnsi="仿宋_GB2312" w:eastAsia="仿宋_GB2312"/>
          <w:color w:val="000000"/>
          <w:sz w:val="24"/>
        </w:rPr>
        <w:t>：2026年5月19日</w:t>
      </w:r>
    </w:p>
    <w:p>
      <w:pPr>
        <w:spacing w:line="360" w:lineRule="auto" w:before="0" w:after="0"/>
        <w:ind w:firstLine="480"/>
        <w:jc w:val="left"/>
      </w:pPr>
      <w:r>
        <w:rPr>
          <w:rFonts w:ascii="仿宋_GB2312" w:hAnsi="仿宋_GB2312" w:eastAsia="仿宋_GB2312"/>
          <w:b/>
          <w:color w:val="000000"/>
          <w:sz w:val="24"/>
        </w:rPr>
        <w:t>适用场景</w:t>
      </w:r>
      <w:r>
        <w:rPr>
          <w:rFonts w:ascii="仿宋_GB2312" w:hAnsi="仿宋_GB2312" w:eastAsia="仿宋_GB2312"/>
          <w:color w:val="000000"/>
          <w:sz w:val="24"/>
        </w:rPr>
        <w:t>：Markdown转Word格式化功能验证</w:t>
      </w:r>
    </w:p>
    <w:p>
      <w:pPr>
        <w:spacing w:before="160" w:after="80"/>
        <w:ind w:firstLine="480"/>
        <w:jc w:val="left"/>
      </w:pPr>
      <w:r>
        <w:rPr>
          <w:rFonts w:ascii="楷体_GB2312" w:hAnsi="楷体_GB2312" w:eastAsia="楷体_GB2312"/>
          <w:b/>
          <w:color w:val="000000"/>
          <w:sz w:val="24"/>
        </w:rPr>
        <w:t>测试覆盖清单</w:t>
      </w:r>
    </w:p>
    <w:p>
      <w:pPr>
        <w:spacing w:line="360" w:lineRule="auto" w:before="0" w:after="0"/>
        <w:ind w:firstLine="480"/>
        <w:jc w:val="left"/>
      </w:pPr>
      <w:r>
        <w:rPr>
          <w:rFonts w:ascii="仿宋_GB2312" w:hAnsi="仿宋_GB2312" w:eastAsia="仿宋_GB2312"/>
          <w:color w:val="000000"/>
          <w:sz w:val="24"/>
        </w:rPr>
        <w:t>本文档包含以下Markdown格式元素，用于全面验证转换工具：</w:t>
      </w:r>
    </w:p>
    <w:p>
      <w:pPr>
        <w:spacing w:line="360" w:lineRule="auto" w:before="0" w:after="0"/>
        <w:ind w:firstLine="480"/>
        <w:jc w:val="left"/>
      </w:pPr>
      <w:r>
        <w:rPr>
          <w:rFonts w:ascii="仿宋_GB2312" w:hAnsi="仿宋_GB2312" w:eastAsia="仿宋_GB2312"/>
          <w:color w:val="000000"/>
          <w:sz w:val="24"/>
        </w:rPr>
        <w:t xml:space="preserve">✅ </w:t>
      </w:r>
      <w:r>
        <w:rPr>
          <w:rFonts w:ascii="仿宋_GB2312" w:hAnsi="仿宋_GB2312" w:eastAsia="仿宋_GB2312"/>
          <w:b/>
          <w:color w:val="000000"/>
          <w:sz w:val="24"/>
        </w:rPr>
        <w:t>标题层级</w:t>
      </w:r>
      <w:r>
        <w:rPr>
          <w:rFonts w:ascii="仿宋_GB2312" w:hAnsi="仿宋_GB2312" w:eastAsia="仿宋_GB2312"/>
          <w:color w:val="000000"/>
          <w:sz w:val="24"/>
        </w:rPr>
        <w:t>：H1-H6全部使用</w:t>
        <w:br/>
        <w:t xml:space="preserve">✅ </w:t>
      </w:r>
      <w:r>
        <w:rPr>
          <w:rFonts w:ascii="仿宋_GB2312" w:hAnsi="仿宋_GB2312" w:eastAsia="仿宋_GB2312"/>
          <w:b/>
          <w:color w:val="000000"/>
          <w:sz w:val="24"/>
        </w:rPr>
        <w:t>段落文本</w:t>
      </w:r>
      <w:r>
        <w:rPr>
          <w:rFonts w:ascii="仿宋_GB2312" w:hAnsi="仿宋_GB2312" w:eastAsia="仿宋_GB2312"/>
          <w:color w:val="000000"/>
          <w:sz w:val="24"/>
        </w:rPr>
        <w:t xml:space="preserve">：长短段落混合  </w:t>
        <w:br/>
        <w:t xml:space="preserve">✅ </w:t>
      </w:r>
      <w:r>
        <w:rPr>
          <w:rFonts w:ascii="仿宋_GB2312" w:hAnsi="仿宋_GB2312" w:eastAsia="仿宋_GB2312"/>
          <w:b/>
          <w:color w:val="000000"/>
          <w:sz w:val="24"/>
        </w:rPr>
        <w:t>粗体/斜体</w:t>
      </w:r>
      <w:r>
        <w:rPr>
          <w:rFonts w:ascii="仿宋_GB2312" w:hAnsi="仿宋_GB2312" w:eastAsia="仿宋_GB2312"/>
          <w:color w:val="000000"/>
          <w:sz w:val="24"/>
        </w:rPr>
        <w:t xml:space="preserve">：强调重要数据  </w:t>
        <w:br/>
        <w:t xml:space="preserve">✅ </w:t>
      </w:r>
      <w:r>
        <w:rPr>
          <w:rFonts w:ascii="仿宋_GB2312" w:hAnsi="仿宋_GB2312" w:eastAsia="仿宋_GB2312"/>
          <w:b/>
          <w:color w:val="000000"/>
          <w:sz w:val="24"/>
        </w:rPr>
        <w:t>有序列表</w:t>
      </w:r>
      <w:r>
        <w:rPr>
          <w:rFonts w:ascii="仿宋_GB2312" w:hAnsi="仿宋_GB2312" w:eastAsia="仿宋_GB2312"/>
          <w:color w:val="000000"/>
          <w:sz w:val="24"/>
        </w:rPr>
        <w:t xml:space="preserve">：编号列表（1. 2. 3.）  </w:t>
        <w:br/>
        <w:t xml:space="preserve">✅ </w:t>
      </w:r>
      <w:r>
        <w:rPr>
          <w:rFonts w:ascii="仿宋_GB2312" w:hAnsi="仿宋_GB2312" w:eastAsia="仿宋_GB2312"/>
          <w:b/>
          <w:color w:val="000000"/>
          <w:sz w:val="24"/>
        </w:rPr>
        <w:t>无序列表</w:t>
      </w:r>
      <w:r>
        <w:rPr>
          <w:rFonts w:ascii="仿宋_GB2312" w:hAnsi="仿宋_GB2312" w:eastAsia="仿宋_GB2312"/>
          <w:color w:val="000000"/>
          <w:sz w:val="24"/>
        </w:rPr>
        <w:t xml:space="preserve">：项目符号列表（- •）  </w:t>
        <w:br/>
        <w:t xml:space="preserve">✅ </w:t>
      </w:r>
      <w:r>
        <w:rPr>
          <w:rFonts w:ascii="仿宋_GB2312" w:hAnsi="仿宋_GB2312" w:eastAsia="仿宋_GB2312"/>
          <w:b/>
          <w:color w:val="000000"/>
          <w:sz w:val="24"/>
        </w:rPr>
        <w:t>表格</w:t>
      </w:r>
      <w:r>
        <w:rPr>
          <w:rFonts w:ascii="仿宋_GB2312" w:hAnsi="仿宋_GB2312" w:eastAsia="仿宋_GB2312"/>
          <w:color w:val="000000"/>
          <w:sz w:val="24"/>
        </w:rPr>
        <w:t xml:space="preserve">：多个复杂表格（含合并单元格概念）  </w:t>
        <w:br/>
        <w:t xml:space="preserve">✅ </w:t>
      </w:r>
      <w:r>
        <w:rPr>
          <w:rFonts w:ascii="仿宋_GB2312" w:hAnsi="仿宋_GB2312" w:eastAsia="仿宋_GB2312"/>
          <w:b/>
          <w:color w:val="000000"/>
          <w:sz w:val="24"/>
        </w:rPr>
        <w:t>数字数据</w:t>
      </w:r>
      <w:r>
        <w:rPr>
          <w:rFonts w:ascii="仿宋_GB2312" w:hAnsi="仿宋_GB2312" w:eastAsia="仿宋_GB2312"/>
          <w:color w:val="000000"/>
          <w:sz w:val="24"/>
        </w:rPr>
        <w:t xml:space="preserve">：大量统计数字和百分比  </w:t>
        <w:br/>
        <w:t xml:space="preserve">✅ </w:t>
      </w:r>
      <w:r>
        <w:rPr>
          <w:rFonts w:ascii="仿宋_GB2312" w:hAnsi="仿宋_GB2312" w:eastAsia="仿宋_GB2312"/>
          <w:b/>
          <w:color w:val="000000"/>
          <w:sz w:val="24"/>
        </w:rPr>
        <w:t>引用块</w:t>
      </w:r>
      <w:r>
        <w:rPr>
          <w:rFonts w:ascii="仿宋_GB2312" w:hAnsi="仿宋_GB2312" w:eastAsia="仿宋_GB2312"/>
          <w:color w:val="000000"/>
          <w:sz w:val="24"/>
        </w:rPr>
        <w:t xml:space="preserve">：多级引用（&gt;）  </w:t>
        <w:br/>
        <w:t xml:space="preserve">✅ </w:t>
      </w:r>
      <w:r>
        <w:rPr>
          <w:rFonts w:ascii="仿宋_GB2312" w:hAnsi="仿宋_GB2312" w:eastAsia="仿宋_GB2312"/>
          <w:b/>
          <w:color w:val="000000"/>
          <w:sz w:val="24"/>
        </w:rPr>
        <w:t>代码块</w:t>
      </w:r>
      <w:r>
        <w:rPr>
          <w:rFonts w:ascii="仿宋_GB2312" w:hAnsi="仿宋_GB2312" w:eastAsia="仿宋_GB2312"/>
          <w:color w:val="000000"/>
          <w:sz w:val="24"/>
        </w:rPr>
        <w:t xml:space="preserve">：ASCII图表展示  </w:t>
        <w:br/>
        <w:t xml:space="preserve">✅ </w:t>
      </w:r>
      <w:r>
        <w:rPr>
          <w:rFonts w:ascii="仿宋_GB2312" w:hAnsi="仿宋_GB2312" w:eastAsia="仿宋_GB2312"/>
          <w:b/>
          <w:color w:val="000000"/>
          <w:sz w:val="24"/>
        </w:rPr>
        <w:t>链接</w:t>
      </w:r>
      <w:r>
        <w:rPr>
          <w:rFonts w:ascii="仿宋_GB2312" w:hAnsi="仿宋_GB2312" w:eastAsia="仿宋_GB2312"/>
          <w:color w:val="000000"/>
          <w:sz w:val="24"/>
        </w:rPr>
        <w:t xml:space="preserve">：超链接格式  </w:t>
        <w:br/>
        <w:t xml:space="preserve">✅ </w:t>
      </w:r>
      <w:r>
        <w:rPr>
          <w:rFonts w:ascii="仿宋_GB2312" w:hAnsi="仿宋_GB2312" w:eastAsia="仿宋_GB2312"/>
          <w:b/>
          <w:color w:val="000000"/>
          <w:sz w:val="24"/>
        </w:rPr>
        <w:t>分隔线</w:t>
      </w:r>
      <w:r>
        <w:rPr>
          <w:rFonts w:ascii="仿宋_GB2312" w:hAnsi="仿宋_GB2312" w:eastAsia="仿宋_GB2312"/>
          <w:color w:val="000000"/>
          <w:sz w:val="24"/>
        </w:rPr>
        <w:t xml:space="preserve">：章节分隔  </w:t>
        <w:br/>
        <w:t xml:space="preserve">✅ </w:t>
      </w:r>
      <w:r>
        <w:rPr>
          <w:rFonts w:ascii="仿宋_GB2312" w:hAnsi="仿宋_GB2312" w:eastAsia="仿宋_GB2312"/>
          <w:b/>
          <w:color w:val="000000"/>
          <w:sz w:val="24"/>
        </w:rPr>
        <w:t>特殊符号</w:t>
      </w:r>
      <w:r>
        <w:rPr>
          <w:rFonts w:ascii="仿宋_GB2312" w:hAnsi="仿宋_GB2312" w:eastAsia="仿宋_GB2312"/>
          <w:color w:val="000000"/>
          <w:sz w:val="24"/>
        </w:rPr>
        <w:t xml:space="preserve">：emoji表情、数学符号  </w:t>
      </w:r>
    </w:p>
    <w:p>
      <w:pPr>
        <w:spacing w:before="240" w:after="240"/>
        <w:pBdr>
          <w:bottom w:val="single" w:sz="12" w:color="A0A0A0" w:space="2"/>
        </w:pBdr>
      </w:pPr>
    </w:p>
    <w:p>
      <w:pPr>
        <w:spacing w:line="360" w:lineRule="auto" w:before="0" w:after="0"/>
        <w:ind w:firstLine="480"/>
        <w:jc w:val="left"/>
      </w:pPr>
      <w:r>
        <w:rPr>
          <w:rFonts w:ascii="仿宋_GB2312" w:hAnsi="仿宋_GB2312" w:eastAsia="仿宋_GB2312"/>
          <w:b/>
          <w:color w:val="000000"/>
          <w:sz w:val="24"/>
        </w:rPr>
        <w:t>感谢您使用小米集团2025年财报数据进行工具测试！</w:t>
      </w:r>
      <w:r>
        <w:rPr>
          <w:rFonts w:ascii="仿宋_GB2312" w:hAnsi="仿宋_GB2312" w:eastAsia="仿宋_GB2312"/>
          <w:color w:val="000000"/>
          <w:sz w:val="24"/>
        </w:rPr>
        <w:t xml:space="preserve"> 🎉</w:t>
      </w:r>
    </w:p>
    <w:p>
      <w:pPr>
        <w:spacing w:line="360" w:lineRule="auto" w:before="0" w:after="0"/>
        <w:ind w:firstLine="480"/>
        <w:jc w:val="left"/>
      </w:pPr>
      <w:r>
        <w:rPr>
          <w:rFonts w:ascii="仿宋_GB2312" w:hAnsi="仿宋_GB2312" w:eastAsia="仿宋_GB2312"/>
          <w:color w:val="000000"/>
          <w:sz w:val="24"/>
        </w:rPr>
        <w:t>如有任何格式显示问题，请及时反馈以便我们改进转换算法。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b/>
        <w:color w:val="000000"/>
        <w:sz w:val="21"/>
      </w:rPr>
      <w:fldChar w:fldCharType="begin"/>
      <w:instrText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