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ascii="Comic Sans MS" w:hAnsi="Comic Sans MS" w:eastAsia="Comic Sans MS" w:cs="Comic Sans MS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特性路由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WebApi2默认的路由规则我们称作基于约定路由,很多时候我们使用RESTful风格的URI.简单的路由是没问题的，如 </w:t>
      </w:r>
      <w:r>
        <w:rPr>
          <w:rFonts w:hint="default" w:ascii="Comic Sans MS" w:hAnsi="Comic Sans MS" w:eastAsia="Comic Sans MS" w:cs="Comic Sans MS"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api/Products/{id}</w:t>
      </w: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，但有些事很难处理的，如资源之间存在嵌套关系：客户包含订单，书有作者属性等等。对于这种Uri，我们希望的路由是这样的：</w:t>
      </w:r>
      <w:r>
        <w:rPr>
          <w:rFonts w:hint="default" w:ascii="Comic Sans MS" w:hAnsi="Comic Sans MS" w:eastAsia="Comic Sans MS" w:cs="Comic Sans MS"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/costomers/{customerid}/orders </w:t>
      </w: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或</w:t>
      </w:r>
      <w:r>
        <w:rPr>
          <w:rFonts w:hint="default" w:ascii="Comic Sans MS" w:hAnsi="Comic Sans MS" w:eastAsia="Comic Sans MS" w:cs="Comic Sans MS"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 /costomers/{customerid}/orders/{orderid}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考虑到这只是某个Controller的路由格式，而我们会有很多个Controller，用基于约定路由显然不合适(要配置很多的路由)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使用特性路由就简单了，在action上加一个特性即可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[Route(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"customers/{customerId}/orders"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)]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IEnumerable&lt;Order&gt; GetOrdersByCustomer(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customerId) { ...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通过使用特性路由，我们还可以做API的版本控制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/api/v1/products</w:t>
      </w:r>
      <w:r>
        <w:rPr>
          <w:rFonts w:hint="default" w:ascii="Comic Sans MS" w:hAnsi="Comic Sans MS" w:eastAsia="Comic Sans MS" w:cs="Comic Sans MS"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/api/v2/products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启用特性路由需要在配置过程中调用System.Web.HttpConfigurationExtensions类的MapHttpAttributeRoutes方法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System.Web.Http;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WebApplication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WebApiConfig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Register(HttpConfiguration config)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Web API routes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config.MapHttpAttributeRoutes();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Other Web API configuration not shown.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在WebApi1中  项目模板是这样的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Application_Start()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WebApiConfig.Register(GlobalConfiguration.Configuration);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如果要启用特性路由，需要改成如下代码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Application_Start()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GlobalConfiguration.Configure(WebApiConfig.Register);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6"/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</w:t>
      </w: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：特性路由和基于约定路由是可以结合使用大的。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HttpMethod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默认情况，WebApi会根据action的方法名前缀查找action(不区分大小写)，比如GetUsers，会匹配Get。通过在action上添加HttpMethod特性，可以覆盖action需要映射的Http Method。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可使用的特性包括：[HttpDelete],[HttpPost],[HttpHead],[HttpOptions],[HttpPatch],[HttpGet],[HttpPut]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通过AcceptVerbs特性，我们还可以指定非标准方法以及多个方法，如 [AcceptVerbs("MKCOL","GET","POST")]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default" w:ascii="Comic Sans MS" w:hAnsi="Comic Sans MS" w:eastAsia="Comic Sans MS" w:cs="Comic Sans MS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路由前缀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通常情况下，一个Controller下的action会使用相似的路由模板，如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[Route("api/books")]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[Route("api/books/{id:int}")]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[Route("api/books/{bookid}/authors")]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这时候可以为整个controller指定[RoutePrefix]特性，以使用共同的前缀，把[RoutePrefix("/api/books")]加到controller上，action的路由特性就变成这样：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[Route("")]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[Route("{id:int}")]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[Route("{bookid}/authors")]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此外，路由前缀中也可以包含参数，如[RoutePrefix("api/{userid}/books")]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这里还有两个小技巧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如果有某个特殊路由不希望使用前缀，可以在路由中添加~，如[Route("~api/otherbooks")]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有时候需要几个路由片段结合起作用，如日期 /api/books/date</w:t>
      </w:r>
      <w:r>
        <w:rPr>
          <w:rFonts w:hint="default" w:ascii="Comic Sans MS" w:hAnsi="Comic Sans MS" w:eastAsia="Comic Sans MS" w:cs="Comic Sans MS"/>
          <w:i w:val="0"/>
          <w:caps w:val="0"/>
          <w:color w:val="FF6600"/>
          <w:spacing w:val="0"/>
          <w:sz w:val="16"/>
          <w:szCs w:val="16"/>
          <w:bdr w:val="none" w:color="auto" w:sz="0" w:space="0"/>
          <w:shd w:val="clear" w:fill="FFFFFF"/>
        </w:rPr>
        <w:t>/2013/06/17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这时候就需要使用字符* ,[Route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("</w:t>
      </w: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date/{*date:datetime:regex(\\d{4}/\\d{2}/\\d{2})}")],不过这种参数只能用作路由的最后一个参数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Comic Sans MS" w:hAnsi="Comic Sans MS" w:eastAsia="Comic Sans MS" w:cs="Comic Sans MS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路由约束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路由约束让我们可以限制模板参数的匹配方式。一般的语法是 "{参数：约束类型}"：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[Route(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"users/{id:int}"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User GetUserById(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id) { ...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[Route(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"users/{name}"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User GetUserByName(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name) { ...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如果参数int，则选中第一个GetUserById，否则是GetUserByName。(跟方法定义的顺序无关)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下面的表格列出了支持的约束</w:t>
      </w:r>
    </w:p>
    <w:tbl>
      <w:tblPr>
        <w:tblW w:w="9047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3718"/>
        <w:gridCol w:w="4025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  <w:tblHeader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alpha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匹配大写或小写字母 (a-z, A-Z)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{x:alpha}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bool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{x:bool}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{x:datetime}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decimal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{x:decimal}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{x:double}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匹配一个 32位浮点数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{x:float}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guid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{x:guid}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{x:int}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匹配一个长度在指定范围内的字符串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{x:length(6)}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{x:length(1,20)}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{x:long}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匹配指定了最大值的整数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{x:max(10)}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maxlength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匹配指定了最大长度字符串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{x:maxlength(10)}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匹配指定了最小值的整数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{x:min(10)}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minlength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匹配指定了最小长度字符串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{x:minlength(10)}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range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匹配指定了大小区间的整数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{x:range(10,50)}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6" w:hRule="atLeast"/>
        </w:trPr>
        <w:tc>
          <w:tcPr>
            <w:tcW w:w="13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regex</w:t>
            </w:r>
          </w:p>
        </w:tc>
        <w:tc>
          <w:tcPr>
            <w:tcW w:w="371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匹配一个正则表达式</w:t>
            </w:r>
          </w:p>
        </w:tc>
        <w:tc>
          <w:tcPr>
            <w:tcW w:w="4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{x:regex(^\d{3}-\d{3}-\d{4}$)}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如果要指定多个约束，需要用冒号间隔</w:t>
      </w: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[</w:t>
      </w:r>
      <w:r>
        <w:rPr>
          <w:rFonts w:hint="default" w:ascii="Comic Sans MS" w:hAnsi="Comic Sans MS" w:eastAsia="Comic Sans MS" w:cs="Comic Sans M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FFFFF"/>
        </w:rPr>
        <w:t>Route</w:t>
      </w: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("</w:t>
      </w:r>
      <w:r>
        <w:rPr>
          <w:rFonts w:hint="default" w:ascii="Comic Sans MS" w:hAnsi="Comic Sans MS" w:eastAsia="Comic Sans MS" w:cs="Comic Sans MS"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users/{id:int:min(1)}</w:t>
      </w: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")]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通过实现IHttpRouteConstraint接口，还可以创建自定义路由约束。（不过一般正则就可以搞定了）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还可以通过实现IInlineConstraintResolver接口替换整个DefaultInlineConstraintResolver类。这样做将取代所有的内置的约束，除非实现IInlineConstraintResolver的类将它们添加进去。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bdr w:val="none" w:color="CCCCCC" w:sz="4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bdr w:val="single" w:color="808080" w:sz="4" w:space="0"/>
          <w:shd w:val="clear" w:fill="FFFFFF"/>
          <w:lang w:val="en-US" w:eastAsia="zh-CN" w:bidi="ar"/>
        </w:rPr>
        <w:t>自定义路由约束Demo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Comic Sans MS" w:hAnsi="Comic Sans MS" w:eastAsia="Comic Sans MS" w:cs="Comic Sans MS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可选URI参数，默认值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通过在参数约束后面添加一个问号，可以设定URI参数是可选的；也可以像普通方法那样指定默认值：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[Route(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"api/books/locale/{lcid:int?}"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)]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IEnumerable&lt;Book&gt; GetBooksByLocale(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lcid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1033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 { ...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[Route(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"api/books/locale/{lcid:int=1033}"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)]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IEnumerable&lt;Book&gt; GetBooksByLocale(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lcid) { ...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这两者是等价的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Comic Sans MS" w:hAnsi="Comic Sans MS" w:eastAsia="Comic Sans MS" w:cs="Comic Sans MS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路由名称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WebApi中，每一个路由都有一个名字，用于生成链接，并在放入Http响应中。（应该是用于重定向吧）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例如对某个action A指定Name，[Route("api/books/{id}", Name="GetBookById")]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那么其他action B在需要返回这个action A的链接时，就可以这样使用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HttpResponseMessage Post(Book book)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response = Request.CreateResponse(HttpStatusCode.Created);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uri = Url.Link(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"GetBookById"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 id = book.BookId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response.Headers.Location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Uri(uri);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response;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路由顺序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通过设定特性[Route("xxx",RouteOrder=n)]可以指定路由的查找顺序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[Route(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"pending"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RouteOrder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)]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HttpResponseMessage GetPending() { ...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不过意义不大，通过顺序来控制，还不如设定更好的路由来的实际，而且不至于让开发人员觉得混乱。</w:t>
      </w:r>
    </w:p>
    <w:p/>
    <w:p>
      <w:r>
        <w:rPr>
          <w:rFonts w:hint="eastAsia"/>
        </w:rPr>
        <w:t>https://www.cnblogs.com/TiestoRay/p/5755454.html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7587DF"/>
    <w:multiLevelType w:val="multilevel"/>
    <w:tmpl w:val="9A7587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A1DB989"/>
    <w:multiLevelType w:val="multilevel"/>
    <w:tmpl w:val="0A1DB9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F367E"/>
    <w:rsid w:val="3B72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s://www.cnblogs.com/TiestoRay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asus-pc</cp:lastModifiedBy>
  <dcterms:modified xsi:type="dcterms:W3CDTF">2018-08-13T14:06:28Z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