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1. Think:</w:t>
      </w:r>
    </w:p>
    <w:p>
      <w:pPr>
        <w:pStyle w:val="FirstParagraph"/>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2. Read:</w:t>
      </w:r>
    </w:p>
    <w:p>
      <w:pPr>
        <w:pStyle w:val="FirstParagraph"/>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3. Listen:</w:t>
      </w:r>
    </w:p>
    <w:p>
      <w:pPr>
        <w:pStyle w:val="FirstParagraph"/>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4. Browse:</w:t>
      </w:r>
    </w:p>
    <w:p>
      <w:pPr>
        <w:pStyle w:val="Compact"/>
        <w:numPr>
          <w:ilvl w:val="0"/>
          <w:numId w:val="1001"/>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1"/>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1"/>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consult-as-desired"/>
    <w:p>
      <w:pPr>
        <w:pStyle w:val="Heading4"/>
      </w:pPr>
      <w:r>
        <w:t xml:space="preserve">5. Consult as desired:</w:t>
      </w:r>
    </w:p>
    <w:p>
      <w:pPr>
        <w:pStyle w:val="Compact"/>
        <w:numPr>
          <w:ilvl w:val="0"/>
          <w:numId w:val="1002"/>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2"/>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2026-01-14T19:20:28Z</dcterms:created>
  <dcterms:modified xsi:type="dcterms:W3CDTF">2026-01-14T19:20:28Z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