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5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potentially useful tidbits and starting points: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Intel’s foundry future depends on securing a customer for next-gen chipmaking tech</w:t>
        </w:r>
      </w:hyperlink>
      <w:r>
        <w:t xml:space="preserve">”</w:t>
      </w:r>
      <w:r>
        <w:t xml:space="preserve"> </w:t>
      </w:r>
      <w:r>
        <w:t xml:space="preserve">Reuters.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4">
        <w:r>
          <w:rPr>
            <w:rStyle w:val="Hyperlink"/>
          </w:rPr>
          <w:t xml:space="preserve">Intel’s Big Bet: Inside the Chipmaker’s Make-or-Break Factory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2026-04-07T20:41:00Z</dcterms:created>
  <dcterms:modified xsi:type="dcterms:W3CDTF">2026-04-07T20:41:00Z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