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15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21"/>
    <w:bookmarkStart w:id="3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The Technology Trap: Capital, Labor, and Power in the Age of Automation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Acemoglu and Johnson, 2024.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Power and Progress: Our Thousand-Year Struggle Over Technology and Prosperity</w:t>
        </w:r>
      </w:hyperlink>
      <w:r>
        <w:t xml:space="preserve"> </w:t>
      </w:r>
      <w:r>
        <w:t xml:space="preserve">Public Affairs Books, Hachette.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Future of Work in the Era of AI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33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Brynjolfsson,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Canaries in the Coal Mine? Six Facts about the Recent Employment Effects of Artificial Intelligence</w:t>
        </w:r>
      </w:hyperlink>
      <w:r>
        <w:t xml:space="preserve">”</w:t>
      </w:r>
      <w:r>
        <w:t xml:space="preserve"> </w:t>
      </w:r>
      <w:r>
        <w:t xml:space="preserve">Working paper.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36">
        <w:r>
          <w:rPr>
            <w:rStyle w:val="Hyperlink"/>
          </w:rPr>
          <w:t xml:space="preserve">Workers Experience with Chatbots and their Jobs</w:t>
        </w:r>
      </w:hyperlink>
    </w:p>
    <w:bookmarkEnd w:id="37"/>
    <w:bookmarkStart w:id="4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2026-03-23T21:50:23Z</dcterms:created>
  <dcterms:modified xsi:type="dcterms:W3CDTF">2026-03-23T21:50:23Z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