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5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potentially useful tidbits and starting points: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Intel’s foundry future depends on securing a customer for next-gen chipmaking tech</w:t>
        </w:r>
      </w:hyperlink>
      <w:r>
        <w:t xml:space="preserve">”</w:t>
      </w:r>
      <w:r>
        <w:t xml:space="preserve"> </w:t>
      </w:r>
      <w:r>
        <w:t xml:space="preserve">Reuters.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4">
        <w:r>
          <w:rPr>
            <w:rStyle w:val="Hyperlink"/>
          </w:rPr>
          <w:t xml:space="preserve">Intel’s Big Bet: Inside the Chipmaker’s Make-or-Break Factory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4" Target="https://www.nytimes.com/2025/10/09/technology/intel-chip-factory-fab52.html" TargetMode="External" /><Relationship Type="http://schemas.openxmlformats.org/officeDocument/2006/relationships/hyperlink" Id="rId13" Target="https://www.reuters.com/world/asia-pacific/intels-foundry-future-depends-securing-customer-next-gen-chipmaking-tech-2025-07-2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2026-03-23T21:47:19Z</dcterms:created>
  <dcterms:modified xsi:type="dcterms:W3CDTF">2026-03-23T21:47:19Z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