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2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32"/>
    <w:bookmarkStart w:id="4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r>
        <w:rPr>
          <w:i/>
          <w:iCs/>
        </w:rPr>
        <w:t xml:space="preserve">The Technology Trap: Capital, Labor, and Power in the Age of Automation</w:t>
      </w:r>
    </w:p>
    <w:p>
      <w:pPr>
        <w:pStyle w:val="Compact"/>
        <w:numPr>
          <w:ilvl w:val="1"/>
          <w:numId w:val="1008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42">
        <w:r>
          <w:rPr>
            <w:rStyle w:val="Hyperlink"/>
          </w:rPr>
          <w:t xml:space="preserve">Workers Experience with Chatbots and their Jobs</w:t>
        </w:r>
      </w:hyperlink>
    </w:p>
    <w:bookmarkEnd w:id="43"/>
    <w:bookmarkStart w:id="4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2026-03-13T14:38:27Z</dcterms:created>
  <dcterms:modified xsi:type="dcterms:W3CDTF">2026-03-13T14:38:27Z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