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Law, Democracy, and AI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p>
      <w:pPr>
        <w:pStyle w:val="FirstParagraph"/>
      </w:pPr>
      <w:r>
        <w:t xml:space="preserve">AI and Law?</w:t>
      </w:r>
      <w:r>
        <w:t xml:space="preserve"> </w:t>
      </w:r>
      <w:r>
        <w:t xml:space="preserve">AI Law Hallucination argument</w:t>
      </w:r>
      <w:r>
        <w:t xml:space="preserve"> </w:t>
      </w:r>
      <w:r>
        <w:t xml:space="preserve">AI hallucination prevalence</w:t>
      </w:r>
    </w:p>
    <w:p>
      <w:pPr>
        <w:pStyle w:val="BodyText"/>
      </w:pPr>
      <w:r>
        <w:t xml:space="preserve">AI and Responsibility</w:t>
      </w:r>
      <w:r>
        <w:t xml:space="preserve"> </w:t>
      </w:r>
      <w:r>
        <w:t xml:space="preserve">Himmelreich; Killer Robots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Law, Democracy, and AI</dc:title>
  <dc:creator>Prof. Jack Reilly</dc:creator>
  <cp:keywords/>
  <dcterms:created xsi:type="dcterms:W3CDTF">2026-03-05T20:09:58Z</dcterms:created>
  <dcterms:modified xsi:type="dcterms:W3CDTF">2026-03-05T20:09:58Z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