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How do we re-organize society and the economy in light of AI-sparked labor market disruption? Or do we even need to - will the labor market take care of itself?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15"/>
    <w:bookmarkStart w:id="2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Anthropic,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Labor market impacts of AI: A new measure and early evidence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Perhaps AI won’t be as destructive to labor markets as we think?</w:t>
      </w:r>
    </w:p>
    <w:p>
      <w:pPr>
        <w:pStyle w:val="Compact"/>
        <w:numPr>
          <w:ilvl w:val="1"/>
          <w:numId w:val="1005"/>
        </w:numPr>
      </w:pPr>
      <w:r>
        <w:t xml:space="preserve">Edwards,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AI could create 78 million more jobs than it eliminates by 2030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Ars Technica</w:t>
      </w:r>
    </w:p>
    <w:p>
      <w:pPr>
        <w:pStyle w:val="Compact"/>
        <w:numPr>
          <w:ilvl w:val="1"/>
          <w:numId w:val="1005"/>
        </w:numPr>
      </w:pPr>
      <w:r>
        <w:t xml:space="preserve">Pethokoukis,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Another Promising Data Point on the Productivity Impact of AI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AEIdeas</w:t>
      </w:r>
    </w:p>
    <w:p>
      <w:pPr>
        <w:pStyle w:val="Compact"/>
        <w:numPr>
          <w:ilvl w:val="0"/>
          <w:numId w:val="1004"/>
        </w:numPr>
      </w:pPr>
      <w:r>
        <w:t xml:space="preserve">Acemoglu and Johnson,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Learning from Ricardo and Thompson: Machinery and labor in the early industrial revolution – and in the age of AI</w:t>
        </w:r>
      </w:hyperlink>
      <w:r>
        <w:t xml:space="preserve">”</w:t>
      </w:r>
    </w:p>
    <w:bookmarkEnd w:id="21"/>
    <w:bookmarkStart w:id="3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Stiefenhofer,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Artificial General Intelligence and the End of Human Employment: The Need to Renegotiate the Social Contract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Mollick, 2024.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1"/>
          <w:numId w:val="1008"/>
        </w:numPr>
      </w:pPr>
      <w:r>
        <w:t xml:space="preserve">Frey, 2019.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The Technology Trap: Capital, Labor, and Power in the Age of Automation</w:t>
        </w:r>
      </w:hyperlink>
    </w:p>
    <w:p>
      <w:pPr>
        <w:pStyle w:val="Compact"/>
        <w:numPr>
          <w:ilvl w:val="1"/>
          <w:numId w:val="1008"/>
        </w:numPr>
      </w:pPr>
      <w:r>
        <w:t xml:space="preserve">Acemoglu and Johnson, 2024.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Power and Progress: Our Thousand-Year Struggle Over Technology and Prosperity</w:t>
        </w:r>
      </w:hyperlink>
      <w:r>
        <w:t xml:space="preserve"> </w:t>
      </w:r>
      <w:r>
        <w:t xml:space="preserve">Public Affairs Books, Hachette.</w:t>
      </w:r>
    </w:p>
    <w:p>
      <w:pPr>
        <w:pStyle w:val="Compact"/>
        <w:numPr>
          <w:ilvl w:val="0"/>
          <w:numId w:val="1006"/>
        </w:numPr>
      </w:pPr>
      <w:r>
        <w:t xml:space="preserve">Articles</w:t>
      </w:r>
    </w:p>
    <w:p>
      <w:pPr>
        <w:pStyle w:val="Compact"/>
        <w:numPr>
          <w:ilvl w:val="1"/>
          <w:numId w:val="1009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1"/>
          <w:numId w:val="1009"/>
        </w:numPr>
      </w:pPr>
      <w:r>
        <w:t xml:space="preserve">Lobel, 2024.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Future of Work in the Era of AI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Felten,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hyperlink r:id="rId33">
        <w:r>
          <w:rPr>
            <w:rStyle w:val="Hyperlink"/>
          </w:rPr>
          <w:t xml:space="preserve">Generative AI for Economic Research</w:t>
        </w:r>
      </w:hyperlink>
    </w:p>
    <w:p>
      <w:pPr>
        <w:pStyle w:val="Compact"/>
        <w:numPr>
          <w:ilvl w:val="1"/>
          <w:numId w:val="1009"/>
        </w:numPr>
      </w:pPr>
      <w:r>
        <w:t xml:space="preserve">Korinek,</w:t>
      </w:r>
      <w:r>
        <w:t xml:space="preserve"> </w:t>
      </w:r>
      <w:r>
        <w:t xml:space="preserve">“Economic Policy Challenges for the Age of AI”</w:t>
      </w:r>
    </w:p>
    <w:p>
      <w:pPr>
        <w:pStyle w:val="Compact"/>
        <w:numPr>
          <w:ilvl w:val="1"/>
          <w:numId w:val="1009"/>
        </w:numPr>
      </w:pPr>
      <w:r>
        <w:t xml:space="preserve">Brynjolfsson,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Canaries in the Coal Mine? Six Facts about the Recent Employment Effects of Artificial Intelligence</w:t>
        </w:r>
      </w:hyperlink>
      <w:r>
        <w:t xml:space="preserve">”</w:t>
      </w:r>
      <w:r>
        <w:t xml:space="preserve"> </w:t>
      </w:r>
      <w:r>
        <w:t xml:space="preserve">Working paper.</w:t>
      </w:r>
    </w:p>
    <w:p>
      <w:pPr>
        <w:pStyle w:val="Compact"/>
        <w:numPr>
          <w:ilvl w:val="1"/>
          <w:numId w:val="1009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1"/>
          <w:numId w:val="1009"/>
        </w:numPr>
      </w:pPr>
      <w:r>
        <w:t xml:space="preserve">Pew Research, 2025.</w:t>
      </w:r>
      <w:r>
        <w:t xml:space="preserve"> </w:t>
      </w:r>
      <w:hyperlink r:id="rId36">
        <w:r>
          <w:rPr>
            <w:rStyle w:val="Hyperlink"/>
          </w:rPr>
          <w:t xml:space="preserve">Workers Experience with Chatbots and their Jobs</w:t>
        </w:r>
      </w:hyperlink>
    </w:p>
    <w:bookmarkEnd w:id="37"/>
    <w:bookmarkStart w:id="4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10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2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3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5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4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6" Target="https://www.pewresearch.org/social-trends/2025/02/25/workers-experience-with-ai-chatbots-in-their-jobs/" TargetMode="External" /><Relationship Type="http://schemas.openxmlformats.org/officeDocument/2006/relationships/hyperlink" Id="rId31" Target="https://www.repository.law.indiana.edu/ilj/vol100/iss1/7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2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3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5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4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6" Target="https://www.pewresearch.org/social-trends/2025/02/25/workers-experience-with-ai-chatbots-in-their-jobs/" TargetMode="External" /><Relationship Type="http://schemas.openxmlformats.org/officeDocument/2006/relationships/hyperlink" Id="rId31" Target="https://www.repository.law.indiana.edu/ilj/vol100/iss1/7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2026-03-31T16:02:30Z</dcterms:created>
  <dcterms:modified xsi:type="dcterms:W3CDTF">2026-03-31T16:02:30Z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