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5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potentially useful tidbits and starting points: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Intel’s foundry future depends on securing a customer for next-gen chipmaking tech</w:t>
        </w:r>
      </w:hyperlink>
      <w:r>
        <w:t xml:space="preserve">”</w:t>
      </w:r>
      <w:r>
        <w:t xml:space="preserve"> </w:t>
      </w:r>
      <w:r>
        <w:t xml:space="preserve">Reuters.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4">
        <w:r>
          <w:rPr>
            <w:rStyle w:val="Hyperlink"/>
          </w:rPr>
          <w:t xml:space="preserve">Intel’s Big Bet: Inside the Chipmaker’s Make-or-Break Factory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2026-03-31T16:00:36Z</dcterms:created>
  <dcterms:modified xsi:type="dcterms:W3CDTF">2026-03-31T16:00:36Z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